
<file path=[Content_Types].xml><?xml version="1.0" encoding="utf-8"?>
<Types xmlns="http://schemas.openxmlformats.org/package/2006/content-types">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drawings/drawing1.xml" ContentType="application/vnd.openxmlformats-officedocument.drawingml.chartshapes+xml"/>
  <Override PartName="/word/charts/chart12.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F485A" w:rsidRDefault="00F16078" w:rsidP="006F485A">
      <w:pPr>
        <w:jc w:val="center"/>
        <w:rPr>
          <w:rFonts w:ascii="Century" w:eastAsia="ＭＳ 明朝" w:hAnsi="Century" w:cs="Times New Roman"/>
        </w:rPr>
      </w:pPr>
      <w:r w:rsidRPr="00F16078">
        <w:rPr>
          <w:rFonts w:ascii="Century" w:eastAsia="ＭＳ 明朝" w:hAnsi="Century" w:cs="Times New Roman" w:hint="eastAsia"/>
        </w:rPr>
        <w:t>コスタリカ経済</w:t>
      </w:r>
      <w:bookmarkStart w:id="0" w:name="_GoBack"/>
      <w:bookmarkEnd w:id="0"/>
      <w:r w:rsidRPr="00F16078">
        <w:rPr>
          <w:rFonts w:ascii="Century" w:eastAsia="ＭＳ 明朝" w:hAnsi="Century" w:cs="Times New Roman" w:hint="eastAsia"/>
        </w:rPr>
        <w:t>（</w:t>
      </w:r>
      <w:r w:rsidRPr="00F16078">
        <w:rPr>
          <w:rFonts w:ascii="Century" w:eastAsia="ＭＳ 明朝" w:hAnsi="Century" w:cs="Times New Roman"/>
        </w:rPr>
        <w:t>2014</w:t>
      </w:r>
      <w:r w:rsidRPr="00F16078">
        <w:rPr>
          <w:rFonts w:ascii="Century" w:eastAsia="ＭＳ 明朝" w:hAnsi="Century" w:cs="Times New Roman" w:hint="eastAsia"/>
        </w:rPr>
        <w:t>年</w:t>
      </w:r>
      <w:r w:rsidR="008402F8">
        <w:rPr>
          <w:rFonts w:ascii="Century" w:eastAsia="ＭＳ 明朝" w:hAnsi="Century" w:cs="Times New Roman" w:hint="eastAsia"/>
        </w:rPr>
        <w:t>7-8</w:t>
      </w:r>
      <w:r>
        <w:rPr>
          <w:rFonts w:ascii="Century" w:eastAsia="ＭＳ 明朝" w:hAnsi="Century" w:cs="Times New Roman" w:hint="eastAsia"/>
        </w:rPr>
        <w:t>月</w:t>
      </w:r>
      <w:r w:rsidRPr="00F16078">
        <w:rPr>
          <w:rFonts w:ascii="Century" w:eastAsia="ＭＳ 明朝" w:hAnsi="Century" w:cs="Times New Roman" w:hint="eastAsia"/>
        </w:rPr>
        <w:t>）</w:t>
      </w:r>
    </w:p>
    <w:p w:rsidR="00F16078" w:rsidRDefault="006F485A" w:rsidP="00CF4A02">
      <w:pPr>
        <w:jc w:val="center"/>
        <w:rPr>
          <w:rFonts w:ascii="Century" w:eastAsia="ＭＳ 明朝" w:hAnsi="Century" w:cs="Times New Roman"/>
          <w:b/>
          <w:sz w:val="18"/>
          <w:szCs w:val="18"/>
        </w:rPr>
      </w:pPr>
      <w:r>
        <w:rPr>
          <w:rFonts w:ascii="Century" w:eastAsia="ＭＳ 明朝" w:hAnsi="Century" w:cs="Times New Roman" w:hint="eastAsia"/>
        </w:rPr>
        <w:t xml:space="preserve">　　　　　　　　　　　　　　　　　　　　　　　　　　　　　　　　　　</w:t>
      </w:r>
    </w:p>
    <w:p w:rsidR="007B5AA5" w:rsidRPr="00F16078" w:rsidRDefault="007B5AA5" w:rsidP="00F16078">
      <w:pPr>
        <w:ind w:firstLineChars="3400" w:firstLine="6144"/>
        <w:rPr>
          <w:rFonts w:ascii="Century" w:eastAsia="ＭＳ 明朝" w:hAnsi="Century" w:cs="Times New Roman"/>
          <w:b/>
          <w:sz w:val="18"/>
          <w:szCs w:val="18"/>
        </w:rPr>
      </w:pPr>
    </w:p>
    <w:p w:rsidR="00F16078" w:rsidRDefault="007B5AA5" w:rsidP="007B5AA5">
      <w:pPr>
        <w:rPr>
          <w:rFonts w:ascii="Century" w:eastAsia="ＭＳ 明朝" w:hAnsi="Century" w:cs="Times New Roman"/>
          <w:sz w:val="18"/>
          <w:szCs w:val="18"/>
        </w:rPr>
      </w:pPr>
      <w:r w:rsidRPr="007B5AA5">
        <w:rPr>
          <w:rFonts w:ascii="Century" w:eastAsia="ＭＳ 明朝" w:hAnsi="Century" w:cs="Times New Roman" w:hint="eastAsia"/>
          <w:sz w:val="18"/>
          <w:szCs w:val="18"/>
        </w:rPr>
        <w:t>※出典</w:t>
      </w:r>
      <w:r w:rsidRPr="007B5AA5">
        <w:rPr>
          <w:rFonts w:ascii="Century" w:eastAsia="ＭＳ 明朝" w:hAnsi="Century" w:cs="Times New Roman" w:hint="eastAsia"/>
          <w:sz w:val="18"/>
          <w:szCs w:val="18"/>
        </w:rPr>
        <w:t>:</w:t>
      </w:r>
      <w:r w:rsidR="005D3198">
        <w:rPr>
          <w:rFonts w:ascii="Century" w:eastAsia="ＭＳ 明朝" w:hAnsi="Century" w:cs="Times New Roman" w:hint="eastAsia"/>
          <w:sz w:val="18"/>
          <w:szCs w:val="18"/>
        </w:rPr>
        <w:t>コスタリカ中央銀行、</w:t>
      </w:r>
      <w:r w:rsidRPr="007B5AA5">
        <w:rPr>
          <w:rFonts w:ascii="Century" w:eastAsia="ＭＳ 明朝" w:hAnsi="Century" w:cs="Times New Roman" w:hint="eastAsia"/>
          <w:sz w:val="18"/>
          <w:szCs w:val="18"/>
        </w:rPr>
        <w:t>財務省</w:t>
      </w:r>
      <w:r w:rsidR="005D3198">
        <w:rPr>
          <w:rFonts w:ascii="Century" w:eastAsia="ＭＳ 明朝" w:hAnsi="Century" w:cs="Times New Roman" w:hint="eastAsia"/>
          <w:sz w:val="18"/>
          <w:szCs w:val="18"/>
        </w:rPr>
        <w:t>および貿易振興機構</w:t>
      </w:r>
      <w:r w:rsidR="00AF3B95">
        <w:rPr>
          <w:rFonts w:ascii="Century" w:eastAsia="ＭＳ 明朝" w:hAnsi="Century" w:cs="Times New Roman" w:hint="eastAsia"/>
          <w:sz w:val="18"/>
          <w:szCs w:val="18"/>
        </w:rPr>
        <w:t>(7-8</w:t>
      </w:r>
      <w:r w:rsidRPr="007B5AA5">
        <w:rPr>
          <w:rFonts w:ascii="Century" w:eastAsia="ＭＳ 明朝" w:hAnsi="Century" w:cs="Times New Roman" w:hint="eastAsia"/>
          <w:sz w:val="18"/>
          <w:szCs w:val="18"/>
        </w:rPr>
        <w:t>月分数値</w:t>
      </w:r>
      <w:r w:rsidRPr="007B5AA5">
        <w:rPr>
          <w:rFonts w:ascii="Century" w:eastAsia="ＭＳ 明朝" w:hAnsi="Century" w:cs="Times New Roman" w:hint="eastAsia"/>
          <w:sz w:val="18"/>
          <w:szCs w:val="18"/>
        </w:rPr>
        <w:t>)</w:t>
      </w:r>
      <w:r w:rsidR="00807349">
        <w:rPr>
          <w:rFonts w:ascii="Century" w:eastAsia="ＭＳ 明朝" w:hAnsi="Century" w:cs="Times New Roman" w:hint="eastAsia"/>
          <w:sz w:val="18"/>
          <w:szCs w:val="18"/>
        </w:rPr>
        <w:t>。</w:t>
      </w:r>
      <w:r w:rsidRPr="007B5AA5">
        <w:rPr>
          <w:rFonts w:ascii="Century" w:eastAsia="ＭＳ 明朝" w:hAnsi="Century" w:cs="Times New Roman" w:hint="eastAsia"/>
          <w:sz w:val="18"/>
          <w:szCs w:val="18"/>
        </w:rPr>
        <w:t>主な出来事については当地新聞記事</w:t>
      </w:r>
      <w:r w:rsidR="00672FF9">
        <w:rPr>
          <w:rStyle w:val="ab"/>
          <w:rFonts w:ascii="Century" w:eastAsia="ＭＳ 明朝" w:hAnsi="Century" w:cs="Times New Roman"/>
          <w:sz w:val="18"/>
          <w:szCs w:val="18"/>
        </w:rPr>
        <w:footnoteReference w:id="1"/>
      </w:r>
      <w:r w:rsidRPr="007B5AA5">
        <w:rPr>
          <w:rFonts w:ascii="Century" w:eastAsia="ＭＳ 明朝" w:hAnsi="Century" w:cs="Times New Roman" w:hint="eastAsia"/>
          <w:sz w:val="18"/>
          <w:szCs w:val="18"/>
        </w:rPr>
        <w:t>及び貿易省プレスリリースによる。</w:t>
      </w:r>
    </w:p>
    <w:p w:rsidR="00E5295D" w:rsidRDefault="00E5295D" w:rsidP="007B5AA5">
      <w:pPr>
        <w:rPr>
          <w:rFonts w:ascii="Century" w:eastAsia="ＭＳ 明朝" w:hAnsi="Century" w:cs="Times New Roman"/>
          <w:sz w:val="18"/>
          <w:szCs w:val="18"/>
        </w:rPr>
      </w:pPr>
    </w:p>
    <w:p w:rsidR="00B27641" w:rsidRPr="00300A96" w:rsidRDefault="00B27641" w:rsidP="00300A96">
      <w:pPr>
        <w:pStyle w:val="ac"/>
        <w:numPr>
          <w:ilvl w:val="0"/>
          <w:numId w:val="2"/>
        </w:numPr>
        <w:ind w:leftChars="0"/>
        <w:rPr>
          <w:rFonts w:ascii="Century" w:eastAsia="ＭＳ 明朝" w:hAnsi="Century" w:cs="Times New Roman"/>
        </w:rPr>
      </w:pPr>
      <w:r w:rsidRPr="00300A96">
        <w:rPr>
          <w:rFonts w:ascii="Century" w:eastAsia="ＭＳ 明朝" w:hAnsi="Century" w:cs="Times New Roman" w:hint="eastAsia"/>
        </w:rPr>
        <w:t>経済活動指標</w:t>
      </w:r>
    </w:p>
    <w:p w:rsidR="00B40047" w:rsidRDefault="00300A96" w:rsidP="00300A96">
      <w:pPr>
        <w:rPr>
          <w:rFonts w:ascii="Century" w:eastAsia="ＭＳ 明朝" w:hAnsi="Century" w:cs="Times New Roman"/>
          <w:sz w:val="20"/>
          <w:szCs w:val="20"/>
        </w:rPr>
      </w:pPr>
      <w:r w:rsidRPr="005A0113">
        <w:rPr>
          <w:rFonts w:ascii="Century" w:eastAsia="ＭＳ 明朝" w:hAnsi="Century" w:cs="Times New Roman" w:hint="eastAsia"/>
          <w:sz w:val="20"/>
          <w:szCs w:val="20"/>
        </w:rPr>
        <w:t>●</w:t>
      </w:r>
      <w:r w:rsidRPr="005A0113">
        <w:rPr>
          <w:rFonts w:ascii="Century" w:eastAsia="ＭＳ 明朝" w:hAnsi="Century" w:cs="Times New Roman" w:hint="eastAsia"/>
          <w:sz w:val="20"/>
          <w:szCs w:val="20"/>
        </w:rPr>
        <w:t>6</w:t>
      </w:r>
      <w:r w:rsidRPr="005A0113">
        <w:rPr>
          <w:rFonts w:ascii="Century" w:eastAsia="ＭＳ 明朝" w:hAnsi="Century" w:cs="Times New Roman" w:hint="eastAsia"/>
          <w:sz w:val="20"/>
          <w:szCs w:val="20"/>
        </w:rPr>
        <w:t>月から引き続き、</w:t>
      </w:r>
      <w:r w:rsidRPr="005A0113">
        <w:rPr>
          <w:rFonts w:ascii="Century" w:eastAsia="ＭＳ 明朝" w:hAnsi="Century" w:cs="Times New Roman" w:hint="eastAsia"/>
          <w:sz w:val="20"/>
          <w:szCs w:val="20"/>
        </w:rPr>
        <w:t>7</w:t>
      </w:r>
      <w:r w:rsidR="001213D9">
        <w:rPr>
          <w:rFonts w:ascii="Century" w:eastAsia="ＭＳ 明朝" w:hAnsi="Century" w:cs="Times New Roman" w:hint="eastAsia"/>
          <w:sz w:val="20"/>
          <w:szCs w:val="20"/>
        </w:rPr>
        <w:t>、</w:t>
      </w:r>
      <w:r w:rsidR="001213D9">
        <w:rPr>
          <w:rFonts w:ascii="Century" w:eastAsia="ＭＳ 明朝" w:hAnsi="Century" w:cs="Times New Roman" w:hint="eastAsia"/>
          <w:sz w:val="20"/>
          <w:szCs w:val="20"/>
        </w:rPr>
        <w:t>8</w:t>
      </w:r>
      <w:r w:rsidRPr="005A0113">
        <w:rPr>
          <w:rFonts w:ascii="Century" w:eastAsia="ＭＳ 明朝" w:hAnsi="Century" w:cs="Times New Roman" w:hint="eastAsia"/>
          <w:sz w:val="20"/>
          <w:szCs w:val="20"/>
        </w:rPr>
        <w:t>月は、運輸・倉庫・通信</w:t>
      </w:r>
      <w:r w:rsidRPr="005A0113">
        <w:rPr>
          <w:rFonts w:ascii="Century" w:eastAsia="ＭＳ 明朝" w:hAnsi="Century" w:cs="Times New Roman" w:hint="eastAsia"/>
          <w:sz w:val="20"/>
          <w:szCs w:val="20"/>
        </w:rPr>
        <w:t>(</w:t>
      </w:r>
      <w:r w:rsidR="005C4EBC">
        <w:rPr>
          <w:rFonts w:ascii="Century" w:eastAsia="ＭＳ 明朝" w:hAnsi="Century" w:cs="Times New Roman" w:hint="eastAsia"/>
          <w:sz w:val="20"/>
          <w:szCs w:val="20"/>
        </w:rPr>
        <w:t>対前年同月比で</w:t>
      </w:r>
      <w:r w:rsidR="005C4EBC">
        <w:rPr>
          <w:rFonts w:ascii="Century" w:eastAsia="ＭＳ 明朝" w:hAnsi="Century" w:cs="Times New Roman" w:hint="eastAsia"/>
          <w:sz w:val="20"/>
          <w:szCs w:val="20"/>
        </w:rPr>
        <w:t>7</w:t>
      </w:r>
      <w:r w:rsidR="005C4EBC">
        <w:rPr>
          <w:rFonts w:ascii="Century" w:eastAsia="ＭＳ 明朝" w:hAnsi="Century" w:cs="Times New Roman" w:hint="eastAsia"/>
          <w:sz w:val="20"/>
          <w:szCs w:val="20"/>
        </w:rPr>
        <w:t>月が</w:t>
      </w:r>
      <w:r w:rsidR="003F7A02">
        <w:rPr>
          <w:rFonts w:ascii="Century" w:eastAsia="ＭＳ 明朝" w:hAnsi="Century" w:cs="Times New Roman" w:hint="eastAsia"/>
          <w:sz w:val="20"/>
          <w:szCs w:val="20"/>
        </w:rPr>
        <w:t>7.6</w:t>
      </w:r>
      <w:r w:rsidR="001213D9">
        <w:rPr>
          <w:rFonts w:ascii="Century" w:eastAsia="ＭＳ 明朝" w:hAnsi="Century" w:cs="Times New Roman" w:hint="eastAsia"/>
          <w:sz w:val="20"/>
          <w:szCs w:val="20"/>
        </w:rPr>
        <w:t>2</w:t>
      </w:r>
      <w:r w:rsidRPr="005A0113">
        <w:rPr>
          <w:rFonts w:ascii="Century" w:eastAsia="ＭＳ 明朝" w:hAnsi="Century" w:cs="Times New Roman" w:hint="eastAsia"/>
          <w:sz w:val="20"/>
          <w:szCs w:val="20"/>
        </w:rPr>
        <w:t>％</w:t>
      </w:r>
      <w:r w:rsidR="005C4EBC">
        <w:rPr>
          <w:rFonts w:ascii="Century" w:eastAsia="ＭＳ 明朝" w:hAnsi="Century" w:cs="Times New Roman" w:hint="eastAsia"/>
          <w:sz w:val="20"/>
          <w:szCs w:val="20"/>
        </w:rPr>
        <w:t>、</w:t>
      </w:r>
      <w:r w:rsidR="005C4EBC">
        <w:rPr>
          <w:rFonts w:ascii="Century" w:eastAsia="ＭＳ 明朝" w:hAnsi="Century" w:cs="Times New Roman" w:hint="eastAsia"/>
          <w:sz w:val="20"/>
          <w:szCs w:val="20"/>
        </w:rPr>
        <w:t>8</w:t>
      </w:r>
      <w:r w:rsidR="005C4EBC">
        <w:rPr>
          <w:rFonts w:ascii="Century" w:eastAsia="ＭＳ 明朝" w:hAnsi="Century" w:cs="Times New Roman" w:hint="eastAsia"/>
          <w:sz w:val="20"/>
          <w:szCs w:val="20"/>
        </w:rPr>
        <w:t>月が</w:t>
      </w:r>
      <w:r w:rsidR="001213D9">
        <w:rPr>
          <w:rFonts w:ascii="Century" w:eastAsia="ＭＳ 明朝" w:hAnsi="Century" w:cs="Times New Roman" w:hint="eastAsia"/>
          <w:sz w:val="20"/>
          <w:szCs w:val="20"/>
        </w:rPr>
        <w:t>6.67</w:t>
      </w:r>
      <w:r w:rsidR="005C4EBC">
        <w:rPr>
          <w:rFonts w:ascii="Century" w:eastAsia="ＭＳ 明朝" w:hAnsi="Century" w:cs="Times New Roman" w:hint="eastAsia"/>
          <w:sz w:val="20"/>
          <w:szCs w:val="20"/>
        </w:rPr>
        <w:t>％</w:t>
      </w:r>
      <w:r w:rsidRPr="005A0113">
        <w:rPr>
          <w:rFonts w:ascii="Century" w:eastAsia="ＭＳ 明朝" w:hAnsi="Century" w:cs="Times New Roman" w:hint="eastAsia"/>
          <w:sz w:val="20"/>
          <w:szCs w:val="20"/>
        </w:rPr>
        <w:t>)</w:t>
      </w:r>
      <w:r w:rsidRPr="005A0113">
        <w:rPr>
          <w:rFonts w:ascii="Century" w:eastAsia="ＭＳ 明朝" w:hAnsi="Century" w:cs="Times New Roman" w:hint="eastAsia"/>
          <w:sz w:val="20"/>
          <w:szCs w:val="20"/>
        </w:rPr>
        <w:t>、金融仲介サービス</w:t>
      </w:r>
      <w:r w:rsidRPr="005A0113">
        <w:rPr>
          <w:rFonts w:ascii="Century" w:eastAsia="ＭＳ 明朝" w:hAnsi="Century" w:cs="Times New Roman" w:hint="eastAsia"/>
          <w:sz w:val="20"/>
          <w:szCs w:val="20"/>
        </w:rPr>
        <w:t>(</w:t>
      </w:r>
      <w:r w:rsidRPr="005A0113">
        <w:rPr>
          <w:rFonts w:ascii="Century" w:eastAsia="ＭＳ 明朝" w:hAnsi="Century" w:cs="Times New Roman" w:hint="eastAsia"/>
          <w:sz w:val="20"/>
          <w:szCs w:val="20"/>
        </w:rPr>
        <w:t>同</w:t>
      </w:r>
      <w:r w:rsidRPr="005A0113">
        <w:rPr>
          <w:rFonts w:ascii="Century" w:eastAsia="ＭＳ 明朝" w:hAnsi="Century" w:cs="Times New Roman" w:hint="eastAsia"/>
          <w:sz w:val="20"/>
          <w:szCs w:val="20"/>
        </w:rPr>
        <w:t>11.</w:t>
      </w:r>
      <w:r w:rsidR="001213D9">
        <w:rPr>
          <w:rFonts w:ascii="Century" w:eastAsia="ＭＳ 明朝" w:hAnsi="Century" w:cs="Times New Roman" w:hint="eastAsia"/>
          <w:sz w:val="20"/>
          <w:szCs w:val="20"/>
        </w:rPr>
        <w:t>52</w:t>
      </w:r>
      <w:r w:rsidRPr="005A0113">
        <w:rPr>
          <w:rFonts w:ascii="Century" w:eastAsia="ＭＳ 明朝" w:hAnsi="Century" w:cs="Times New Roman" w:hint="eastAsia"/>
          <w:sz w:val="20"/>
          <w:szCs w:val="20"/>
        </w:rPr>
        <w:t>％</w:t>
      </w:r>
      <w:r w:rsidR="001213D9">
        <w:rPr>
          <w:rFonts w:ascii="Century" w:eastAsia="ＭＳ 明朝" w:hAnsi="Century" w:cs="Times New Roman" w:hint="eastAsia"/>
          <w:sz w:val="20"/>
          <w:szCs w:val="20"/>
        </w:rPr>
        <w:t>、</w:t>
      </w:r>
      <w:r w:rsidR="001213D9">
        <w:rPr>
          <w:rFonts w:ascii="Century" w:eastAsia="ＭＳ 明朝" w:hAnsi="Century" w:cs="Times New Roman" w:hint="eastAsia"/>
          <w:sz w:val="20"/>
          <w:szCs w:val="20"/>
        </w:rPr>
        <w:t>10.73</w:t>
      </w:r>
      <w:r w:rsidR="001213D9">
        <w:rPr>
          <w:rFonts w:ascii="Century" w:eastAsia="ＭＳ 明朝" w:hAnsi="Century" w:cs="Times New Roman" w:hint="eastAsia"/>
          <w:sz w:val="20"/>
          <w:szCs w:val="20"/>
        </w:rPr>
        <w:t>％</w:t>
      </w:r>
      <w:r w:rsidR="00BF4E0F">
        <w:rPr>
          <w:rFonts w:ascii="Century" w:eastAsia="ＭＳ 明朝" w:hAnsi="Century" w:cs="Times New Roman" w:hint="eastAsia"/>
          <w:sz w:val="20"/>
          <w:szCs w:val="20"/>
        </w:rPr>
        <w:t>※同部門は直近</w:t>
      </w:r>
      <w:r w:rsidR="00BF4E0F">
        <w:rPr>
          <w:rFonts w:ascii="Century" w:eastAsia="ＭＳ 明朝" w:hAnsi="Century" w:cs="Times New Roman" w:hint="eastAsia"/>
          <w:sz w:val="20"/>
          <w:szCs w:val="20"/>
        </w:rPr>
        <w:t>12</w:t>
      </w:r>
      <w:r w:rsidR="00BF4E0F">
        <w:rPr>
          <w:rFonts w:ascii="Century" w:eastAsia="ＭＳ 明朝" w:hAnsi="Century" w:cs="Times New Roman" w:hint="eastAsia"/>
          <w:sz w:val="20"/>
          <w:szCs w:val="20"/>
        </w:rPr>
        <w:t>ヶ月において常に前年比</w:t>
      </w:r>
      <w:r w:rsidR="00BF4E0F">
        <w:rPr>
          <w:rFonts w:ascii="Century" w:eastAsia="ＭＳ 明朝" w:hAnsi="Century" w:cs="Times New Roman" w:hint="eastAsia"/>
          <w:sz w:val="20"/>
          <w:szCs w:val="20"/>
        </w:rPr>
        <w:t>10</w:t>
      </w:r>
      <w:r w:rsidR="00BF4E0F">
        <w:rPr>
          <w:rFonts w:ascii="Century" w:eastAsia="ＭＳ 明朝" w:hAnsi="Century" w:cs="Times New Roman" w:hint="eastAsia"/>
          <w:sz w:val="20"/>
          <w:szCs w:val="20"/>
        </w:rPr>
        <w:t>％以上の成長を記録している</w:t>
      </w:r>
      <w:r w:rsidRPr="005A0113">
        <w:rPr>
          <w:rFonts w:ascii="Century" w:eastAsia="ＭＳ 明朝" w:hAnsi="Century" w:cs="Times New Roman" w:hint="eastAsia"/>
          <w:sz w:val="20"/>
          <w:szCs w:val="20"/>
        </w:rPr>
        <w:t>)</w:t>
      </w:r>
      <w:r w:rsidR="005E46B1">
        <w:rPr>
          <w:rFonts w:ascii="Century" w:eastAsia="ＭＳ 明朝" w:hAnsi="Century" w:cs="Times New Roman" w:hint="eastAsia"/>
          <w:sz w:val="20"/>
          <w:szCs w:val="20"/>
        </w:rPr>
        <w:t>などで前年同値</w:t>
      </w:r>
      <w:r w:rsidR="00B40047">
        <w:rPr>
          <w:rFonts w:ascii="Century" w:eastAsia="ＭＳ 明朝" w:hAnsi="Century" w:cs="Times New Roman" w:hint="eastAsia"/>
          <w:sz w:val="20"/>
          <w:szCs w:val="20"/>
        </w:rPr>
        <w:t>からの上昇が見られた。</w:t>
      </w:r>
    </w:p>
    <w:p w:rsidR="00300A96" w:rsidRPr="005A0113" w:rsidRDefault="00B40047" w:rsidP="00300A96">
      <w:pPr>
        <w:rPr>
          <w:rFonts w:ascii="Century" w:eastAsia="ＭＳ 明朝" w:hAnsi="Century" w:cs="Times New Roman"/>
          <w:sz w:val="20"/>
          <w:szCs w:val="20"/>
        </w:rPr>
      </w:pPr>
      <w:r>
        <w:rPr>
          <w:rFonts w:ascii="Century" w:eastAsia="ＭＳ 明朝" w:hAnsi="Century" w:cs="Times New Roman" w:hint="eastAsia"/>
          <w:sz w:val="20"/>
          <w:szCs w:val="20"/>
        </w:rPr>
        <w:t>●</w:t>
      </w:r>
      <w:r w:rsidR="005E46B1">
        <w:rPr>
          <w:rFonts w:ascii="Century" w:eastAsia="ＭＳ 明朝" w:hAnsi="Century" w:cs="Times New Roman" w:hint="eastAsia"/>
          <w:sz w:val="20"/>
          <w:szCs w:val="20"/>
        </w:rPr>
        <w:t>農林漁業</w:t>
      </w:r>
      <w:r w:rsidR="00300A96" w:rsidRPr="005A0113">
        <w:rPr>
          <w:rFonts w:ascii="Century" w:eastAsia="ＭＳ 明朝" w:hAnsi="Century" w:cs="Times New Roman" w:hint="eastAsia"/>
          <w:sz w:val="20"/>
          <w:szCs w:val="20"/>
        </w:rPr>
        <w:t>に関しては</w:t>
      </w:r>
      <w:r w:rsidR="005E46B1">
        <w:rPr>
          <w:rFonts w:ascii="Century" w:eastAsia="ＭＳ 明朝" w:hAnsi="Century" w:cs="Times New Roman" w:hint="eastAsia"/>
          <w:sz w:val="20"/>
          <w:szCs w:val="20"/>
        </w:rPr>
        <w:t>、</w:t>
      </w:r>
      <w:r w:rsidR="00300A96" w:rsidRPr="005A0113">
        <w:rPr>
          <w:rFonts w:ascii="Century" w:eastAsia="ＭＳ 明朝" w:hAnsi="Century" w:cs="Times New Roman" w:hint="eastAsia"/>
          <w:sz w:val="20"/>
          <w:szCs w:val="20"/>
        </w:rPr>
        <w:t>本年</w:t>
      </w:r>
      <w:r w:rsidR="00300A96" w:rsidRPr="005A0113">
        <w:rPr>
          <w:rFonts w:ascii="Century" w:eastAsia="ＭＳ 明朝" w:hAnsi="Century" w:cs="Times New Roman" w:hint="eastAsia"/>
          <w:sz w:val="20"/>
          <w:szCs w:val="20"/>
        </w:rPr>
        <w:t>2</w:t>
      </w:r>
      <w:r w:rsidR="00300A96" w:rsidRPr="005A0113">
        <w:rPr>
          <w:rFonts w:ascii="Century" w:eastAsia="ＭＳ 明朝" w:hAnsi="Century" w:cs="Times New Roman" w:hint="eastAsia"/>
          <w:sz w:val="20"/>
          <w:szCs w:val="20"/>
        </w:rPr>
        <w:t>月から一貫して前年同月比</w:t>
      </w:r>
      <w:r w:rsidR="00300A96" w:rsidRPr="005A0113">
        <w:rPr>
          <w:rFonts w:ascii="Century" w:eastAsia="ＭＳ 明朝" w:hAnsi="Century" w:cs="Times New Roman" w:hint="eastAsia"/>
          <w:sz w:val="20"/>
          <w:szCs w:val="20"/>
        </w:rPr>
        <w:t>5</w:t>
      </w:r>
      <w:r w:rsidR="00300A96" w:rsidRPr="005A0113">
        <w:rPr>
          <w:rFonts w:ascii="Century" w:eastAsia="ＭＳ 明朝" w:hAnsi="Century" w:cs="Times New Roman" w:hint="eastAsia"/>
          <w:sz w:val="20"/>
          <w:szCs w:val="20"/>
        </w:rPr>
        <w:t>％以上の成長を記録してい</w:t>
      </w:r>
      <w:r w:rsidR="005E46B1">
        <w:rPr>
          <w:rFonts w:ascii="Century" w:eastAsia="ＭＳ 明朝" w:hAnsi="Century" w:cs="Times New Roman" w:hint="eastAsia"/>
          <w:sz w:val="20"/>
          <w:szCs w:val="20"/>
        </w:rPr>
        <w:t>たが、</w:t>
      </w:r>
      <w:r w:rsidR="005E46B1">
        <w:rPr>
          <w:rFonts w:ascii="Century" w:eastAsia="ＭＳ 明朝" w:hAnsi="Century" w:cs="Times New Roman" w:hint="eastAsia"/>
          <w:sz w:val="20"/>
          <w:szCs w:val="20"/>
        </w:rPr>
        <w:t>8</w:t>
      </w:r>
      <w:r w:rsidR="005E46B1">
        <w:rPr>
          <w:rFonts w:ascii="Century" w:eastAsia="ＭＳ 明朝" w:hAnsi="Century" w:cs="Times New Roman" w:hint="eastAsia"/>
          <w:sz w:val="20"/>
          <w:szCs w:val="20"/>
        </w:rPr>
        <w:t>月にはマイナス</w:t>
      </w:r>
      <w:r w:rsidR="005E46B1">
        <w:rPr>
          <w:rFonts w:ascii="Century" w:eastAsia="ＭＳ 明朝" w:hAnsi="Century" w:cs="Times New Roman" w:hint="eastAsia"/>
          <w:sz w:val="20"/>
          <w:szCs w:val="20"/>
        </w:rPr>
        <w:t>1.87</w:t>
      </w:r>
      <w:r w:rsidR="005E46B1">
        <w:rPr>
          <w:rFonts w:ascii="Century" w:eastAsia="ＭＳ 明朝" w:hAnsi="Century" w:cs="Times New Roman" w:hint="eastAsia"/>
          <w:sz w:val="20"/>
          <w:szCs w:val="20"/>
        </w:rPr>
        <w:t>％を記録した</w:t>
      </w:r>
      <w:r w:rsidR="00300A96" w:rsidRPr="005A0113">
        <w:rPr>
          <w:rFonts w:ascii="Century" w:eastAsia="ＭＳ 明朝" w:hAnsi="Century" w:cs="Times New Roman" w:hint="eastAsia"/>
          <w:sz w:val="20"/>
          <w:szCs w:val="20"/>
        </w:rPr>
        <w:t>。</w:t>
      </w:r>
      <w:r w:rsidR="00017A78">
        <w:rPr>
          <w:rFonts w:ascii="Century" w:eastAsia="ＭＳ 明朝" w:hAnsi="Century" w:cs="Times New Roman" w:hint="eastAsia"/>
          <w:sz w:val="20"/>
          <w:szCs w:val="20"/>
        </w:rPr>
        <w:t>8</w:t>
      </w:r>
      <w:r>
        <w:rPr>
          <w:rFonts w:ascii="Century" w:eastAsia="ＭＳ 明朝" w:hAnsi="Century" w:cs="Times New Roman" w:hint="eastAsia"/>
          <w:sz w:val="20"/>
          <w:szCs w:val="20"/>
        </w:rPr>
        <w:t>月の農林漁業</w:t>
      </w:r>
      <w:r w:rsidR="00017A78">
        <w:rPr>
          <w:rFonts w:ascii="Century" w:eastAsia="ＭＳ 明朝" w:hAnsi="Century" w:cs="Times New Roman" w:hint="eastAsia"/>
          <w:sz w:val="20"/>
          <w:szCs w:val="20"/>
        </w:rPr>
        <w:t>低迷</w:t>
      </w:r>
      <w:r>
        <w:rPr>
          <w:rFonts w:ascii="Century" w:eastAsia="ＭＳ 明朝" w:hAnsi="Century" w:cs="Times New Roman" w:hint="eastAsia"/>
          <w:sz w:val="20"/>
          <w:szCs w:val="20"/>
        </w:rPr>
        <w:t>の</w:t>
      </w:r>
      <w:r w:rsidR="00017A78">
        <w:rPr>
          <w:rFonts w:ascii="Century" w:eastAsia="ＭＳ 明朝" w:hAnsi="Century" w:cs="Times New Roman" w:hint="eastAsia"/>
          <w:sz w:val="20"/>
          <w:szCs w:val="20"/>
        </w:rPr>
        <w:t>要因として、</w:t>
      </w:r>
      <w:r w:rsidR="00D16A03">
        <w:rPr>
          <w:rFonts w:ascii="Century" w:eastAsia="ＭＳ 明朝" w:hAnsi="Century" w:cs="Times New Roman" w:hint="eastAsia"/>
          <w:sz w:val="20"/>
          <w:szCs w:val="20"/>
        </w:rPr>
        <w:t>エル・ニーニョ</w:t>
      </w:r>
      <w:r>
        <w:rPr>
          <w:rFonts w:ascii="Century" w:eastAsia="ＭＳ 明朝" w:hAnsi="Century" w:cs="Times New Roman" w:hint="eastAsia"/>
          <w:sz w:val="20"/>
          <w:szCs w:val="20"/>
        </w:rPr>
        <w:t>現象による太平洋岸での干ばつと、大西洋岸での水害といった異常気象があげられている</w:t>
      </w:r>
      <w:r w:rsidR="00017A78">
        <w:rPr>
          <w:rFonts w:ascii="Century" w:eastAsia="ＭＳ 明朝" w:hAnsi="Century" w:cs="Times New Roman" w:hint="eastAsia"/>
          <w:sz w:val="20"/>
          <w:szCs w:val="20"/>
        </w:rPr>
        <w:t>。</w:t>
      </w:r>
    </w:p>
    <w:p w:rsidR="00300A96" w:rsidRPr="005A0113" w:rsidRDefault="00300A96" w:rsidP="00300A96">
      <w:pPr>
        <w:rPr>
          <w:rFonts w:ascii="Century" w:eastAsia="ＭＳ 明朝" w:hAnsi="Century" w:cs="Times New Roman"/>
          <w:sz w:val="20"/>
          <w:szCs w:val="20"/>
        </w:rPr>
      </w:pPr>
      <w:r w:rsidRPr="005A0113">
        <w:rPr>
          <w:rFonts w:ascii="Century" w:eastAsia="ＭＳ 明朝" w:hAnsi="Century" w:cs="Times New Roman" w:hint="eastAsia"/>
          <w:sz w:val="20"/>
          <w:szCs w:val="20"/>
        </w:rPr>
        <w:t>●</w:t>
      </w:r>
      <w:r w:rsidR="00777468" w:rsidRPr="005A0113">
        <w:rPr>
          <w:rFonts w:ascii="Century" w:eastAsia="ＭＳ 明朝" w:hAnsi="Century" w:cs="Times New Roman" w:hint="eastAsia"/>
          <w:sz w:val="20"/>
          <w:szCs w:val="20"/>
        </w:rPr>
        <w:t>製造業に関しては、インテル社の製造部門撤退に向けた段階的人員削減が</w:t>
      </w:r>
      <w:r w:rsidR="00777468" w:rsidRPr="005A0113">
        <w:rPr>
          <w:rFonts w:ascii="Century" w:eastAsia="ＭＳ 明朝" w:hAnsi="Century" w:cs="Times New Roman" w:hint="eastAsia"/>
          <w:sz w:val="20"/>
          <w:szCs w:val="20"/>
        </w:rPr>
        <w:t>5</w:t>
      </w:r>
      <w:r w:rsidR="008402CF">
        <w:rPr>
          <w:rFonts w:ascii="Century" w:eastAsia="ＭＳ 明朝" w:hAnsi="Century" w:cs="Times New Roman" w:hint="eastAsia"/>
          <w:sz w:val="20"/>
          <w:szCs w:val="20"/>
        </w:rPr>
        <w:t>月末に開始したことに</w:t>
      </w:r>
      <w:r w:rsidR="00EC1DFA">
        <w:rPr>
          <w:rFonts w:ascii="Century" w:eastAsia="ＭＳ 明朝" w:hAnsi="Century" w:cs="Times New Roman" w:hint="eastAsia"/>
          <w:sz w:val="20"/>
          <w:szCs w:val="20"/>
        </w:rPr>
        <w:t>より</w:t>
      </w:r>
      <w:r w:rsidR="00777468" w:rsidRPr="005A0113">
        <w:rPr>
          <w:rFonts w:ascii="Century" w:eastAsia="ＭＳ 明朝" w:hAnsi="Century" w:cs="Times New Roman" w:hint="eastAsia"/>
          <w:sz w:val="20"/>
          <w:szCs w:val="20"/>
        </w:rPr>
        <w:t>、</w:t>
      </w:r>
      <w:r w:rsidR="00777468" w:rsidRPr="005A0113">
        <w:rPr>
          <w:rFonts w:ascii="Century" w:eastAsia="ＭＳ 明朝" w:hAnsi="Century" w:cs="Times New Roman" w:hint="eastAsia"/>
          <w:sz w:val="20"/>
          <w:szCs w:val="20"/>
        </w:rPr>
        <w:t>7</w:t>
      </w:r>
      <w:r w:rsidR="00A719CB">
        <w:rPr>
          <w:rFonts w:ascii="Century" w:eastAsia="ＭＳ 明朝" w:hAnsi="Century" w:cs="Times New Roman" w:hint="eastAsia"/>
          <w:sz w:val="20"/>
          <w:szCs w:val="20"/>
        </w:rPr>
        <w:t>月には</w:t>
      </w:r>
      <w:r w:rsidR="005C4EBC">
        <w:rPr>
          <w:rFonts w:ascii="Century" w:eastAsia="ＭＳ 明朝" w:hAnsi="Century" w:cs="Times New Roman" w:hint="eastAsia"/>
          <w:sz w:val="20"/>
          <w:szCs w:val="20"/>
        </w:rPr>
        <w:t>対前年同</w:t>
      </w:r>
      <w:r w:rsidR="005C635B">
        <w:rPr>
          <w:rFonts w:ascii="Century" w:eastAsia="ＭＳ 明朝" w:hAnsi="Century" w:cs="Times New Roman" w:hint="eastAsia"/>
          <w:sz w:val="20"/>
          <w:szCs w:val="20"/>
        </w:rPr>
        <w:t>月</w:t>
      </w:r>
      <w:r w:rsidR="005C4EBC">
        <w:rPr>
          <w:rFonts w:ascii="Century" w:eastAsia="ＭＳ 明朝" w:hAnsi="Century" w:cs="Times New Roman" w:hint="eastAsia"/>
          <w:sz w:val="20"/>
          <w:szCs w:val="20"/>
        </w:rPr>
        <w:t>比で</w:t>
      </w:r>
      <w:r w:rsidR="00A719CB">
        <w:rPr>
          <w:rFonts w:ascii="Century" w:eastAsia="ＭＳ 明朝" w:hAnsi="Century" w:cs="Times New Roman" w:hint="eastAsia"/>
          <w:sz w:val="20"/>
          <w:szCs w:val="20"/>
        </w:rPr>
        <w:t>7.06</w:t>
      </w:r>
      <w:r w:rsidR="00A719CB">
        <w:rPr>
          <w:rFonts w:ascii="Century" w:eastAsia="ＭＳ 明朝" w:hAnsi="Century" w:cs="Times New Roman" w:hint="eastAsia"/>
          <w:sz w:val="20"/>
          <w:szCs w:val="20"/>
        </w:rPr>
        <w:t>ポイント</w:t>
      </w:r>
      <w:r w:rsidR="00997397">
        <w:rPr>
          <w:rFonts w:ascii="Century" w:eastAsia="ＭＳ 明朝" w:hAnsi="Century" w:cs="Times New Roman" w:hint="eastAsia"/>
          <w:sz w:val="20"/>
          <w:szCs w:val="20"/>
        </w:rPr>
        <w:t>減</w:t>
      </w:r>
      <w:r w:rsidR="00EC1DFA">
        <w:rPr>
          <w:rFonts w:ascii="Century" w:eastAsia="ＭＳ 明朝" w:hAnsi="Century" w:cs="Times New Roman" w:hint="eastAsia"/>
          <w:sz w:val="20"/>
          <w:szCs w:val="20"/>
        </w:rPr>
        <w:t>の</w:t>
      </w:r>
      <w:r w:rsidR="00A719CB">
        <w:rPr>
          <w:rFonts w:ascii="Century" w:eastAsia="ＭＳ 明朝" w:hAnsi="Century" w:cs="Times New Roman" w:hint="eastAsia"/>
          <w:sz w:val="20"/>
          <w:szCs w:val="20"/>
        </w:rPr>
        <w:t>成長率</w:t>
      </w:r>
      <w:r w:rsidR="00A719CB">
        <w:rPr>
          <w:rFonts w:ascii="Century" w:eastAsia="ＭＳ 明朝" w:hAnsi="Century" w:cs="Times New Roman" w:hint="eastAsia"/>
          <w:sz w:val="20"/>
          <w:szCs w:val="20"/>
        </w:rPr>
        <w:t>0.05</w:t>
      </w:r>
      <w:r w:rsidR="00A719CB">
        <w:rPr>
          <w:rFonts w:ascii="Century" w:eastAsia="ＭＳ 明朝" w:hAnsi="Century" w:cs="Times New Roman" w:hint="eastAsia"/>
          <w:sz w:val="20"/>
          <w:szCs w:val="20"/>
        </w:rPr>
        <w:t>％</w:t>
      </w:r>
      <w:r w:rsidR="00777468" w:rsidRPr="005A0113">
        <w:rPr>
          <w:rFonts w:ascii="Century" w:eastAsia="ＭＳ 明朝" w:hAnsi="Century" w:cs="Times New Roman" w:hint="eastAsia"/>
          <w:sz w:val="20"/>
          <w:szCs w:val="20"/>
        </w:rPr>
        <w:t>を記録し</w:t>
      </w:r>
      <w:r w:rsidR="00A719CB">
        <w:rPr>
          <w:rFonts w:ascii="Century" w:eastAsia="ＭＳ 明朝" w:hAnsi="Century" w:cs="Times New Roman" w:hint="eastAsia"/>
          <w:sz w:val="20"/>
          <w:szCs w:val="20"/>
        </w:rPr>
        <w:t>、</w:t>
      </w:r>
      <w:r w:rsidR="00A719CB">
        <w:rPr>
          <w:rFonts w:ascii="Century" w:eastAsia="ＭＳ 明朝" w:hAnsi="Century" w:cs="Times New Roman" w:hint="eastAsia"/>
          <w:sz w:val="20"/>
          <w:szCs w:val="20"/>
        </w:rPr>
        <w:t>8</w:t>
      </w:r>
      <w:r w:rsidR="005C4EBC">
        <w:rPr>
          <w:rFonts w:ascii="Century" w:eastAsia="ＭＳ 明朝" w:hAnsi="Century" w:cs="Times New Roman" w:hint="eastAsia"/>
          <w:sz w:val="20"/>
          <w:szCs w:val="20"/>
        </w:rPr>
        <w:t>月も同様に、同</w:t>
      </w:r>
      <w:r w:rsidR="00A719CB">
        <w:rPr>
          <w:rFonts w:ascii="Century" w:eastAsia="ＭＳ 明朝" w:hAnsi="Century" w:cs="Times New Roman" w:hint="eastAsia"/>
          <w:sz w:val="20"/>
          <w:szCs w:val="20"/>
        </w:rPr>
        <w:t>8.96</w:t>
      </w:r>
      <w:r w:rsidR="00A719CB">
        <w:rPr>
          <w:rFonts w:ascii="Century" w:eastAsia="ＭＳ 明朝" w:hAnsi="Century" w:cs="Times New Roman" w:hint="eastAsia"/>
          <w:sz w:val="20"/>
          <w:szCs w:val="20"/>
        </w:rPr>
        <w:t>ポイント減の</w:t>
      </w:r>
      <w:r w:rsidR="00A719CB">
        <w:rPr>
          <w:rFonts w:ascii="Century" w:eastAsia="ＭＳ 明朝" w:hAnsi="Century" w:cs="Times New Roman" w:hint="eastAsia"/>
          <w:sz w:val="20"/>
          <w:szCs w:val="20"/>
        </w:rPr>
        <w:t>0.06</w:t>
      </w:r>
      <w:r w:rsidR="00A719CB">
        <w:rPr>
          <w:rFonts w:ascii="Century" w:eastAsia="ＭＳ 明朝" w:hAnsi="Century" w:cs="Times New Roman" w:hint="eastAsia"/>
          <w:sz w:val="20"/>
          <w:szCs w:val="20"/>
        </w:rPr>
        <w:t>％となった。</w:t>
      </w:r>
    </w:p>
    <w:p w:rsidR="00E23134" w:rsidRDefault="00E5295D" w:rsidP="00300A96">
      <w:pPr>
        <w:rPr>
          <w:rFonts w:ascii="Century" w:eastAsia="ＭＳ 明朝" w:hAnsi="Century" w:cs="Times New Roman"/>
          <w:sz w:val="20"/>
          <w:szCs w:val="20"/>
        </w:rPr>
      </w:pPr>
      <w:r>
        <w:rPr>
          <w:noProof/>
        </w:rPr>
        <w:drawing>
          <wp:anchor distT="0" distB="0" distL="114300" distR="114300" simplePos="0" relativeHeight="251658240" behindDoc="0" locked="0" layoutInCell="1" allowOverlap="1" wp14:anchorId="3A56E5AE" wp14:editId="32B61C54">
            <wp:simplePos x="0" y="0"/>
            <wp:positionH relativeFrom="margin">
              <wp:posOffset>-128905</wp:posOffset>
            </wp:positionH>
            <wp:positionV relativeFrom="margin">
              <wp:posOffset>4903470</wp:posOffset>
            </wp:positionV>
            <wp:extent cx="5448300" cy="3028950"/>
            <wp:effectExtent l="0" t="0" r="0" b="0"/>
            <wp:wrapSquare wrapText="bothSides"/>
            <wp:docPr id="2" name="グラフ 2"/>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14:sizeRelH relativeFrom="margin">
              <wp14:pctWidth>0</wp14:pctWidth>
            </wp14:sizeRelH>
            <wp14:sizeRelV relativeFrom="margin">
              <wp14:pctHeight>0</wp14:pctHeight>
            </wp14:sizeRelV>
          </wp:anchor>
        </w:drawing>
      </w:r>
      <w:r w:rsidR="00E23134" w:rsidRPr="005A0113">
        <w:rPr>
          <w:rFonts w:ascii="Century" w:eastAsia="ＭＳ 明朝" w:hAnsi="Century" w:cs="Times New Roman" w:hint="eastAsia"/>
          <w:sz w:val="20"/>
          <w:szCs w:val="20"/>
        </w:rPr>
        <w:t>●インテル社による製造部門撤退の影響は</w:t>
      </w:r>
      <w:r w:rsidR="00E23134" w:rsidRPr="005A0113">
        <w:rPr>
          <w:rFonts w:ascii="Century" w:eastAsia="ＭＳ 明朝" w:hAnsi="Century" w:cs="Times New Roman" w:hint="eastAsia"/>
          <w:sz w:val="20"/>
          <w:szCs w:val="20"/>
        </w:rPr>
        <w:t>7</w:t>
      </w:r>
      <w:r w:rsidR="00850680">
        <w:rPr>
          <w:rFonts w:ascii="Century" w:eastAsia="ＭＳ 明朝" w:hAnsi="Century" w:cs="Times New Roman" w:hint="eastAsia"/>
          <w:sz w:val="20"/>
          <w:szCs w:val="20"/>
        </w:rPr>
        <w:t>、</w:t>
      </w:r>
      <w:r w:rsidR="00850680">
        <w:rPr>
          <w:rFonts w:ascii="Century" w:eastAsia="ＭＳ 明朝" w:hAnsi="Century" w:cs="Times New Roman" w:hint="eastAsia"/>
          <w:sz w:val="20"/>
          <w:szCs w:val="20"/>
        </w:rPr>
        <w:t>8</w:t>
      </w:r>
      <w:r w:rsidR="00E23134" w:rsidRPr="005A0113">
        <w:rPr>
          <w:rFonts w:ascii="Century" w:eastAsia="ＭＳ 明朝" w:hAnsi="Century" w:cs="Times New Roman" w:hint="eastAsia"/>
          <w:sz w:val="20"/>
          <w:szCs w:val="20"/>
        </w:rPr>
        <w:t>月時点では</w:t>
      </w:r>
      <w:r w:rsidR="008402CF">
        <w:rPr>
          <w:rFonts w:ascii="Century" w:eastAsia="ＭＳ 明朝" w:hAnsi="Century" w:cs="Times New Roman" w:hint="eastAsia"/>
          <w:sz w:val="20"/>
          <w:szCs w:val="20"/>
        </w:rPr>
        <w:t>経済活動</w:t>
      </w:r>
      <w:r w:rsidR="00E23134" w:rsidRPr="005A0113">
        <w:rPr>
          <w:rFonts w:ascii="Century" w:eastAsia="ＭＳ 明朝" w:hAnsi="Century" w:cs="Times New Roman" w:hint="eastAsia"/>
          <w:sz w:val="20"/>
          <w:szCs w:val="20"/>
        </w:rPr>
        <w:t>全体の数値</w:t>
      </w:r>
      <w:r w:rsidR="005C4EBC">
        <w:rPr>
          <w:rFonts w:ascii="Century" w:eastAsia="ＭＳ 明朝" w:hAnsi="Century" w:cs="Times New Roman" w:hint="eastAsia"/>
          <w:sz w:val="20"/>
          <w:szCs w:val="20"/>
        </w:rPr>
        <w:t>には</w:t>
      </w:r>
      <w:r w:rsidR="00997397">
        <w:rPr>
          <w:rFonts w:ascii="Century" w:eastAsia="ＭＳ 明朝" w:hAnsi="Century" w:cs="Times New Roman" w:hint="eastAsia"/>
          <w:sz w:val="20"/>
          <w:szCs w:val="20"/>
        </w:rPr>
        <w:t>反映され</w:t>
      </w:r>
      <w:r w:rsidR="00E23134" w:rsidRPr="005A0113">
        <w:rPr>
          <w:rFonts w:ascii="Century" w:eastAsia="ＭＳ 明朝" w:hAnsi="Century" w:cs="Times New Roman" w:hint="eastAsia"/>
          <w:sz w:val="20"/>
          <w:szCs w:val="20"/>
        </w:rPr>
        <w:t>ていない</w:t>
      </w:r>
      <w:r w:rsidR="00367D00" w:rsidRPr="005A0113">
        <w:rPr>
          <w:rFonts w:ascii="Century" w:eastAsia="ＭＳ 明朝" w:hAnsi="Century" w:cs="Times New Roman" w:hint="eastAsia"/>
          <w:sz w:val="20"/>
          <w:szCs w:val="20"/>
        </w:rPr>
        <w:t>(</w:t>
      </w:r>
      <w:r w:rsidR="00367D00" w:rsidRPr="005A0113">
        <w:rPr>
          <w:rFonts w:ascii="Century" w:eastAsia="ＭＳ 明朝" w:hAnsi="Century" w:cs="Times New Roman" w:hint="eastAsia"/>
          <w:sz w:val="20"/>
          <w:szCs w:val="20"/>
        </w:rPr>
        <w:t>前年同月比成長率各</w:t>
      </w:r>
      <w:r w:rsidR="00850680">
        <w:rPr>
          <w:rFonts w:ascii="Century" w:eastAsia="ＭＳ 明朝" w:hAnsi="Century" w:cs="Times New Roman" w:hint="eastAsia"/>
          <w:sz w:val="20"/>
          <w:szCs w:val="20"/>
        </w:rPr>
        <w:t>4.0</w:t>
      </w:r>
      <w:r w:rsidR="00367D00" w:rsidRPr="005A0113">
        <w:rPr>
          <w:rFonts w:ascii="Century" w:eastAsia="ＭＳ 明朝" w:hAnsi="Century" w:cs="Times New Roman" w:hint="eastAsia"/>
          <w:sz w:val="20"/>
          <w:szCs w:val="20"/>
        </w:rPr>
        <w:t>0%</w:t>
      </w:r>
      <w:r w:rsidR="00367D00" w:rsidRPr="005A0113">
        <w:rPr>
          <w:rFonts w:ascii="Century" w:eastAsia="ＭＳ 明朝" w:hAnsi="Century" w:cs="Times New Roman" w:hint="eastAsia"/>
          <w:sz w:val="20"/>
          <w:szCs w:val="20"/>
        </w:rPr>
        <w:t>、</w:t>
      </w:r>
      <w:r w:rsidR="00850680">
        <w:rPr>
          <w:rFonts w:ascii="Century" w:eastAsia="ＭＳ 明朝" w:hAnsi="Century" w:cs="Times New Roman" w:hint="eastAsia"/>
          <w:sz w:val="20"/>
          <w:szCs w:val="20"/>
        </w:rPr>
        <w:t>3</w:t>
      </w:r>
      <w:r w:rsidR="00367D00" w:rsidRPr="005A0113">
        <w:rPr>
          <w:rFonts w:ascii="Century" w:eastAsia="ＭＳ 明朝" w:hAnsi="Century" w:cs="Times New Roman" w:hint="eastAsia"/>
          <w:sz w:val="20"/>
          <w:szCs w:val="20"/>
        </w:rPr>
        <w:t>.</w:t>
      </w:r>
      <w:r w:rsidR="00850680">
        <w:rPr>
          <w:rFonts w:ascii="Century" w:eastAsia="ＭＳ 明朝" w:hAnsi="Century" w:cs="Times New Roman" w:hint="eastAsia"/>
          <w:sz w:val="20"/>
          <w:szCs w:val="20"/>
        </w:rPr>
        <w:t>80</w:t>
      </w:r>
      <w:r w:rsidR="00367D00" w:rsidRPr="005A0113">
        <w:rPr>
          <w:rFonts w:ascii="Century" w:eastAsia="ＭＳ 明朝" w:hAnsi="Century" w:cs="Times New Roman" w:hint="eastAsia"/>
          <w:sz w:val="20"/>
          <w:szCs w:val="20"/>
        </w:rPr>
        <w:t xml:space="preserve"> %)</w:t>
      </w:r>
      <w:r w:rsidR="00E23134" w:rsidRPr="005A0113">
        <w:rPr>
          <w:rFonts w:ascii="Century" w:eastAsia="ＭＳ 明朝" w:hAnsi="Century" w:cs="Times New Roman" w:hint="eastAsia"/>
          <w:sz w:val="20"/>
          <w:szCs w:val="20"/>
        </w:rPr>
        <w:t>。しかし、</w:t>
      </w:r>
      <w:r w:rsidR="009629D7" w:rsidRPr="005A0113">
        <w:rPr>
          <w:rFonts w:ascii="Century" w:eastAsia="ＭＳ 明朝" w:hAnsi="Century" w:cs="Times New Roman" w:hint="eastAsia"/>
          <w:sz w:val="20"/>
          <w:szCs w:val="20"/>
        </w:rPr>
        <w:t>同社は</w:t>
      </w:r>
      <w:r w:rsidR="005C4EBC">
        <w:rPr>
          <w:rFonts w:ascii="Century" w:eastAsia="ＭＳ 明朝" w:hAnsi="Century" w:cs="Times New Roman" w:hint="eastAsia"/>
          <w:sz w:val="20"/>
          <w:szCs w:val="20"/>
        </w:rPr>
        <w:t>コスタリカの</w:t>
      </w:r>
      <w:r w:rsidR="00EC1DFA">
        <w:rPr>
          <w:rFonts w:ascii="Century" w:eastAsia="ＭＳ 明朝" w:hAnsi="Century" w:cs="Times New Roman" w:hint="eastAsia"/>
          <w:sz w:val="20"/>
          <w:szCs w:val="20"/>
        </w:rPr>
        <w:t>輸出額</w:t>
      </w:r>
      <w:r w:rsidR="00E23134" w:rsidRPr="005A0113">
        <w:rPr>
          <w:rFonts w:ascii="Century" w:eastAsia="ＭＳ 明朝" w:hAnsi="Century" w:cs="Times New Roman" w:hint="eastAsia"/>
          <w:sz w:val="20"/>
          <w:szCs w:val="20"/>
        </w:rPr>
        <w:t>の</w:t>
      </w:r>
      <w:r w:rsidR="00E23134" w:rsidRPr="005A0113">
        <w:rPr>
          <w:rFonts w:ascii="Century" w:eastAsia="ＭＳ 明朝" w:hAnsi="Century" w:cs="Times New Roman" w:hint="eastAsia"/>
          <w:sz w:val="20"/>
          <w:szCs w:val="20"/>
        </w:rPr>
        <w:t>2</w:t>
      </w:r>
      <w:r w:rsidR="00E23134" w:rsidRPr="005A0113">
        <w:rPr>
          <w:rFonts w:ascii="Century" w:eastAsia="ＭＳ 明朝" w:hAnsi="Century" w:cs="Times New Roman" w:hint="eastAsia"/>
          <w:sz w:val="20"/>
          <w:szCs w:val="20"/>
        </w:rPr>
        <w:t>割</w:t>
      </w:r>
      <w:r w:rsidR="00EC1DFA">
        <w:rPr>
          <w:rFonts w:ascii="Century" w:eastAsia="ＭＳ 明朝" w:hAnsi="Century" w:cs="Times New Roman" w:hint="eastAsia"/>
          <w:sz w:val="20"/>
          <w:szCs w:val="20"/>
        </w:rPr>
        <w:t>近くを占め</w:t>
      </w:r>
      <w:r w:rsidR="008402CF">
        <w:rPr>
          <w:rFonts w:ascii="Century" w:eastAsia="ＭＳ 明朝" w:hAnsi="Century" w:cs="Times New Roman" w:hint="eastAsia"/>
          <w:sz w:val="20"/>
          <w:szCs w:val="20"/>
        </w:rPr>
        <w:t>る</w:t>
      </w:r>
      <w:r w:rsidR="009629D7" w:rsidRPr="005A0113">
        <w:rPr>
          <w:rFonts w:ascii="Century" w:eastAsia="ＭＳ 明朝" w:hAnsi="Century" w:cs="Times New Roman" w:hint="eastAsia"/>
          <w:sz w:val="20"/>
          <w:szCs w:val="20"/>
        </w:rPr>
        <w:t>代表的</w:t>
      </w:r>
      <w:r w:rsidR="00E23134" w:rsidRPr="005A0113">
        <w:rPr>
          <w:rFonts w:ascii="Century" w:eastAsia="ＭＳ 明朝" w:hAnsi="Century" w:cs="Times New Roman" w:hint="eastAsia"/>
          <w:sz w:val="20"/>
          <w:szCs w:val="20"/>
        </w:rPr>
        <w:t>企業だった</w:t>
      </w:r>
      <w:r w:rsidR="009629D7" w:rsidRPr="005A0113">
        <w:rPr>
          <w:rFonts w:ascii="Century" w:eastAsia="ＭＳ 明朝" w:hAnsi="Century" w:cs="Times New Roman" w:hint="eastAsia"/>
          <w:sz w:val="20"/>
          <w:szCs w:val="20"/>
        </w:rPr>
        <w:t>ため、</w:t>
      </w:r>
      <w:r w:rsidR="00E23134" w:rsidRPr="005A0113">
        <w:rPr>
          <w:rFonts w:ascii="Century" w:eastAsia="ＭＳ 明朝" w:hAnsi="Century" w:cs="Times New Roman" w:hint="eastAsia"/>
          <w:sz w:val="20"/>
          <w:szCs w:val="20"/>
        </w:rPr>
        <w:t>今後</w:t>
      </w:r>
      <w:r w:rsidR="008402CF">
        <w:rPr>
          <w:rFonts w:ascii="Century" w:eastAsia="ＭＳ 明朝" w:hAnsi="Century" w:cs="Times New Roman" w:hint="eastAsia"/>
          <w:sz w:val="20"/>
          <w:szCs w:val="20"/>
        </w:rPr>
        <w:t>その影響が経済全体の指標に波及するのは必至と</w:t>
      </w:r>
      <w:r w:rsidR="00203B53">
        <w:rPr>
          <w:rFonts w:ascii="Century" w:eastAsia="ＭＳ 明朝" w:hAnsi="Century" w:cs="Times New Roman" w:hint="eastAsia"/>
          <w:sz w:val="20"/>
          <w:szCs w:val="20"/>
        </w:rPr>
        <w:t>みら</w:t>
      </w:r>
      <w:r w:rsidR="008402CF">
        <w:rPr>
          <w:rFonts w:ascii="Century" w:eastAsia="ＭＳ 明朝" w:hAnsi="Century" w:cs="Times New Roman" w:hint="eastAsia"/>
          <w:sz w:val="20"/>
          <w:szCs w:val="20"/>
        </w:rPr>
        <w:t>れている</w:t>
      </w:r>
      <w:r w:rsidR="00E23134" w:rsidRPr="005A0113">
        <w:rPr>
          <w:rFonts w:ascii="Century" w:eastAsia="ＭＳ 明朝" w:hAnsi="Century" w:cs="Times New Roman" w:hint="eastAsia"/>
          <w:sz w:val="20"/>
          <w:szCs w:val="20"/>
        </w:rPr>
        <w:t>。</w:t>
      </w:r>
    </w:p>
    <w:p w:rsidR="00F91247" w:rsidRPr="00354305" w:rsidRDefault="00F91247" w:rsidP="00F91247">
      <w:pPr>
        <w:rPr>
          <w:rFonts w:ascii="Century" w:eastAsia="ＭＳ 明朝" w:hAnsi="Century" w:cs="Times New Roman"/>
          <w:szCs w:val="21"/>
        </w:rPr>
      </w:pPr>
      <w:r w:rsidRPr="00354305">
        <w:rPr>
          <w:rFonts w:ascii="Century" w:eastAsia="ＭＳ 明朝" w:hAnsi="Century" w:cs="Times New Roman"/>
          <w:szCs w:val="21"/>
        </w:rPr>
        <w:t>2</w:t>
      </w:r>
      <w:r w:rsidRPr="00354305">
        <w:rPr>
          <w:rFonts w:ascii="Century" w:eastAsia="ＭＳ 明朝" w:hAnsi="Century" w:cs="Times New Roman" w:hint="eastAsia"/>
          <w:szCs w:val="21"/>
        </w:rPr>
        <w:t xml:space="preserve">　貿易</w:t>
      </w:r>
    </w:p>
    <w:p w:rsidR="00F7142A" w:rsidRPr="005A0113" w:rsidRDefault="003C71C3" w:rsidP="00F91247">
      <w:pPr>
        <w:jc w:val="left"/>
        <w:rPr>
          <w:rFonts w:ascii="Century" w:eastAsia="ＭＳ 明朝" w:hAnsi="Century" w:cs="Times New Roman"/>
          <w:sz w:val="20"/>
          <w:szCs w:val="20"/>
        </w:rPr>
      </w:pPr>
      <w:r w:rsidRPr="005A0113">
        <w:rPr>
          <w:rFonts w:ascii="Century" w:eastAsia="ＭＳ 明朝" w:hAnsi="Century" w:cs="Times New Roman" w:hint="eastAsia"/>
          <w:sz w:val="20"/>
          <w:szCs w:val="20"/>
        </w:rPr>
        <w:lastRenderedPageBreak/>
        <w:t>●</w:t>
      </w:r>
      <w:r w:rsidR="00B66E23" w:rsidRPr="005A0113">
        <w:rPr>
          <w:rFonts w:ascii="Century" w:eastAsia="ＭＳ 明朝" w:hAnsi="Century" w:cs="Times New Roman" w:hint="eastAsia"/>
          <w:sz w:val="20"/>
          <w:szCs w:val="20"/>
        </w:rPr>
        <w:t>7</w:t>
      </w:r>
      <w:r w:rsidR="00337E74" w:rsidRPr="005A0113">
        <w:rPr>
          <w:rFonts w:ascii="Century" w:eastAsia="ＭＳ 明朝" w:hAnsi="Century" w:cs="Times New Roman" w:hint="eastAsia"/>
          <w:sz w:val="20"/>
          <w:szCs w:val="20"/>
        </w:rPr>
        <w:t>月の</w:t>
      </w:r>
      <w:r w:rsidR="00F91247" w:rsidRPr="005A0113">
        <w:rPr>
          <w:rFonts w:ascii="Century" w:eastAsia="ＭＳ 明朝" w:hAnsi="Century" w:cs="Times New Roman" w:hint="eastAsia"/>
          <w:sz w:val="20"/>
          <w:szCs w:val="20"/>
        </w:rPr>
        <w:t>輸入額</w:t>
      </w:r>
      <w:r w:rsidR="00C72A7B" w:rsidRPr="005A0113">
        <w:rPr>
          <w:rFonts w:ascii="Century" w:eastAsia="ＭＳ 明朝" w:hAnsi="Century" w:cs="Times New Roman" w:hint="eastAsia"/>
          <w:sz w:val="20"/>
          <w:szCs w:val="20"/>
        </w:rPr>
        <w:t>(</w:t>
      </w:r>
      <w:r w:rsidR="00C72A7B" w:rsidRPr="005A0113">
        <w:rPr>
          <w:rFonts w:ascii="Century" w:eastAsia="ＭＳ 明朝" w:hAnsi="Century" w:cs="Times New Roman" w:hint="eastAsia"/>
          <w:sz w:val="20"/>
          <w:szCs w:val="20"/>
        </w:rPr>
        <w:t>表</w:t>
      </w:r>
      <w:r w:rsidR="00C72A7B" w:rsidRPr="005A0113">
        <w:rPr>
          <w:rFonts w:ascii="Century" w:eastAsia="ＭＳ 明朝" w:hAnsi="Century" w:cs="Times New Roman" w:hint="eastAsia"/>
          <w:sz w:val="20"/>
          <w:szCs w:val="20"/>
        </w:rPr>
        <w:t>2)</w:t>
      </w:r>
      <w:r w:rsidR="00F91247" w:rsidRPr="005A0113">
        <w:rPr>
          <w:rFonts w:ascii="Century" w:eastAsia="ＭＳ 明朝" w:hAnsi="Century" w:cs="Times New Roman" w:hint="eastAsia"/>
          <w:sz w:val="20"/>
          <w:szCs w:val="20"/>
        </w:rPr>
        <w:t>は</w:t>
      </w:r>
      <w:r w:rsidR="00B66E23" w:rsidRPr="005A0113">
        <w:rPr>
          <w:rFonts w:ascii="Century" w:eastAsia="ＭＳ 明朝" w:hAnsi="Century" w:cs="Times New Roman" w:hint="eastAsia"/>
          <w:sz w:val="20"/>
          <w:szCs w:val="20"/>
        </w:rPr>
        <w:t>1,395</w:t>
      </w:r>
      <w:r w:rsidR="00F91247" w:rsidRPr="005A0113">
        <w:rPr>
          <w:rFonts w:ascii="Century" w:eastAsia="ＭＳ 明朝" w:hAnsi="Century" w:cs="Times New Roman" w:hint="eastAsia"/>
          <w:sz w:val="20"/>
          <w:szCs w:val="20"/>
        </w:rPr>
        <w:t>百万ドル</w:t>
      </w:r>
      <w:r w:rsidR="00F91247" w:rsidRPr="005A0113">
        <w:rPr>
          <w:rFonts w:ascii="Century" w:eastAsia="ＭＳ 明朝" w:hAnsi="Century" w:cs="Times New Roman"/>
          <w:sz w:val="20"/>
          <w:szCs w:val="20"/>
        </w:rPr>
        <w:t>(</w:t>
      </w:r>
      <w:r w:rsidR="00997397">
        <w:rPr>
          <w:rFonts w:ascii="Century" w:eastAsia="ＭＳ 明朝" w:hAnsi="Century" w:cs="Times New Roman" w:hint="eastAsia"/>
          <w:sz w:val="20"/>
          <w:szCs w:val="20"/>
        </w:rPr>
        <w:t>前年同月比マイナス</w:t>
      </w:r>
      <w:r w:rsidR="00997397">
        <w:rPr>
          <w:rFonts w:ascii="Century" w:eastAsia="ＭＳ 明朝" w:hAnsi="Century" w:cs="Times New Roman" w:hint="eastAsia"/>
          <w:sz w:val="20"/>
          <w:szCs w:val="20"/>
        </w:rPr>
        <w:t>8.3</w:t>
      </w:r>
      <w:r w:rsidR="00F91247" w:rsidRPr="005A0113">
        <w:rPr>
          <w:rFonts w:ascii="Century" w:eastAsia="ＭＳ 明朝" w:hAnsi="Century" w:cs="Times New Roman"/>
          <w:sz w:val="20"/>
          <w:szCs w:val="20"/>
        </w:rPr>
        <w:t>%)</w:t>
      </w:r>
      <w:r w:rsidR="00F91247" w:rsidRPr="005A0113">
        <w:rPr>
          <w:rFonts w:ascii="Century" w:eastAsia="ＭＳ 明朝" w:hAnsi="Century" w:cs="Times New Roman" w:hint="eastAsia"/>
          <w:sz w:val="20"/>
          <w:szCs w:val="20"/>
        </w:rPr>
        <w:t>、</w:t>
      </w:r>
      <w:r w:rsidR="00337E74" w:rsidRPr="005A0113">
        <w:rPr>
          <w:rFonts w:ascii="Century" w:eastAsia="ＭＳ 明朝" w:hAnsi="Century" w:cs="Times New Roman" w:hint="eastAsia"/>
          <w:sz w:val="20"/>
          <w:szCs w:val="20"/>
        </w:rPr>
        <w:t>同</w:t>
      </w:r>
      <w:r w:rsidR="00F91247" w:rsidRPr="005A0113">
        <w:rPr>
          <w:rFonts w:ascii="Century" w:eastAsia="ＭＳ 明朝" w:hAnsi="Century" w:cs="Times New Roman" w:hint="eastAsia"/>
          <w:sz w:val="20"/>
          <w:szCs w:val="20"/>
        </w:rPr>
        <w:t>輸出額</w:t>
      </w:r>
      <w:r w:rsidR="00C72A7B" w:rsidRPr="005A0113">
        <w:rPr>
          <w:rFonts w:ascii="Century" w:eastAsia="ＭＳ 明朝" w:hAnsi="Century" w:cs="Times New Roman" w:hint="eastAsia"/>
          <w:sz w:val="20"/>
          <w:szCs w:val="20"/>
        </w:rPr>
        <w:t>(</w:t>
      </w:r>
      <w:r w:rsidR="00C72A7B" w:rsidRPr="005A0113">
        <w:rPr>
          <w:rFonts w:ascii="Century" w:eastAsia="ＭＳ 明朝" w:hAnsi="Century" w:cs="Times New Roman" w:hint="eastAsia"/>
          <w:sz w:val="20"/>
          <w:szCs w:val="20"/>
        </w:rPr>
        <w:t>表</w:t>
      </w:r>
      <w:r w:rsidR="00C72A7B" w:rsidRPr="005A0113">
        <w:rPr>
          <w:rFonts w:ascii="Century" w:eastAsia="ＭＳ 明朝" w:hAnsi="Century" w:cs="Times New Roman" w:hint="eastAsia"/>
          <w:sz w:val="20"/>
          <w:szCs w:val="20"/>
        </w:rPr>
        <w:t>2)</w:t>
      </w:r>
      <w:r w:rsidR="00F91247" w:rsidRPr="005A0113">
        <w:rPr>
          <w:rFonts w:ascii="Century" w:eastAsia="ＭＳ 明朝" w:hAnsi="Century" w:cs="Times New Roman" w:hint="eastAsia"/>
          <w:sz w:val="20"/>
          <w:szCs w:val="20"/>
        </w:rPr>
        <w:t>は</w:t>
      </w:r>
      <w:r w:rsidR="00B66E23" w:rsidRPr="005A0113">
        <w:rPr>
          <w:rFonts w:ascii="Century" w:eastAsia="ＭＳ 明朝" w:hAnsi="Century" w:cs="Times New Roman" w:hint="eastAsia"/>
          <w:sz w:val="20"/>
          <w:szCs w:val="20"/>
        </w:rPr>
        <w:t>940.4</w:t>
      </w:r>
      <w:r w:rsidR="00F91247" w:rsidRPr="005A0113">
        <w:rPr>
          <w:rFonts w:ascii="Century" w:eastAsia="ＭＳ 明朝" w:hAnsi="Century" w:cs="Times New Roman" w:hint="eastAsia"/>
          <w:sz w:val="20"/>
          <w:szCs w:val="20"/>
        </w:rPr>
        <w:t>百万ドル</w:t>
      </w:r>
      <w:r w:rsidR="00F91247" w:rsidRPr="005A0113">
        <w:rPr>
          <w:rFonts w:ascii="Century" w:eastAsia="ＭＳ 明朝" w:hAnsi="Century" w:cs="Times New Roman"/>
          <w:sz w:val="20"/>
          <w:szCs w:val="20"/>
        </w:rPr>
        <w:t>(</w:t>
      </w:r>
      <w:r w:rsidR="00337E74" w:rsidRPr="005A0113">
        <w:rPr>
          <w:rFonts w:ascii="Century" w:eastAsia="ＭＳ 明朝" w:hAnsi="Century" w:cs="Times New Roman" w:hint="eastAsia"/>
          <w:sz w:val="20"/>
          <w:szCs w:val="20"/>
        </w:rPr>
        <w:t>前年</w:t>
      </w:r>
      <w:r w:rsidR="00997397">
        <w:rPr>
          <w:rFonts w:ascii="Century" w:eastAsia="ＭＳ 明朝" w:hAnsi="Century" w:cs="Times New Roman" w:hint="eastAsia"/>
          <w:sz w:val="20"/>
          <w:szCs w:val="20"/>
        </w:rPr>
        <w:t>同月</w:t>
      </w:r>
      <w:r w:rsidR="002F0450" w:rsidRPr="005A0113">
        <w:rPr>
          <w:rFonts w:ascii="Century" w:eastAsia="ＭＳ 明朝" w:hAnsi="Century" w:cs="Times New Roman" w:hint="eastAsia"/>
          <w:sz w:val="20"/>
          <w:szCs w:val="20"/>
        </w:rPr>
        <w:t>比</w:t>
      </w:r>
      <w:r w:rsidR="00997397">
        <w:rPr>
          <w:rFonts w:ascii="Century" w:eastAsia="ＭＳ 明朝" w:hAnsi="Century" w:cs="Times New Roman" w:hint="eastAsia"/>
          <w:sz w:val="20"/>
          <w:szCs w:val="20"/>
        </w:rPr>
        <w:t>マイナス</w:t>
      </w:r>
      <w:r w:rsidR="00997397">
        <w:rPr>
          <w:rFonts w:ascii="Century" w:eastAsia="ＭＳ 明朝" w:hAnsi="Century" w:cs="Times New Roman" w:hint="eastAsia"/>
          <w:sz w:val="20"/>
          <w:szCs w:val="20"/>
        </w:rPr>
        <w:t>1</w:t>
      </w:r>
      <w:r w:rsidR="00F91247" w:rsidRPr="005A0113">
        <w:rPr>
          <w:rFonts w:ascii="Century" w:eastAsia="ＭＳ 明朝" w:hAnsi="Century" w:cs="Times New Roman"/>
          <w:sz w:val="20"/>
          <w:szCs w:val="20"/>
        </w:rPr>
        <w:t>%)</w:t>
      </w:r>
      <w:r w:rsidRPr="005A0113">
        <w:rPr>
          <w:rFonts w:ascii="Century" w:eastAsia="ＭＳ 明朝" w:hAnsi="Century" w:cs="Times New Roman" w:hint="eastAsia"/>
          <w:sz w:val="20"/>
          <w:szCs w:val="20"/>
        </w:rPr>
        <w:t>となった。</w:t>
      </w:r>
    </w:p>
    <w:p w:rsidR="003C71C3" w:rsidRPr="005A0113" w:rsidRDefault="003C71C3" w:rsidP="00F91247">
      <w:pPr>
        <w:jc w:val="left"/>
        <w:rPr>
          <w:rFonts w:ascii="Century" w:eastAsia="ＭＳ 明朝" w:hAnsi="Century" w:cs="Times New Roman"/>
          <w:sz w:val="20"/>
          <w:szCs w:val="20"/>
        </w:rPr>
      </w:pPr>
      <w:r w:rsidRPr="005A0113">
        <w:rPr>
          <w:rFonts w:ascii="Century" w:eastAsia="ＭＳ 明朝" w:hAnsi="Century" w:cs="Times New Roman" w:hint="eastAsia"/>
          <w:sz w:val="20"/>
          <w:szCs w:val="20"/>
        </w:rPr>
        <w:t>●</w:t>
      </w:r>
      <w:r w:rsidR="00A5281C" w:rsidRPr="005A0113">
        <w:rPr>
          <w:rFonts w:ascii="Century" w:eastAsia="ＭＳ 明朝" w:hAnsi="Century" w:cs="Times New Roman" w:hint="eastAsia"/>
          <w:sz w:val="20"/>
          <w:szCs w:val="20"/>
        </w:rPr>
        <w:t>8</w:t>
      </w:r>
      <w:r w:rsidRPr="005A0113">
        <w:rPr>
          <w:rFonts w:ascii="Century" w:eastAsia="ＭＳ 明朝" w:hAnsi="Century" w:cs="Times New Roman" w:hint="eastAsia"/>
          <w:sz w:val="20"/>
          <w:szCs w:val="20"/>
        </w:rPr>
        <w:t>月の輸入額</w:t>
      </w:r>
      <w:r w:rsidR="00C72A7B" w:rsidRPr="005A0113">
        <w:rPr>
          <w:rFonts w:ascii="Century" w:eastAsia="ＭＳ 明朝" w:hAnsi="Century" w:cs="Times New Roman" w:hint="eastAsia"/>
          <w:sz w:val="20"/>
          <w:szCs w:val="20"/>
        </w:rPr>
        <w:t>(</w:t>
      </w:r>
      <w:r w:rsidR="00C72A7B" w:rsidRPr="005A0113">
        <w:rPr>
          <w:rFonts w:ascii="Century" w:eastAsia="ＭＳ 明朝" w:hAnsi="Century" w:cs="Times New Roman" w:hint="eastAsia"/>
          <w:sz w:val="20"/>
          <w:szCs w:val="20"/>
        </w:rPr>
        <w:t>表</w:t>
      </w:r>
      <w:r w:rsidR="00C72A7B" w:rsidRPr="005A0113">
        <w:rPr>
          <w:rFonts w:ascii="Century" w:eastAsia="ＭＳ 明朝" w:hAnsi="Century" w:cs="Times New Roman" w:hint="eastAsia"/>
          <w:sz w:val="20"/>
          <w:szCs w:val="20"/>
        </w:rPr>
        <w:t>2)</w:t>
      </w:r>
      <w:r w:rsidRPr="005A0113">
        <w:rPr>
          <w:rFonts w:ascii="Century" w:eastAsia="ＭＳ 明朝" w:hAnsi="Century" w:cs="Times New Roman" w:hint="eastAsia"/>
          <w:sz w:val="20"/>
          <w:szCs w:val="20"/>
        </w:rPr>
        <w:t>は</w:t>
      </w:r>
      <w:r w:rsidR="00A5281C" w:rsidRPr="005A0113">
        <w:rPr>
          <w:rFonts w:ascii="Century" w:eastAsia="ＭＳ 明朝" w:hAnsi="Century" w:cs="Times New Roman" w:hint="eastAsia"/>
          <w:sz w:val="20"/>
          <w:szCs w:val="20"/>
        </w:rPr>
        <w:t>1431.5</w:t>
      </w:r>
      <w:r w:rsidR="00761690">
        <w:rPr>
          <w:rFonts w:ascii="Century" w:eastAsia="ＭＳ 明朝" w:hAnsi="Century" w:cs="Times New Roman" w:hint="eastAsia"/>
          <w:sz w:val="20"/>
          <w:szCs w:val="20"/>
        </w:rPr>
        <w:t>百万ドル</w:t>
      </w:r>
      <w:r w:rsidRPr="005A0113">
        <w:rPr>
          <w:rFonts w:ascii="Century" w:eastAsia="ＭＳ 明朝" w:hAnsi="Century" w:cs="Times New Roman" w:hint="eastAsia"/>
          <w:sz w:val="20"/>
          <w:szCs w:val="20"/>
        </w:rPr>
        <w:t>(</w:t>
      </w:r>
      <w:r w:rsidR="00761690">
        <w:rPr>
          <w:rFonts w:ascii="Century" w:eastAsia="ＭＳ 明朝" w:hAnsi="Century" w:cs="Times New Roman" w:hint="eastAsia"/>
          <w:sz w:val="20"/>
          <w:szCs w:val="20"/>
        </w:rPr>
        <w:t>前年同月比マイナス</w:t>
      </w:r>
      <w:r w:rsidR="00761690">
        <w:rPr>
          <w:rFonts w:ascii="Century" w:eastAsia="ＭＳ 明朝" w:hAnsi="Century" w:cs="Times New Roman" w:hint="eastAsia"/>
          <w:sz w:val="20"/>
          <w:szCs w:val="20"/>
        </w:rPr>
        <w:t>6.1</w:t>
      </w:r>
      <w:r w:rsidRPr="005A0113">
        <w:rPr>
          <w:rFonts w:ascii="Century" w:eastAsia="ＭＳ 明朝" w:hAnsi="Century" w:cs="Times New Roman" w:hint="eastAsia"/>
          <w:sz w:val="20"/>
          <w:szCs w:val="20"/>
        </w:rPr>
        <w:t>%)</w:t>
      </w:r>
      <w:r w:rsidRPr="005A0113">
        <w:rPr>
          <w:rFonts w:ascii="Century" w:eastAsia="ＭＳ 明朝" w:hAnsi="Century" w:cs="Times New Roman" w:hint="eastAsia"/>
          <w:sz w:val="20"/>
          <w:szCs w:val="20"/>
        </w:rPr>
        <w:t>となり、同輸出額</w:t>
      </w:r>
      <w:r w:rsidR="00C72A7B" w:rsidRPr="005A0113">
        <w:rPr>
          <w:rFonts w:ascii="Century" w:eastAsia="ＭＳ 明朝" w:hAnsi="Century" w:cs="Times New Roman" w:hint="eastAsia"/>
          <w:sz w:val="20"/>
          <w:szCs w:val="20"/>
        </w:rPr>
        <w:t>(</w:t>
      </w:r>
      <w:r w:rsidR="00C72A7B" w:rsidRPr="005A0113">
        <w:rPr>
          <w:rFonts w:ascii="Century" w:eastAsia="ＭＳ 明朝" w:hAnsi="Century" w:cs="Times New Roman" w:hint="eastAsia"/>
          <w:sz w:val="20"/>
          <w:szCs w:val="20"/>
        </w:rPr>
        <w:t>表</w:t>
      </w:r>
      <w:r w:rsidR="00C72A7B" w:rsidRPr="005A0113">
        <w:rPr>
          <w:rFonts w:ascii="Century" w:eastAsia="ＭＳ 明朝" w:hAnsi="Century" w:cs="Times New Roman" w:hint="eastAsia"/>
          <w:sz w:val="20"/>
          <w:szCs w:val="20"/>
        </w:rPr>
        <w:t>2)</w:t>
      </w:r>
      <w:r w:rsidRPr="005A0113">
        <w:rPr>
          <w:rFonts w:ascii="Century" w:eastAsia="ＭＳ 明朝" w:hAnsi="Century" w:cs="Times New Roman" w:hint="eastAsia"/>
          <w:sz w:val="20"/>
          <w:szCs w:val="20"/>
        </w:rPr>
        <w:t>は</w:t>
      </w:r>
      <w:r w:rsidR="003D4263" w:rsidRPr="005A0113">
        <w:rPr>
          <w:rFonts w:ascii="Century" w:eastAsia="ＭＳ 明朝" w:hAnsi="Century" w:cs="Times New Roman" w:hint="eastAsia"/>
          <w:sz w:val="20"/>
          <w:szCs w:val="20"/>
        </w:rPr>
        <w:t>943.0</w:t>
      </w:r>
      <w:r w:rsidRPr="005A0113">
        <w:rPr>
          <w:rFonts w:ascii="Century" w:eastAsia="ＭＳ 明朝" w:hAnsi="Century" w:cs="Times New Roman" w:hint="eastAsia"/>
          <w:sz w:val="20"/>
          <w:szCs w:val="20"/>
        </w:rPr>
        <w:t>百万ドル</w:t>
      </w:r>
      <w:r w:rsidRPr="005A0113">
        <w:rPr>
          <w:rFonts w:ascii="Century" w:eastAsia="ＭＳ 明朝" w:hAnsi="Century" w:cs="Times New Roman" w:hint="eastAsia"/>
          <w:sz w:val="20"/>
          <w:szCs w:val="20"/>
        </w:rPr>
        <w:t>(</w:t>
      </w:r>
      <w:r w:rsidRPr="005A0113">
        <w:rPr>
          <w:rFonts w:ascii="Century" w:eastAsia="ＭＳ 明朝" w:hAnsi="Century" w:cs="Times New Roman" w:hint="eastAsia"/>
          <w:sz w:val="20"/>
          <w:szCs w:val="20"/>
        </w:rPr>
        <w:t>前年比プラス</w:t>
      </w:r>
      <w:r w:rsidR="00761690">
        <w:rPr>
          <w:rFonts w:ascii="Century" w:eastAsia="ＭＳ 明朝" w:hAnsi="Century" w:cs="Times New Roman" w:hint="eastAsia"/>
          <w:sz w:val="20"/>
          <w:szCs w:val="20"/>
        </w:rPr>
        <w:t>0.5</w:t>
      </w:r>
      <w:r w:rsidRPr="005A0113">
        <w:rPr>
          <w:rFonts w:ascii="Century" w:eastAsia="ＭＳ 明朝" w:hAnsi="Century" w:cs="Times New Roman" w:hint="eastAsia"/>
          <w:sz w:val="20"/>
          <w:szCs w:val="20"/>
        </w:rPr>
        <w:t>％</w:t>
      </w:r>
      <w:r w:rsidRPr="005A0113">
        <w:rPr>
          <w:rFonts w:ascii="Century" w:eastAsia="ＭＳ 明朝" w:hAnsi="Century" w:cs="Times New Roman" w:hint="eastAsia"/>
          <w:sz w:val="20"/>
          <w:szCs w:val="20"/>
        </w:rPr>
        <w:t>)</w:t>
      </w:r>
      <w:r w:rsidRPr="005A0113">
        <w:rPr>
          <w:rFonts w:ascii="Century" w:eastAsia="ＭＳ 明朝" w:hAnsi="Century" w:cs="Times New Roman" w:hint="eastAsia"/>
          <w:sz w:val="20"/>
          <w:szCs w:val="20"/>
        </w:rPr>
        <w:t>となった。</w:t>
      </w:r>
    </w:p>
    <w:p w:rsidR="006E6D6D" w:rsidRPr="005A0113" w:rsidRDefault="00C72A7B" w:rsidP="00F91247">
      <w:pPr>
        <w:jc w:val="left"/>
        <w:rPr>
          <w:rFonts w:ascii="Century" w:eastAsia="ＭＳ 明朝" w:hAnsi="Century" w:cs="Times New Roman"/>
          <w:sz w:val="20"/>
          <w:szCs w:val="20"/>
        </w:rPr>
      </w:pPr>
      <w:r w:rsidRPr="005A0113">
        <w:rPr>
          <w:rFonts w:ascii="Century" w:eastAsia="ＭＳ 明朝" w:hAnsi="Century" w:cs="Times New Roman" w:hint="eastAsia"/>
          <w:sz w:val="20"/>
          <w:szCs w:val="20"/>
        </w:rPr>
        <w:t>●累積</w:t>
      </w:r>
      <w:r w:rsidR="00EC1534" w:rsidRPr="005A0113">
        <w:rPr>
          <w:rFonts w:ascii="Century" w:eastAsia="ＭＳ 明朝" w:hAnsi="Century" w:cs="Times New Roman" w:hint="eastAsia"/>
          <w:sz w:val="20"/>
          <w:szCs w:val="20"/>
        </w:rPr>
        <w:t>額</w:t>
      </w:r>
      <w:r w:rsidRPr="005A0113">
        <w:rPr>
          <w:rFonts w:ascii="Century" w:eastAsia="ＭＳ 明朝" w:hAnsi="Century" w:cs="Times New Roman" w:hint="eastAsia"/>
          <w:sz w:val="20"/>
          <w:szCs w:val="20"/>
        </w:rPr>
        <w:t>に関しては、輸入額が</w:t>
      </w:r>
      <w:r w:rsidR="00107EF2" w:rsidRPr="005A0113">
        <w:rPr>
          <w:rFonts w:ascii="Century" w:eastAsia="ＭＳ 明朝" w:hAnsi="Century" w:cs="Times New Roman" w:hint="eastAsia"/>
          <w:sz w:val="20"/>
          <w:szCs w:val="20"/>
        </w:rPr>
        <w:t>7</w:t>
      </w:r>
      <w:r w:rsidR="00EC1534" w:rsidRPr="005A0113">
        <w:rPr>
          <w:rFonts w:ascii="Century" w:eastAsia="ＭＳ 明朝" w:hAnsi="Century" w:cs="Times New Roman" w:hint="eastAsia"/>
          <w:sz w:val="20"/>
          <w:szCs w:val="20"/>
        </w:rPr>
        <w:t>・</w:t>
      </w:r>
      <w:r w:rsidR="00107EF2" w:rsidRPr="005A0113">
        <w:rPr>
          <w:rFonts w:ascii="Century" w:eastAsia="ＭＳ 明朝" w:hAnsi="Century" w:cs="Times New Roman" w:hint="eastAsia"/>
          <w:sz w:val="20"/>
          <w:szCs w:val="20"/>
        </w:rPr>
        <w:t>8</w:t>
      </w:r>
      <w:r w:rsidR="00BD3FDF" w:rsidRPr="005A0113">
        <w:rPr>
          <w:rFonts w:ascii="Century" w:eastAsia="ＭＳ 明朝" w:hAnsi="Century" w:cs="Times New Roman" w:hint="eastAsia"/>
          <w:sz w:val="20"/>
          <w:szCs w:val="20"/>
        </w:rPr>
        <w:t>月時点</w:t>
      </w:r>
      <w:r w:rsidR="00F91247" w:rsidRPr="005A0113">
        <w:rPr>
          <w:rFonts w:ascii="Century" w:eastAsia="ＭＳ 明朝" w:hAnsi="Century" w:cs="Times New Roman"/>
          <w:sz w:val="20"/>
          <w:szCs w:val="20"/>
        </w:rPr>
        <w:t>(</w:t>
      </w:r>
      <w:r w:rsidR="00F91247" w:rsidRPr="005A0113">
        <w:rPr>
          <w:rFonts w:ascii="Century" w:eastAsia="ＭＳ 明朝" w:hAnsi="Century" w:cs="Times New Roman" w:hint="eastAsia"/>
          <w:sz w:val="20"/>
          <w:szCs w:val="20"/>
        </w:rPr>
        <w:t>表</w:t>
      </w:r>
      <w:r w:rsidR="000F4AE8">
        <w:rPr>
          <w:rFonts w:ascii="Century" w:eastAsia="ＭＳ 明朝" w:hAnsi="Century" w:cs="Times New Roman" w:hint="eastAsia"/>
          <w:sz w:val="20"/>
          <w:szCs w:val="20"/>
        </w:rPr>
        <w:t>3</w:t>
      </w:r>
      <w:r w:rsidR="004A1C37">
        <w:rPr>
          <w:rFonts w:ascii="Century" w:eastAsia="ＭＳ 明朝" w:hAnsi="Century" w:cs="Times New Roman" w:hint="eastAsia"/>
          <w:sz w:val="20"/>
          <w:szCs w:val="20"/>
        </w:rPr>
        <w:t>、</w:t>
      </w:r>
      <w:r w:rsidR="000F4AE8">
        <w:rPr>
          <w:rFonts w:ascii="Century" w:eastAsia="ＭＳ 明朝" w:hAnsi="Century" w:cs="Times New Roman" w:hint="eastAsia"/>
          <w:sz w:val="20"/>
          <w:szCs w:val="20"/>
        </w:rPr>
        <w:t>4</w:t>
      </w:r>
      <w:r w:rsidR="00F91247" w:rsidRPr="005A0113">
        <w:rPr>
          <w:rFonts w:ascii="Century" w:eastAsia="ＭＳ 明朝" w:hAnsi="Century" w:cs="Times New Roman"/>
          <w:sz w:val="20"/>
          <w:szCs w:val="20"/>
        </w:rPr>
        <w:t>)</w:t>
      </w:r>
      <w:r w:rsidR="00BD3FDF" w:rsidRPr="005A0113">
        <w:rPr>
          <w:rFonts w:ascii="Century" w:eastAsia="ＭＳ 明朝" w:hAnsi="Century" w:cs="Times New Roman" w:hint="eastAsia"/>
          <w:sz w:val="20"/>
          <w:szCs w:val="20"/>
        </w:rPr>
        <w:t>で</w:t>
      </w:r>
      <w:r w:rsidR="00337E74" w:rsidRPr="005A0113">
        <w:rPr>
          <w:rFonts w:ascii="Century" w:eastAsia="ＭＳ 明朝" w:hAnsi="Century" w:cs="Times New Roman" w:hint="eastAsia"/>
          <w:sz w:val="20"/>
          <w:szCs w:val="20"/>
        </w:rPr>
        <w:t>各</w:t>
      </w:r>
      <w:r w:rsidR="00107EF2" w:rsidRPr="005A0113">
        <w:rPr>
          <w:rFonts w:ascii="Century" w:eastAsia="ＭＳ 明朝" w:hAnsi="Century" w:cs="Times New Roman" w:hint="eastAsia"/>
          <w:sz w:val="20"/>
          <w:szCs w:val="20"/>
        </w:rPr>
        <w:t>10,3</w:t>
      </w:r>
      <w:r w:rsidR="00EF63AC" w:rsidRPr="005A0113">
        <w:rPr>
          <w:rFonts w:ascii="Century" w:eastAsia="ＭＳ 明朝" w:hAnsi="Century" w:cs="Times New Roman" w:hint="eastAsia"/>
          <w:sz w:val="20"/>
          <w:szCs w:val="20"/>
        </w:rPr>
        <w:t>16.3</w:t>
      </w:r>
      <w:r w:rsidR="00F91247" w:rsidRPr="005A0113">
        <w:rPr>
          <w:rFonts w:ascii="Century" w:eastAsia="ＭＳ 明朝" w:hAnsi="Century" w:cs="Times New Roman" w:hint="eastAsia"/>
          <w:sz w:val="20"/>
          <w:szCs w:val="20"/>
        </w:rPr>
        <w:t>百万ドル</w:t>
      </w:r>
      <w:r w:rsidR="00337E74" w:rsidRPr="005A0113">
        <w:rPr>
          <w:rFonts w:ascii="Century" w:eastAsia="ＭＳ 明朝" w:hAnsi="Century" w:cs="Times New Roman" w:hint="eastAsia"/>
          <w:sz w:val="20"/>
          <w:szCs w:val="20"/>
        </w:rPr>
        <w:t>、</w:t>
      </w:r>
      <w:r w:rsidR="00107EF2" w:rsidRPr="005A0113">
        <w:rPr>
          <w:rFonts w:ascii="Century" w:eastAsia="ＭＳ 明朝" w:hAnsi="Century" w:cs="Times New Roman" w:hint="eastAsia"/>
          <w:sz w:val="20"/>
          <w:szCs w:val="20"/>
        </w:rPr>
        <w:t>11,747.8</w:t>
      </w:r>
      <w:r w:rsidR="0056521E" w:rsidRPr="005A0113">
        <w:rPr>
          <w:rFonts w:ascii="Century" w:eastAsia="ＭＳ 明朝" w:hAnsi="Century" w:cs="Times New Roman" w:hint="eastAsia"/>
          <w:sz w:val="20"/>
          <w:szCs w:val="20"/>
        </w:rPr>
        <w:t>百万ドル、</w:t>
      </w:r>
      <w:r w:rsidR="00EC1534" w:rsidRPr="005A0113">
        <w:rPr>
          <w:rFonts w:ascii="Century" w:eastAsia="ＭＳ 明朝" w:hAnsi="Century" w:cs="Times New Roman" w:hint="eastAsia"/>
          <w:sz w:val="20"/>
          <w:szCs w:val="20"/>
        </w:rPr>
        <w:t>同輸出額</w:t>
      </w:r>
      <w:r w:rsidR="00BD3FDF" w:rsidRPr="005A0113">
        <w:rPr>
          <w:rFonts w:ascii="Century" w:eastAsia="ＭＳ 明朝" w:hAnsi="Century" w:cs="Times New Roman" w:hint="eastAsia"/>
          <w:sz w:val="20"/>
          <w:szCs w:val="20"/>
        </w:rPr>
        <w:t>(</w:t>
      </w:r>
      <w:r w:rsidR="00BD3FDF" w:rsidRPr="005A0113">
        <w:rPr>
          <w:rFonts w:ascii="Century" w:eastAsia="ＭＳ 明朝" w:hAnsi="Century" w:cs="Times New Roman" w:hint="eastAsia"/>
          <w:sz w:val="20"/>
          <w:szCs w:val="20"/>
        </w:rPr>
        <w:t>表</w:t>
      </w:r>
      <w:r w:rsidR="000F4AE8">
        <w:rPr>
          <w:rFonts w:ascii="Century" w:eastAsia="ＭＳ 明朝" w:hAnsi="Century" w:cs="Times New Roman" w:hint="eastAsia"/>
          <w:sz w:val="20"/>
          <w:szCs w:val="20"/>
        </w:rPr>
        <w:t>3</w:t>
      </w:r>
      <w:r w:rsidR="004A1C37">
        <w:rPr>
          <w:rFonts w:ascii="Century" w:eastAsia="ＭＳ 明朝" w:hAnsi="Century" w:cs="Times New Roman" w:hint="eastAsia"/>
          <w:sz w:val="20"/>
          <w:szCs w:val="20"/>
        </w:rPr>
        <w:t>、</w:t>
      </w:r>
      <w:r w:rsidR="000F4AE8">
        <w:rPr>
          <w:rFonts w:ascii="Century" w:eastAsia="ＭＳ 明朝" w:hAnsi="Century" w:cs="Times New Roman" w:hint="eastAsia"/>
          <w:sz w:val="20"/>
          <w:szCs w:val="20"/>
        </w:rPr>
        <w:t>4</w:t>
      </w:r>
      <w:r w:rsidR="00BD3FDF" w:rsidRPr="005A0113">
        <w:rPr>
          <w:rFonts w:ascii="Century" w:eastAsia="ＭＳ 明朝" w:hAnsi="Century" w:cs="Times New Roman" w:hint="eastAsia"/>
          <w:sz w:val="20"/>
          <w:szCs w:val="20"/>
        </w:rPr>
        <w:t>)</w:t>
      </w:r>
      <w:r w:rsidR="00EC1534" w:rsidRPr="005A0113">
        <w:rPr>
          <w:rFonts w:ascii="Century" w:eastAsia="ＭＳ 明朝" w:hAnsi="Century" w:cs="Times New Roman" w:hint="eastAsia"/>
          <w:sz w:val="20"/>
          <w:szCs w:val="20"/>
        </w:rPr>
        <w:t>は各</w:t>
      </w:r>
      <w:r w:rsidR="008A3197" w:rsidRPr="005A0113">
        <w:rPr>
          <w:rFonts w:ascii="Century" w:eastAsia="ＭＳ 明朝" w:hAnsi="Century" w:cs="Times New Roman" w:hint="eastAsia"/>
          <w:sz w:val="20"/>
          <w:szCs w:val="20"/>
        </w:rPr>
        <w:t>6</w:t>
      </w:r>
      <w:r w:rsidR="0056521E" w:rsidRPr="005A0113">
        <w:rPr>
          <w:rFonts w:ascii="Century" w:eastAsia="ＭＳ 明朝" w:hAnsi="Century" w:cs="Times New Roman" w:hint="eastAsia"/>
          <w:sz w:val="20"/>
          <w:szCs w:val="20"/>
        </w:rPr>
        <w:t>,8</w:t>
      </w:r>
      <w:r w:rsidR="008A3197" w:rsidRPr="005A0113">
        <w:rPr>
          <w:rFonts w:ascii="Century" w:eastAsia="ＭＳ 明朝" w:hAnsi="Century" w:cs="Times New Roman" w:hint="eastAsia"/>
          <w:sz w:val="20"/>
          <w:szCs w:val="20"/>
        </w:rPr>
        <w:t>22.4</w:t>
      </w:r>
      <w:r w:rsidR="0056521E" w:rsidRPr="005A0113">
        <w:rPr>
          <w:rFonts w:ascii="Century" w:eastAsia="ＭＳ 明朝" w:hAnsi="Century" w:cs="Times New Roman" w:hint="eastAsia"/>
          <w:sz w:val="20"/>
          <w:szCs w:val="20"/>
        </w:rPr>
        <w:t>百万ドル</w:t>
      </w:r>
      <w:r w:rsidR="00BD3FDF" w:rsidRPr="005A0113">
        <w:rPr>
          <w:rFonts w:ascii="Century" w:eastAsia="ＭＳ 明朝" w:hAnsi="Century" w:cs="Times New Roman" w:hint="eastAsia"/>
          <w:sz w:val="20"/>
          <w:szCs w:val="20"/>
        </w:rPr>
        <w:t>、</w:t>
      </w:r>
      <w:r w:rsidR="008A3197" w:rsidRPr="005A0113">
        <w:rPr>
          <w:rFonts w:ascii="Century" w:eastAsia="ＭＳ 明朝" w:hAnsi="Century" w:cs="Times New Roman" w:hint="eastAsia"/>
          <w:sz w:val="20"/>
          <w:szCs w:val="20"/>
        </w:rPr>
        <w:t>7</w:t>
      </w:r>
      <w:r w:rsidR="00BD3FDF" w:rsidRPr="005A0113">
        <w:rPr>
          <w:rFonts w:ascii="Century" w:eastAsia="ＭＳ 明朝" w:hAnsi="Century" w:cs="Times New Roman" w:hint="eastAsia"/>
          <w:sz w:val="20"/>
          <w:szCs w:val="20"/>
        </w:rPr>
        <w:t>,</w:t>
      </w:r>
      <w:r w:rsidR="008A3197" w:rsidRPr="005A0113">
        <w:rPr>
          <w:rFonts w:ascii="Century" w:eastAsia="ＭＳ 明朝" w:hAnsi="Century" w:cs="Times New Roman" w:hint="eastAsia"/>
          <w:sz w:val="20"/>
          <w:szCs w:val="20"/>
        </w:rPr>
        <w:t>765.5</w:t>
      </w:r>
      <w:r w:rsidR="00BD3FDF" w:rsidRPr="005A0113">
        <w:rPr>
          <w:rFonts w:ascii="Century" w:eastAsia="ＭＳ 明朝" w:hAnsi="Century" w:cs="Times New Roman" w:hint="eastAsia"/>
          <w:sz w:val="20"/>
          <w:szCs w:val="20"/>
        </w:rPr>
        <w:t>百万ドル</w:t>
      </w:r>
      <w:r w:rsidR="00EC1534" w:rsidRPr="005A0113">
        <w:rPr>
          <w:rFonts w:ascii="Century" w:eastAsia="ＭＳ 明朝" w:hAnsi="Century" w:cs="Times New Roman" w:hint="eastAsia"/>
          <w:sz w:val="20"/>
          <w:szCs w:val="20"/>
        </w:rPr>
        <w:t>を記録し</w:t>
      </w:r>
      <w:r w:rsidR="00761690">
        <w:rPr>
          <w:rFonts w:ascii="Century" w:eastAsia="ＭＳ 明朝" w:hAnsi="Century" w:cs="Times New Roman" w:hint="eastAsia"/>
          <w:sz w:val="20"/>
          <w:szCs w:val="20"/>
        </w:rPr>
        <w:t>た。</w:t>
      </w:r>
      <w:r w:rsidR="00E6443F" w:rsidRPr="005A0113">
        <w:rPr>
          <w:rFonts w:ascii="Century" w:eastAsia="ＭＳ 明朝" w:hAnsi="Century" w:cs="Times New Roman" w:hint="eastAsia"/>
          <w:sz w:val="20"/>
          <w:szCs w:val="20"/>
        </w:rPr>
        <w:t>貿易</w:t>
      </w:r>
      <w:r w:rsidR="00473E3C" w:rsidRPr="005A0113">
        <w:rPr>
          <w:rFonts w:ascii="Century" w:eastAsia="ＭＳ 明朝" w:hAnsi="Century" w:cs="Times New Roman" w:hint="eastAsia"/>
          <w:sz w:val="20"/>
          <w:szCs w:val="20"/>
        </w:rPr>
        <w:t>赤字額</w:t>
      </w:r>
      <w:r w:rsidR="006E6D6D" w:rsidRPr="005A0113">
        <w:rPr>
          <w:rFonts w:ascii="Century" w:eastAsia="ＭＳ 明朝" w:hAnsi="Century" w:cs="Times New Roman" w:hint="eastAsia"/>
          <w:sz w:val="20"/>
          <w:szCs w:val="20"/>
        </w:rPr>
        <w:t>は</w:t>
      </w:r>
      <w:r w:rsidR="008D6932" w:rsidRPr="005A0113">
        <w:rPr>
          <w:rFonts w:ascii="Century" w:eastAsia="ＭＳ 明朝" w:hAnsi="Century" w:cs="Times New Roman" w:hint="eastAsia"/>
          <w:sz w:val="20"/>
          <w:szCs w:val="20"/>
        </w:rPr>
        <w:t>7</w:t>
      </w:r>
      <w:r w:rsidR="00EC1534" w:rsidRPr="005A0113">
        <w:rPr>
          <w:rFonts w:ascii="Century" w:eastAsia="ＭＳ 明朝" w:hAnsi="Century" w:cs="Times New Roman" w:hint="eastAsia"/>
          <w:sz w:val="20"/>
          <w:szCs w:val="20"/>
        </w:rPr>
        <w:t>月に</w:t>
      </w:r>
      <w:r w:rsidR="008A3197" w:rsidRPr="005A0113">
        <w:rPr>
          <w:rFonts w:ascii="Century" w:eastAsia="ＭＳ 明朝" w:hAnsi="Century" w:cs="Times New Roman" w:hint="eastAsia"/>
          <w:sz w:val="20"/>
          <w:szCs w:val="20"/>
        </w:rPr>
        <w:t>3</w:t>
      </w:r>
      <w:r w:rsidR="006E6D6D" w:rsidRPr="005A0113">
        <w:rPr>
          <w:rFonts w:ascii="Century" w:eastAsia="ＭＳ 明朝" w:hAnsi="Century" w:cs="Times New Roman" w:hint="eastAsia"/>
          <w:sz w:val="20"/>
          <w:szCs w:val="20"/>
        </w:rPr>
        <w:t>,</w:t>
      </w:r>
      <w:r w:rsidR="00B62068" w:rsidRPr="005A0113">
        <w:rPr>
          <w:rFonts w:ascii="Century" w:eastAsia="ＭＳ 明朝" w:hAnsi="Century" w:cs="Times New Roman" w:hint="eastAsia"/>
          <w:sz w:val="20"/>
          <w:szCs w:val="20"/>
        </w:rPr>
        <w:t>493.9</w:t>
      </w:r>
      <w:r w:rsidR="00F91247" w:rsidRPr="005A0113">
        <w:rPr>
          <w:rFonts w:ascii="Century" w:eastAsia="ＭＳ 明朝" w:hAnsi="Century" w:cs="Times New Roman" w:hint="eastAsia"/>
          <w:sz w:val="20"/>
          <w:szCs w:val="20"/>
        </w:rPr>
        <w:t>百万ドル</w:t>
      </w:r>
      <w:r w:rsidR="00E6443F" w:rsidRPr="005A0113">
        <w:rPr>
          <w:rFonts w:ascii="Century" w:eastAsia="ＭＳ 明朝" w:hAnsi="Century" w:cs="Times New Roman" w:hint="eastAsia"/>
          <w:sz w:val="20"/>
          <w:szCs w:val="20"/>
        </w:rPr>
        <w:t>(</w:t>
      </w:r>
      <w:r w:rsidR="00E6443F" w:rsidRPr="005A0113">
        <w:rPr>
          <w:rFonts w:ascii="Century" w:eastAsia="ＭＳ 明朝" w:hAnsi="Century" w:cs="Times New Roman" w:hint="eastAsia"/>
          <w:sz w:val="20"/>
          <w:szCs w:val="20"/>
        </w:rPr>
        <w:t>前年</w:t>
      </w:r>
      <w:r w:rsidR="00F91247" w:rsidRPr="005A0113">
        <w:rPr>
          <w:rFonts w:ascii="Century" w:eastAsia="ＭＳ 明朝" w:hAnsi="Century" w:cs="Times New Roman" w:hint="eastAsia"/>
          <w:sz w:val="20"/>
          <w:szCs w:val="20"/>
        </w:rPr>
        <w:t>比</w:t>
      </w:r>
      <w:r w:rsidR="00761690">
        <w:rPr>
          <w:rFonts w:ascii="Century" w:eastAsia="ＭＳ 明朝" w:hAnsi="Century" w:cs="Times New Roman" w:hint="eastAsia"/>
          <w:sz w:val="20"/>
          <w:szCs w:val="20"/>
        </w:rPr>
        <w:t>3.3</w:t>
      </w:r>
      <w:r w:rsidR="00761690">
        <w:rPr>
          <w:rFonts w:ascii="Century" w:eastAsia="ＭＳ 明朝" w:hAnsi="Century" w:cs="Times New Roman" w:hint="eastAsia"/>
          <w:sz w:val="20"/>
          <w:szCs w:val="20"/>
        </w:rPr>
        <w:t>％</w:t>
      </w:r>
      <w:r w:rsidR="0056521E" w:rsidRPr="005A0113">
        <w:rPr>
          <w:rFonts w:ascii="Century" w:eastAsia="ＭＳ 明朝" w:hAnsi="Century" w:cs="Times New Roman" w:hint="eastAsia"/>
          <w:sz w:val="20"/>
          <w:szCs w:val="20"/>
        </w:rPr>
        <w:t>減</w:t>
      </w:r>
      <w:r w:rsidR="00E6443F" w:rsidRPr="005A0113">
        <w:rPr>
          <w:rFonts w:ascii="Century" w:eastAsia="ＭＳ 明朝" w:hAnsi="Century" w:cs="Times New Roman" w:hint="eastAsia"/>
          <w:sz w:val="20"/>
          <w:szCs w:val="20"/>
        </w:rPr>
        <w:t>)</w:t>
      </w:r>
      <w:r w:rsidR="00E6443F" w:rsidRPr="005A0113">
        <w:rPr>
          <w:rFonts w:ascii="Century" w:eastAsia="ＭＳ 明朝" w:hAnsi="Century" w:cs="Times New Roman" w:hint="eastAsia"/>
          <w:sz w:val="20"/>
          <w:szCs w:val="20"/>
        </w:rPr>
        <w:t>、</w:t>
      </w:r>
      <w:r w:rsidR="008D6932" w:rsidRPr="005A0113">
        <w:rPr>
          <w:rFonts w:ascii="Century" w:eastAsia="ＭＳ 明朝" w:hAnsi="Century" w:cs="Times New Roman" w:hint="eastAsia"/>
          <w:sz w:val="20"/>
          <w:szCs w:val="20"/>
        </w:rPr>
        <w:t>8</w:t>
      </w:r>
      <w:r w:rsidR="00EC1534" w:rsidRPr="005A0113">
        <w:rPr>
          <w:rFonts w:ascii="Century" w:eastAsia="ＭＳ 明朝" w:hAnsi="Century" w:cs="Times New Roman" w:hint="eastAsia"/>
          <w:sz w:val="20"/>
          <w:szCs w:val="20"/>
        </w:rPr>
        <w:t>月に</w:t>
      </w:r>
      <w:r w:rsidR="008D6932" w:rsidRPr="005A0113">
        <w:rPr>
          <w:rFonts w:ascii="Century" w:eastAsia="ＭＳ 明朝" w:hAnsi="Century" w:cs="Times New Roman" w:hint="eastAsia"/>
          <w:sz w:val="20"/>
          <w:szCs w:val="20"/>
        </w:rPr>
        <w:t>3,982.3</w:t>
      </w:r>
      <w:r w:rsidR="00E6443F" w:rsidRPr="005A0113">
        <w:rPr>
          <w:rFonts w:ascii="Century" w:eastAsia="ＭＳ 明朝" w:hAnsi="Century" w:cs="Times New Roman" w:hint="eastAsia"/>
          <w:sz w:val="20"/>
          <w:szCs w:val="20"/>
        </w:rPr>
        <w:t>百万ドル</w:t>
      </w:r>
      <w:r w:rsidR="00E6443F" w:rsidRPr="005A0113">
        <w:rPr>
          <w:rFonts w:ascii="Century" w:eastAsia="ＭＳ 明朝" w:hAnsi="Century" w:cs="Times New Roman" w:hint="eastAsia"/>
          <w:sz w:val="20"/>
          <w:szCs w:val="20"/>
        </w:rPr>
        <w:t>(</w:t>
      </w:r>
      <w:r w:rsidR="00761690">
        <w:rPr>
          <w:rFonts w:ascii="Century" w:eastAsia="ＭＳ 明朝" w:hAnsi="Century" w:cs="Times New Roman" w:hint="eastAsia"/>
          <w:sz w:val="20"/>
          <w:szCs w:val="20"/>
        </w:rPr>
        <w:t>前年比</w:t>
      </w:r>
      <w:r w:rsidR="00761690">
        <w:rPr>
          <w:rFonts w:ascii="Century" w:eastAsia="ＭＳ 明朝" w:hAnsi="Century" w:cs="Times New Roman" w:hint="eastAsia"/>
          <w:sz w:val="20"/>
          <w:szCs w:val="20"/>
        </w:rPr>
        <w:t>1.6</w:t>
      </w:r>
      <w:r w:rsidR="00761690">
        <w:rPr>
          <w:rFonts w:ascii="Century" w:eastAsia="ＭＳ 明朝" w:hAnsi="Century" w:cs="Times New Roman" w:hint="eastAsia"/>
          <w:sz w:val="20"/>
          <w:szCs w:val="20"/>
        </w:rPr>
        <w:t>％減</w:t>
      </w:r>
      <w:r w:rsidR="00E6443F" w:rsidRPr="005A0113">
        <w:rPr>
          <w:rFonts w:ascii="Century" w:eastAsia="ＭＳ 明朝" w:hAnsi="Century" w:cs="Times New Roman" w:hint="eastAsia"/>
          <w:sz w:val="20"/>
          <w:szCs w:val="20"/>
        </w:rPr>
        <w:t>)</w:t>
      </w:r>
      <w:r w:rsidR="00F91247" w:rsidRPr="005A0113">
        <w:rPr>
          <w:rFonts w:ascii="Century" w:eastAsia="ＭＳ 明朝" w:hAnsi="Century" w:cs="Times New Roman" w:hint="eastAsia"/>
          <w:sz w:val="20"/>
          <w:szCs w:val="20"/>
        </w:rPr>
        <w:t>となった</w:t>
      </w:r>
      <w:r w:rsidR="008A3458" w:rsidRPr="005A0113">
        <w:rPr>
          <w:rFonts w:ascii="Century" w:eastAsia="ＭＳ 明朝" w:hAnsi="Century" w:cs="Times New Roman" w:hint="eastAsia"/>
          <w:sz w:val="20"/>
          <w:szCs w:val="20"/>
        </w:rPr>
        <w:t>。</w:t>
      </w:r>
    </w:p>
    <w:p w:rsidR="00473E3C" w:rsidRPr="005A0113" w:rsidRDefault="00F91247" w:rsidP="00473E3C">
      <w:pPr>
        <w:jc w:val="left"/>
        <w:rPr>
          <w:rFonts w:ascii="Century" w:eastAsia="ＭＳ 明朝" w:hAnsi="Century" w:cs="Times New Roman"/>
          <w:sz w:val="20"/>
          <w:szCs w:val="20"/>
        </w:rPr>
      </w:pPr>
      <w:r w:rsidRPr="005A0113">
        <w:rPr>
          <w:rFonts w:ascii="Century" w:eastAsia="ＭＳ 明朝" w:hAnsi="Century" w:cs="Times New Roman" w:hint="eastAsia"/>
          <w:sz w:val="20"/>
          <w:szCs w:val="20"/>
        </w:rPr>
        <w:t>●</w:t>
      </w:r>
      <w:r w:rsidR="003637A9" w:rsidRPr="005A0113">
        <w:rPr>
          <w:rFonts w:ascii="Century" w:eastAsia="ＭＳ 明朝" w:hAnsi="Century" w:cs="Times New Roman" w:hint="eastAsia"/>
          <w:sz w:val="20"/>
          <w:szCs w:val="20"/>
        </w:rPr>
        <w:t>輸出額の</w:t>
      </w:r>
      <w:r w:rsidR="00B23F96" w:rsidRPr="005A0113">
        <w:rPr>
          <w:rFonts w:ascii="Century" w:eastAsia="ＭＳ 明朝" w:hAnsi="Century" w:cs="Times New Roman" w:hint="eastAsia"/>
          <w:sz w:val="20"/>
          <w:szCs w:val="20"/>
        </w:rPr>
        <w:t>伸び悩み</w:t>
      </w:r>
      <w:r w:rsidR="00E6443F" w:rsidRPr="005A0113">
        <w:rPr>
          <w:rFonts w:ascii="Century" w:eastAsia="ＭＳ 明朝" w:hAnsi="Century" w:cs="Times New Roman" w:hint="eastAsia"/>
          <w:sz w:val="20"/>
          <w:szCs w:val="20"/>
        </w:rPr>
        <w:t>の要因として、インテル社の製造部門</w:t>
      </w:r>
      <w:r w:rsidR="00513C24">
        <w:rPr>
          <w:rFonts w:ascii="Century" w:eastAsia="ＭＳ 明朝" w:hAnsi="Century" w:cs="Times New Roman" w:hint="eastAsia"/>
          <w:sz w:val="20"/>
          <w:szCs w:val="20"/>
        </w:rPr>
        <w:t>の段階的</w:t>
      </w:r>
      <w:r w:rsidR="00E6443F" w:rsidRPr="005A0113">
        <w:rPr>
          <w:rFonts w:ascii="Century" w:eastAsia="ＭＳ 明朝" w:hAnsi="Century" w:cs="Times New Roman" w:hint="eastAsia"/>
          <w:sz w:val="20"/>
          <w:szCs w:val="20"/>
        </w:rPr>
        <w:t>撤退</w:t>
      </w:r>
      <w:r w:rsidR="008D6932" w:rsidRPr="005A0113">
        <w:rPr>
          <w:rFonts w:ascii="Century" w:eastAsia="ＭＳ 明朝" w:hAnsi="Century" w:cs="Times New Roman" w:hint="eastAsia"/>
          <w:sz w:val="20"/>
          <w:szCs w:val="20"/>
        </w:rPr>
        <w:t>が実施されている</w:t>
      </w:r>
      <w:r w:rsidR="00E6443F" w:rsidRPr="005A0113">
        <w:rPr>
          <w:rFonts w:ascii="Century" w:eastAsia="ＭＳ 明朝" w:hAnsi="Century" w:cs="Times New Roman" w:hint="eastAsia"/>
          <w:sz w:val="20"/>
          <w:szCs w:val="20"/>
        </w:rPr>
        <w:t>ことが</w:t>
      </w:r>
      <w:r w:rsidR="00646DF2" w:rsidRPr="005A0113">
        <w:rPr>
          <w:rFonts w:ascii="Century" w:eastAsia="ＭＳ 明朝" w:hAnsi="Century" w:cs="Times New Roman" w:hint="eastAsia"/>
          <w:sz w:val="20"/>
          <w:szCs w:val="20"/>
        </w:rPr>
        <w:t>あげられ</w:t>
      </w:r>
      <w:r w:rsidR="008D6932" w:rsidRPr="005A0113">
        <w:rPr>
          <w:rFonts w:ascii="Century" w:eastAsia="ＭＳ 明朝" w:hAnsi="Century" w:cs="Times New Roman" w:hint="eastAsia"/>
          <w:sz w:val="20"/>
          <w:szCs w:val="20"/>
        </w:rPr>
        <w:t>る。</w:t>
      </w:r>
      <w:r w:rsidR="00DD6730" w:rsidRPr="005A0113">
        <w:rPr>
          <w:rFonts w:ascii="Century" w:eastAsia="ＭＳ 明朝" w:hAnsi="Century" w:cs="Times New Roman" w:hint="eastAsia"/>
          <w:sz w:val="20"/>
          <w:szCs w:val="20"/>
        </w:rPr>
        <w:t>8</w:t>
      </w:r>
      <w:r w:rsidR="00DD6730" w:rsidRPr="005A0113">
        <w:rPr>
          <w:rFonts w:ascii="Century" w:eastAsia="ＭＳ 明朝" w:hAnsi="Century" w:cs="Times New Roman" w:hint="eastAsia"/>
          <w:sz w:val="20"/>
          <w:szCs w:val="20"/>
        </w:rPr>
        <w:t>月の電子</w:t>
      </w:r>
      <w:r w:rsidR="00646DF2" w:rsidRPr="005A0113">
        <w:rPr>
          <w:rFonts w:ascii="Century" w:eastAsia="ＭＳ 明朝" w:hAnsi="Century" w:cs="Times New Roman" w:hint="eastAsia"/>
          <w:sz w:val="20"/>
          <w:szCs w:val="20"/>
        </w:rPr>
        <w:t>部品</w:t>
      </w:r>
      <w:r w:rsidR="00DD6730" w:rsidRPr="005A0113">
        <w:rPr>
          <w:rFonts w:ascii="Century" w:eastAsia="ＭＳ 明朝" w:hAnsi="Century" w:cs="Times New Roman" w:hint="eastAsia"/>
          <w:sz w:val="20"/>
          <w:szCs w:val="20"/>
        </w:rPr>
        <w:t>関連商品</w:t>
      </w:r>
      <w:r w:rsidR="00646DF2" w:rsidRPr="005A0113">
        <w:rPr>
          <w:rFonts w:ascii="Century" w:eastAsia="ＭＳ 明朝" w:hAnsi="Century" w:cs="Times New Roman" w:hint="eastAsia"/>
          <w:sz w:val="20"/>
          <w:szCs w:val="20"/>
        </w:rPr>
        <w:t>輸出額は前年</w:t>
      </w:r>
      <w:r w:rsidR="00443DAB">
        <w:rPr>
          <w:rFonts w:ascii="Century" w:eastAsia="ＭＳ 明朝" w:hAnsi="Century" w:cs="Times New Roman" w:hint="eastAsia"/>
          <w:sz w:val="20"/>
          <w:szCs w:val="20"/>
        </w:rPr>
        <w:t>同月</w:t>
      </w:r>
      <w:r w:rsidR="002E5BEF" w:rsidRPr="005A0113">
        <w:rPr>
          <w:rFonts w:ascii="Century" w:eastAsia="ＭＳ 明朝" w:hAnsi="Century" w:cs="Times New Roman" w:hint="eastAsia"/>
          <w:sz w:val="20"/>
          <w:szCs w:val="20"/>
        </w:rPr>
        <w:t>の</w:t>
      </w:r>
      <w:r w:rsidR="00DD6730" w:rsidRPr="005A0113">
        <w:rPr>
          <w:rFonts w:ascii="Century" w:eastAsia="ＭＳ 明朝" w:hAnsi="Century" w:cs="Times New Roman" w:hint="eastAsia"/>
          <w:sz w:val="20"/>
          <w:szCs w:val="20"/>
        </w:rPr>
        <w:t>213.2</w:t>
      </w:r>
      <w:r w:rsidR="002066A3" w:rsidRPr="005A0113">
        <w:rPr>
          <w:rFonts w:ascii="Century" w:eastAsia="ＭＳ 明朝" w:hAnsi="Century" w:cs="Times New Roman" w:hint="eastAsia"/>
          <w:sz w:val="20"/>
          <w:szCs w:val="20"/>
        </w:rPr>
        <w:t>百</w:t>
      </w:r>
      <w:r w:rsidR="00646DF2" w:rsidRPr="005A0113">
        <w:rPr>
          <w:rFonts w:ascii="Century" w:eastAsia="ＭＳ 明朝" w:hAnsi="Century" w:cs="Times New Roman" w:hint="eastAsia"/>
          <w:sz w:val="20"/>
          <w:szCs w:val="20"/>
        </w:rPr>
        <w:t>万ドルを約</w:t>
      </w:r>
      <w:r w:rsidR="007F126D" w:rsidRPr="005A0113">
        <w:rPr>
          <w:rFonts w:ascii="Century" w:eastAsia="ＭＳ 明朝" w:hAnsi="Century" w:cs="Times New Roman" w:hint="eastAsia"/>
          <w:sz w:val="20"/>
          <w:szCs w:val="20"/>
        </w:rPr>
        <w:t>12.3</w:t>
      </w:r>
      <w:r w:rsidR="00646DF2" w:rsidRPr="005A0113">
        <w:rPr>
          <w:rFonts w:ascii="Century" w:eastAsia="ＭＳ 明朝" w:hAnsi="Century" w:cs="Times New Roman" w:hint="eastAsia"/>
          <w:sz w:val="20"/>
          <w:szCs w:val="20"/>
        </w:rPr>
        <w:t>％近く下回</w:t>
      </w:r>
      <w:r w:rsidR="00FA29F1">
        <w:rPr>
          <w:rFonts w:ascii="Century" w:eastAsia="ＭＳ 明朝" w:hAnsi="Century" w:cs="Times New Roman" w:hint="eastAsia"/>
          <w:sz w:val="20"/>
          <w:szCs w:val="20"/>
        </w:rPr>
        <w:t>る</w:t>
      </w:r>
      <w:r w:rsidR="00DD6730" w:rsidRPr="005A0113">
        <w:rPr>
          <w:rFonts w:ascii="Century" w:eastAsia="ＭＳ 明朝" w:hAnsi="Century" w:cs="Times New Roman" w:hint="eastAsia"/>
          <w:sz w:val="20"/>
          <w:szCs w:val="20"/>
        </w:rPr>
        <w:t>186.9</w:t>
      </w:r>
      <w:r w:rsidR="00FC08E7" w:rsidRPr="005A0113">
        <w:rPr>
          <w:rFonts w:ascii="Century" w:eastAsia="ＭＳ 明朝" w:hAnsi="Century" w:cs="Times New Roman" w:hint="eastAsia"/>
          <w:sz w:val="20"/>
          <w:szCs w:val="20"/>
        </w:rPr>
        <w:t>百</w:t>
      </w:r>
      <w:r w:rsidR="00646DF2" w:rsidRPr="005A0113">
        <w:rPr>
          <w:rFonts w:ascii="Century" w:eastAsia="ＭＳ 明朝" w:hAnsi="Century" w:cs="Times New Roman" w:hint="eastAsia"/>
          <w:sz w:val="20"/>
          <w:szCs w:val="20"/>
        </w:rPr>
        <w:t>万ドルとなっ</w:t>
      </w:r>
      <w:r w:rsidR="008915CE" w:rsidRPr="005A0113">
        <w:rPr>
          <w:rFonts w:ascii="Century" w:eastAsia="ＭＳ 明朝" w:hAnsi="Century" w:cs="Times New Roman" w:hint="eastAsia"/>
          <w:sz w:val="20"/>
          <w:szCs w:val="20"/>
        </w:rPr>
        <w:t>た</w:t>
      </w:r>
      <w:r w:rsidR="00646DF2" w:rsidRPr="005A0113">
        <w:rPr>
          <w:rFonts w:ascii="Century" w:eastAsia="ＭＳ 明朝" w:hAnsi="Century" w:cs="Times New Roman" w:hint="eastAsia"/>
          <w:sz w:val="20"/>
          <w:szCs w:val="20"/>
        </w:rPr>
        <w:t>。</w:t>
      </w:r>
      <w:r w:rsidR="00694690" w:rsidRPr="005A0113">
        <w:rPr>
          <w:rFonts w:ascii="Century" w:eastAsia="ＭＳ 明朝" w:hAnsi="Century" w:cs="Times New Roman" w:hint="eastAsia"/>
          <w:sz w:val="20"/>
          <w:szCs w:val="20"/>
        </w:rPr>
        <w:t>他方で、</w:t>
      </w:r>
      <w:r w:rsidR="00F75181" w:rsidRPr="005A0113">
        <w:rPr>
          <w:rFonts w:ascii="Century" w:eastAsia="ＭＳ 明朝" w:hAnsi="Century" w:cs="Times New Roman" w:hint="eastAsia"/>
          <w:sz w:val="20"/>
          <w:szCs w:val="20"/>
        </w:rPr>
        <w:t>今後</w:t>
      </w:r>
      <w:r w:rsidR="00FA29F1">
        <w:rPr>
          <w:rFonts w:ascii="Century" w:eastAsia="ＭＳ 明朝" w:hAnsi="Century" w:cs="Times New Roman" w:hint="eastAsia"/>
          <w:sz w:val="20"/>
          <w:szCs w:val="20"/>
        </w:rPr>
        <w:t>有望な輸出</w:t>
      </w:r>
      <w:r w:rsidR="00F75181" w:rsidRPr="005A0113">
        <w:rPr>
          <w:rFonts w:ascii="Century" w:eastAsia="ＭＳ 明朝" w:hAnsi="Century" w:cs="Times New Roman" w:hint="eastAsia"/>
          <w:sz w:val="20"/>
          <w:szCs w:val="20"/>
        </w:rPr>
        <w:t>産業の</w:t>
      </w:r>
      <w:r w:rsidR="00F75181" w:rsidRPr="005A0113">
        <w:rPr>
          <w:rFonts w:ascii="Century" w:eastAsia="ＭＳ 明朝" w:hAnsi="Century" w:cs="Times New Roman" w:hint="eastAsia"/>
          <w:sz w:val="20"/>
          <w:szCs w:val="20"/>
        </w:rPr>
        <w:t>1</w:t>
      </w:r>
      <w:r w:rsidR="00F75181" w:rsidRPr="005A0113">
        <w:rPr>
          <w:rFonts w:ascii="Century" w:eastAsia="ＭＳ 明朝" w:hAnsi="Century" w:cs="Times New Roman" w:hint="eastAsia"/>
          <w:sz w:val="20"/>
          <w:szCs w:val="20"/>
        </w:rPr>
        <w:t>つとして期待されている農業に関しては</w:t>
      </w:r>
      <w:r w:rsidR="00F75181" w:rsidRPr="005A0113">
        <w:rPr>
          <w:rFonts w:ascii="Century" w:eastAsia="ＭＳ 明朝" w:hAnsi="Century" w:cs="Times New Roman" w:hint="eastAsia"/>
          <w:sz w:val="20"/>
          <w:szCs w:val="20"/>
        </w:rPr>
        <w:t>7</w:t>
      </w:r>
      <w:r w:rsidR="00F75181" w:rsidRPr="005A0113">
        <w:rPr>
          <w:rFonts w:ascii="Century" w:eastAsia="ＭＳ 明朝" w:hAnsi="Century" w:cs="Times New Roman" w:hint="eastAsia"/>
          <w:sz w:val="20"/>
          <w:szCs w:val="20"/>
        </w:rPr>
        <w:t>、</w:t>
      </w:r>
      <w:r w:rsidR="00F75181" w:rsidRPr="005A0113">
        <w:rPr>
          <w:rFonts w:ascii="Century" w:eastAsia="ＭＳ 明朝" w:hAnsi="Century" w:cs="Times New Roman" w:hint="eastAsia"/>
          <w:sz w:val="20"/>
          <w:szCs w:val="20"/>
        </w:rPr>
        <w:t>8</w:t>
      </w:r>
      <w:r w:rsidR="00443DAB">
        <w:rPr>
          <w:rFonts w:ascii="Century" w:eastAsia="ＭＳ 明朝" w:hAnsi="Century" w:cs="Times New Roman" w:hint="eastAsia"/>
          <w:sz w:val="20"/>
          <w:szCs w:val="20"/>
        </w:rPr>
        <w:t>月ともに前年同月</w:t>
      </w:r>
      <w:r w:rsidR="00F75181" w:rsidRPr="005A0113">
        <w:rPr>
          <w:rFonts w:ascii="Century" w:eastAsia="ＭＳ 明朝" w:hAnsi="Century" w:cs="Times New Roman" w:hint="eastAsia"/>
          <w:sz w:val="20"/>
          <w:szCs w:val="20"/>
        </w:rPr>
        <w:t>の輸出額を上回り、それぞれ</w:t>
      </w:r>
      <w:r w:rsidR="00F75181" w:rsidRPr="005A0113">
        <w:rPr>
          <w:rFonts w:ascii="Century" w:eastAsia="ＭＳ 明朝" w:hAnsi="Century" w:cs="Times New Roman" w:hint="eastAsia"/>
          <w:sz w:val="20"/>
          <w:szCs w:val="20"/>
        </w:rPr>
        <w:t>220</w:t>
      </w:r>
      <w:r w:rsidR="00F75181" w:rsidRPr="005A0113">
        <w:rPr>
          <w:rFonts w:ascii="Century" w:eastAsia="ＭＳ 明朝" w:hAnsi="Century" w:cs="Times New Roman" w:hint="eastAsia"/>
          <w:sz w:val="20"/>
          <w:szCs w:val="20"/>
        </w:rPr>
        <w:t>百万ドル</w:t>
      </w:r>
      <w:r w:rsidR="00F75181" w:rsidRPr="005A0113">
        <w:rPr>
          <w:rFonts w:ascii="Century" w:eastAsia="ＭＳ 明朝" w:hAnsi="Century" w:cs="Times New Roman" w:hint="eastAsia"/>
          <w:sz w:val="20"/>
          <w:szCs w:val="20"/>
        </w:rPr>
        <w:t>(</w:t>
      </w:r>
      <w:r w:rsidR="00F75181" w:rsidRPr="005A0113">
        <w:rPr>
          <w:rFonts w:ascii="Century" w:eastAsia="ＭＳ 明朝" w:hAnsi="Century" w:cs="Times New Roman" w:hint="eastAsia"/>
          <w:sz w:val="20"/>
          <w:szCs w:val="20"/>
        </w:rPr>
        <w:t>前年同月比プラス</w:t>
      </w:r>
      <w:r w:rsidR="00F75181" w:rsidRPr="005A0113">
        <w:rPr>
          <w:rFonts w:ascii="Century" w:eastAsia="ＭＳ 明朝" w:hAnsi="Century" w:cs="Times New Roman" w:hint="eastAsia"/>
          <w:sz w:val="20"/>
          <w:szCs w:val="20"/>
        </w:rPr>
        <w:t>4</w:t>
      </w:r>
      <w:r w:rsidR="00EC1DFA">
        <w:rPr>
          <w:rFonts w:ascii="Century" w:eastAsia="ＭＳ 明朝" w:hAnsi="Century" w:cs="Times New Roman" w:hint="eastAsia"/>
          <w:sz w:val="20"/>
          <w:szCs w:val="20"/>
        </w:rPr>
        <w:t>0</w:t>
      </w:r>
      <w:r w:rsidR="00EC1DFA">
        <w:rPr>
          <w:rFonts w:ascii="Century" w:eastAsia="ＭＳ 明朝" w:hAnsi="Century" w:cs="Times New Roman" w:hint="eastAsia"/>
          <w:sz w:val="20"/>
          <w:szCs w:val="20"/>
        </w:rPr>
        <w:t>百</w:t>
      </w:r>
      <w:r w:rsidR="00F75181" w:rsidRPr="005A0113">
        <w:rPr>
          <w:rFonts w:ascii="Century" w:eastAsia="ＭＳ 明朝" w:hAnsi="Century" w:cs="Times New Roman" w:hint="eastAsia"/>
          <w:sz w:val="20"/>
          <w:szCs w:val="20"/>
        </w:rPr>
        <w:t>万ドル</w:t>
      </w:r>
      <w:r w:rsidR="00F75181" w:rsidRPr="005A0113">
        <w:rPr>
          <w:rFonts w:ascii="Century" w:eastAsia="ＭＳ 明朝" w:hAnsi="Century" w:cs="Times New Roman" w:hint="eastAsia"/>
          <w:sz w:val="20"/>
          <w:szCs w:val="20"/>
        </w:rPr>
        <w:t>)</w:t>
      </w:r>
      <w:r w:rsidR="00F75181" w:rsidRPr="005A0113">
        <w:rPr>
          <w:rFonts w:ascii="Century" w:eastAsia="ＭＳ 明朝" w:hAnsi="Century" w:cs="Times New Roman" w:hint="eastAsia"/>
          <w:sz w:val="20"/>
          <w:szCs w:val="20"/>
        </w:rPr>
        <w:t>、</w:t>
      </w:r>
      <w:r w:rsidR="00F75181" w:rsidRPr="005A0113">
        <w:rPr>
          <w:rFonts w:ascii="Century" w:eastAsia="ＭＳ 明朝" w:hAnsi="Century" w:cs="Times New Roman" w:hint="eastAsia"/>
          <w:sz w:val="20"/>
          <w:szCs w:val="20"/>
        </w:rPr>
        <w:t>185</w:t>
      </w:r>
      <w:r w:rsidR="00F75181" w:rsidRPr="005A0113">
        <w:rPr>
          <w:rFonts w:ascii="Century" w:eastAsia="ＭＳ 明朝" w:hAnsi="Century" w:cs="Times New Roman" w:hint="eastAsia"/>
          <w:sz w:val="20"/>
          <w:szCs w:val="20"/>
        </w:rPr>
        <w:t>百万ドル</w:t>
      </w:r>
      <w:r w:rsidR="00F75181" w:rsidRPr="005A0113">
        <w:rPr>
          <w:rFonts w:ascii="Century" w:eastAsia="ＭＳ 明朝" w:hAnsi="Century" w:cs="Times New Roman" w:hint="eastAsia"/>
          <w:sz w:val="20"/>
          <w:szCs w:val="20"/>
        </w:rPr>
        <w:t>(</w:t>
      </w:r>
      <w:r w:rsidR="00F75181" w:rsidRPr="005A0113">
        <w:rPr>
          <w:rFonts w:ascii="Century" w:eastAsia="ＭＳ 明朝" w:hAnsi="Century" w:cs="Times New Roman" w:hint="eastAsia"/>
          <w:sz w:val="20"/>
          <w:szCs w:val="20"/>
        </w:rPr>
        <w:t>同プラス</w:t>
      </w:r>
      <w:r w:rsidR="00EC1DFA">
        <w:rPr>
          <w:rFonts w:ascii="Century" w:eastAsia="ＭＳ 明朝" w:hAnsi="Century" w:cs="Times New Roman" w:hint="eastAsia"/>
          <w:sz w:val="20"/>
          <w:szCs w:val="20"/>
        </w:rPr>
        <w:t>15</w:t>
      </w:r>
      <w:r w:rsidR="00EC1DFA">
        <w:rPr>
          <w:rFonts w:ascii="Century" w:eastAsia="ＭＳ 明朝" w:hAnsi="Century" w:cs="Times New Roman" w:hint="eastAsia"/>
          <w:sz w:val="20"/>
          <w:szCs w:val="20"/>
        </w:rPr>
        <w:t>百</w:t>
      </w:r>
      <w:r w:rsidR="00F75181" w:rsidRPr="005A0113">
        <w:rPr>
          <w:rFonts w:ascii="Century" w:eastAsia="ＭＳ 明朝" w:hAnsi="Century" w:cs="Times New Roman" w:hint="eastAsia"/>
          <w:sz w:val="20"/>
          <w:szCs w:val="20"/>
        </w:rPr>
        <w:t>万ドル</w:t>
      </w:r>
      <w:r w:rsidR="00F75181" w:rsidRPr="005A0113">
        <w:rPr>
          <w:rFonts w:ascii="Century" w:eastAsia="ＭＳ 明朝" w:hAnsi="Century" w:cs="Times New Roman" w:hint="eastAsia"/>
          <w:sz w:val="20"/>
          <w:szCs w:val="20"/>
        </w:rPr>
        <w:t>)</w:t>
      </w:r>
      <w:r w:rsidR="00F75181" w:rsidRPr="005A0113">
        <w:rPr>
          <w:rFonts w:ascii="Century" w:eastAsia="ＭＳ 明朝" w:hAnsi="Century" w:cs="Times New Roman" w:hint="eastAsia"/>
          <w:sz w:val="20"/>
          <w:szCs w:val="20"/>
        </w:rPr>
        <w:t>を記録した。</w:t>
      </w:r>
      <w:r w:rsidR="00586854" w:rsidRPr="005A0113">
        <w:rPr>
          <w:rFonts w:ascii="Century" w:eastAsia="ＭＳ 明朝" w:hAnsi="Century" w:cs="Times New Roman" w:hint="eastAsia"/>
          <w:sz w:val="20"/>
          <w:szCs w:val="20"/>
        </w:rPr>
        <w:t>特に</w:t>
      </w:r>
      <w:r w:rsidR="00586854" w:rsidRPr="005A0113">
        <w:rPr>
          <w:rFonts w:ascii="Century" w:eastAsia="ＭＳ 明朝" w:hAnsi="Century" w:cs="Times New Roman" w:hint="eastAsia"/>
          <w:sz w:val="20"/>
          <w:szCs w:val="20"/>
        </w:rPr>
        <w:t>7</w:t>
      </w:r>
      <w:r w:rsidR="00586854" w:rsidRPr="005A0113">
        <w:rPr>
          <w:rFonts w:ascii="Century" w:eastAsia="ＭＳ 明朝" w:hAnsi="Century" w:cs="Times New Roman" w:hint="eastAsia"/>
          <w:sz w:val="20"/>
          <w:szCs w:val="20"/>
        </w:rPr>
        <w:t>月のパイナップル輸出額増が顕著で、前年同月の約</w:t>
      </w:r>
      <w:r w:rsidR="00586854" w:rsidRPr="005A0113">
        <w:rPr>
          <w:rFonts w:ascii="Century" w:eastAsia="ＭＳ 明朝" w:hAnsi="Century" w:cs="Times New Roman" w:hint="eastAsia"/>
          <w:sz w:val="20"/>
          <w:szCs w:val="20"/>
        </w:rPr>
        <w:t>62.1</w:t>
      </w:r>
      <w:r w:rsidR="00586854" w:rsidRPr="005A0113">
        <w:rPr>
          <w:rFonts w:ascii="Century" w:eastAsia="ＭＳ 明朝" w:hAnsi="Century" w:cs="Times New Roman" w:hint="eastAsia"/>
          <w:sz w:val="20"/>
          <w:szCs w:val="20"/>
        </w:rPr>
        <w:t>百万ドルから約</w:t>
      </w:r>
      <w:r w:rsidR="00586854" w:rsidRPr="005A0113">
        <w:rPr>
          <w:rFonts w:ascii="Century" w:eastAsia="ＭＳ 明朝" w:hAnsi="Century" w:cs="Times New Roman" w:hint="eastAsia"/>
          <w:sz w:val="20"/>
          <w:szCs w:val="20"/>
        </w:rPr>
        <w:t>31</w:t>
      </w:r>
      <w:r w:rsidR="00586854" w:rsidRPr="005A0113">
        <w:rPr>
          <w:rFonts w:ascii="Century" w:eastAsia="ＭＳ 明朝" w:hAnsi="Century" w:cs="Times New Roman" w:hint="eastAsia"/>
          <w:sz w:val="20"/>
          <w:szCs w:val="20"/>
        </w:rPr>
        <w:t>％増の</w:t>
      </w:r>
      <w:r w:rsidR="00586854" w:rsidRPr="005A0113">
        <w:rPr>
          <w:rFonts w:ascii="Century" w:eastAsia="ＭＳ 明朝" w:hAnsi="Century" w:cs="Times New Roman" w:hint="eastAsia"/>
          <w:sz w:val="20"/>
          <w:szCs w:val="20"/>
        </w:rPr>
        <w:t>81.3</w:t>
      </w:r>
      <w:r w:rsidR="00586854" w:rsidRPr="005A0113">
        <w:rPr>
          <w:rFonts w:ascii="Century" w:eastAsia="ＭＳ 明朝" w:hAnsi="Century" w:cs="Times New Roman" w:hint="eastAsia"/>
          <w:sz w:val="20"/>
          <w:szCs w:val="20"/>
        </w:rPr>
        <w:t>百万ドルを記録した。</w:t>
      </w:r>
    </w:p>
    <w:p w:rsidR="001510E7" w:rsidRPr="005A0113" w:rsidRDefault="0076001D" w:rsidP="0045183E">
      <w:pPr>
        <w:jc w:val="left"/>
        <w:rPr>
          <w:sz w:val="20"/>
          <w:szCs w:val="20"/>
        </w:rPr>
      </w:pPr>
      <w:r w:rsidRPr="005A0113">
        <w:rPr>
          <w:rFonts w:ascii="Century" w:eastAsia="ＭＳ 明朝" w:hAnsi="Century" w:cs="Times New Roman" w:hint="eastAsia"/>
          <w:sz w:val="20"/>
          <w:szCs w:val="20"/>
        </w:rPr>
        <w:t>●貿易推移</w:t>
      </w:r>
      <w:r w:rsidR="004A1C37">
        <w:rPr>
          <w:rFonts w:ascii="Century" w:eastAsia="ＭＳ 明朝" w:hAnsi="Century" w:cs="Times New Roman" w:hint="eastAsia"/>
          <w:sz w:val="20"/>
          <w:szCs w:val="20"/>
        </w:rPr>
        <w:t>(</w:t>
      </w:r>
      <w:r w:rsidR="004A1C37">
        <w:rPr>
          <w:rFonts w:ascii="Century" w:eastAsia="ＭＳ 明朝" w:hAnsi="Century" w:cs="Times New Roman" w:hint="eastAsia"/>
          <w:sz w:val="20"/>
          <w:szCs w:val="20"/>
        </w:rPr>
        <w:t>成長率</w:t>
      </w:r>
      <w:r w:rsidR="004A1C37">
        <w:rPr>
          <w:rFonts w:ascii="Century" w:eastAsia="ＭＳ 明朝" w:hAnsi="Century" w:cs="Times New Roman" w:hint="eastAsia"/>
          <w:sz w:val="20"/>
          <w:szCs w:val="20"/>
        </w:rPr>
        <w:t>)</w:t>
      </w:r>
      <w:r w:rsidRPr="005A0113">
        <w:rPr>
          <w:rFonts w:ascii="Century" w:eastAsia="ＭＳ 明朝" w:hAnsi="Century" w:cs="Times New Roman" w:hint="eastAsia"/>
          <w:sz w:val="20"/>
          <w:szCs w:val="20"/>
        </w:rPr>
        <w:t>(</w:t>
      </w:r>
      <w:r w:rsidRPr="005A0113">
        <w:rPr>
          <w:rFonts w:ascii="Century" w:eastAsia="ＭＳ 明朝" w:hAnsi="Century" w:cs="Times New Roman" w:hint="eastAsia"/>
          <w:sz w:val="20"/>
          <w:szCs w:val="20"/>
        </w:rPr>
        <w:t>表</w:t>
      </w:r>
      <w:r w:rsidR="000F4AE8">
        <w:rPr>
          <w:rFonts w:ascii="Century" w:eastAsia="ＭＳ 明朝" w:hAnsi="Century" w:cs="Times New Roman" w:hint="eastAsia"/>
          <w:sz w:val="20"/>
          <w:szCs w:val="20"/>
        </w:rPr>
        <w:t>5</w:t>
      </w:r>
      <w:r w:rsidRPr="005A0113">
        <w:rPr>
          <w:rFonts w:ascii="Century" w:eastAsia="ＭＳ 明朝" w:hAnsi="Century" w:cs="Times New Roman" w:hint="eastAsia"/>
          <w:sz w:val="20"/>
          <w:szCs w:val="20"/>
        </w:rPr>
        <w:t>)</w:t>
      </w:r>
      <w:r w:rsidRPr="005A0113">
        <w:rPr>
          <w:rFonts w:ascii="Century" w:eastAsia="ＭＳ 明朝" w:hAnsi="Century" w:cs="Times New Roman" w:hint="eastAsia"/>
          <w:sz w:val="20"/>
          <w:szCs w:val="20"/>
        </w:rPr>
        <w:t>に関しては、</w:t>
      </w:r>
      <w:r w:rsidR="00993434" w:rsidRPr="005A0113">
        <w:rPr>
          <w:rFonts w:ascii="Century" w:eastAsia="ＭＳ 明朝" w:hAnsi="Century" w:cs="Times New Roman" w:hint="eastAsia"/>
          <w:sz w:val="20"/>
          <w:szCs w:val="20"/>
        </w:rPr>
        <w:t>7</w:t>
      </w:r>
      <w:r w:rsidR="005D0E13" w:rsidRPr="005A0113">
        <w:rPr>
          <w:rFonts w:ascii="Century" w:eastAsia="ＭＳ 明朝" w:hAnsi="Century" w:cs="Times New Roman" w:hint="eastAsia"/>
          <w:sz w:val="20"/>
          <w:szCs w:val="20"/>
        </w:rPr>
        <w:t>・</w:t>
      </w:r>
      <w:r w:rsidR="00993434" w:rsidRPr="005A0113">
        <w:rPr>
          <w:rFonts w:ascii="Century" w:eastAsia="ＭＳ 明朝" w:hAnsi="Century" w:cs="Times New Roman" w:hint="eastAsia"/>
          <w:sz w:val="20"/>
          <w:szCs w:val="20"/>
        </w:rPr>
        <w:t>8</w:t>
      </w:r>
      <w:r w:rsidR="00DF40F5" w:rsidRPr="005A0113">
        <w:rPr>
          <w:rFonts w:ascii="Century" w:eastAsia="ＭＳ 明朝" w:hAnsi="Century" w:cs="Times New Roman" w:hint="eastAsia"/>
          <w:sz w:val="20"/>
          <w:szCs w:val="20"/>
        </w:rPr>
        <w:t>月の輸入額成長率が昨年同期</w:t>
      </w:r>
      <w:r w:rsidR="00443DAB">
        <w:rPr>
          <w:rFonts w:ascii="Century" w:eastAsia="ＭＳ 明朝" w:hAnsi="Century" w:cs="Times New Roman" w:hint="eastAsia"/>
          <w:sz w:val="20"/>
          <w:szCs w:val="20"/>
        </w:rPr>
        <w:t>比で</w:t>
      </w:r>
      <w:r w:rsidR="00DF40F5" w:rsidRPr="005A0113">
        <w:rPr>
          <w:rFonts w:ascii="Century" w:eastAsia="ＭＳ 明朝" w:hAnsi="Century" w:cs="Times New Roman" w:hint="eastAsia"/>
          <w:sz w:val="20"/>
          <w:szCs w:val="20"/>
        </w:rPr>
        <w:t>減少</w:t>
      </w:r>
      <w:r w:rsidR="00DF40F5" w:rsidRPr="005A0113">
        <w:rPr>
          <w:rFonts w:ascii="Century" w:eastAsia="ＭＳ 明朝" w:hAnsi="Century" w:cs="Times New Roman" w:hint="eastAsia"/>
          <w:sz w:val="20"/>
          <w:szCs w:val="20"/>
        </w:rPr>
        <w:t>(</w:t>
      </w:r>
      <w:r w:rsidR="00EC1DFA">
        <w:rPr>
          <w:rFonts w:ascii="Century" w:eastAsia="ＭＳ 明朝" w:hAnsi="Century" w:cs="Times New Roman" w:hint="eastAsia"/>
          <w:sz w:val="20"/>
          <w:szCs w:val="20"/>
        </w:rPr>
        <w:t>各月前年比マイナス</w:t>
      </w:r>
      <w:r w:rsidR="00993434" w:rsidRPr="005A0113">
        <w:rPr>
          <w:rFonts w:ascii="Century" w:eastAsia="ＭＳ 明朝" w:hAnsi="Century" w:cs="Times New Roman" w:hint="eastAsia"/>
          <w:sz w:val="20"/>
          <w:szCs w:val="20"/>
        </w:rPr>
        <w:t>0.9</w:t>
      </w:r>
      <w:r w:rsidR="00EC1DFA">
        <w:rPr>
          <w:rFonts w:ascii="Century" w:eastAsia="ＭＳ 明朝" w:hAnsi="Century" w:cs="Times New Roman" w:hint="eastAsia"/>
          <w:sz w:val="20"/>
          <w:szCs w:val="20"/>
        </w:rPr>
        <w:t>％、マイナス</w:t>
      </w:r>
      <w:r w:rsidR="00993434" w:rsidRPr="005A0113">
        <w:rPr>
          <w:rFonts w:ascii="Century" w:eastAsia="ＭＳ 明朝" w:hAnsi="Century" w:cs="Times New Roman" w:hint="eastAsia"/>
          <w:sz w:val="20"/>
          <w:szCs w:val="20"/>
        </w:rPr>
        <w:t>1.6</w:t>
      </w:r>
      <w:r w:rsidR="00DF40F5" w:rsidRPr="005A0113">
        <w:rPr>
          <w:rFonts w:ascii="Century" w:eastAsia="ＭＳ 明朝" w:hAnsi="Century" w:cs="Times New Roman" w:hint="eastAsia"/>
          <w:sz w:val="20"/>
          <w:szCs w:val="20"/>
        </w:rPr>
        <w:t>％</w:t>
      </w:r>
      <w:r w:rsidR="00DF40F5" w:rsidRPr="005A0113">
        <w:rPr>
          <w:rFonts w:ascii="Century" w:eastAsia="ＭＳ 明朝" w:hAnsi="Century" w:cs="Times New Roman" w:hint="eastAsia"/>
          <w:sz w:val="20"/>
          <w:szCs w:val="20"/>
        </w:rPr>
        <w:t>)</w:t>
      </w:r>
      <w:r w:rsidR="001E68AE" w:rsidRPr="005A0113">
        <w:rPr>
          <w:rFonts w:ascii="Century" w:eastAsia="ＭＳ 明朝" w:hAnsi="Century" w:cs="Times New Roman" w:hint="eastAsia"/>
          <w:sz w:val="20"/>
          <w:szCs w:val="20"/>
        </w:rPr>
        <w:t>を記録し、ドル高</w:t>
      </w:r>
      <w:r w:rsidR="003637A9" w:rsidRPr="005A0113">
        <w:rPr>
          <w:rFonts w:ascii="Century" w:eastAsia="ＭＳ 明朝" w:hAnsi="Century" w:cs="Times New Roman" w:hint="eastAsia"/>
          <w:sz w:val="20"/>
          <w:szCs w:val="20"/>
        </w:rPr>
        <w:t>に伴う</w:t>
      </w:r>
      <w:r w:rsidR="001E68AE" w:rsidRPr="005A0113">
        <w:rPr>
          <w:rFonts w:ascii="Century" w:eastAsia="ＭＳ 明朝" w:hAnsi="Century" w:cs="Times New Roman" w:hint="eastAsia"/>
          <w:sz w:val="20"/>
          <w:szCs w:val="20"/>
        </w:rPr>
        <w:t>輸入品</w:t>
      </w:r>
      <w:r w:rsidR="00DF40F5" w:rsidRPr="005A0113">
        <w:rPr>
          <w:rFonts w:ascii="Century" w:eastAsia="ＭＳ 明朝" w:hAnsi="Century" w:cs="Times New Roman" w:hint="eastAsia"/>
          <w:sz w:val="20"/>
          <w:szCs w:val="20"/>
        </w:rPr>
        <w:t>需要</w:t>
      </w:r>
      <w:r w:rsidR="003637A9" w:rsidRPr="005A0113">
        <w:rPr>
          <w:rFonts w:ascii="Century" w:eastAsia="ＭＳ 明朝" w:hAnsi="Century" w:cs="Times New Roman" w:hint="eastAsia"/>
          <w:sz w:val="20"/>
          <w:szCs w:val="20"/>
        </w:rPr>
        <w:t>の</w:t>
      </w:r>
      <w:r w:rsidR="00DF40F5" w:rsidRPr="005A0113">
        <w:rPr>
          <w:rFonts w:ascii="Century" w:eastAsia="ＭＳ 明朝" w:hAnsi="Century" w:cs="Times New Roman" w:hint="eastAsia"/>
          <w:sz w:val="20"/>
          <w:szCs w:val="20"/>
        </w:rPr>
        <w:t>縮小が</w:t>
      </w:r>
      <w:r w:rsidR="00551F3F" w:rsidRPr="005A0113">
        <w:rPr>
          <w:rFonts w:ascii="Century" w:eastAsia="ＭＳ 明朝" w:hAnsi="Century" w:cs="Times New Roman" w:hint="eastAsia"/>
          <w:sz w:val="20"/>
          <w:szCs w:val="20"/>
        </w:rPr>
        <w:t>継続していることが</w:t>
      </w:r>
      <w:r w:rsidR="00443DAB">
        <w:rPr>
          <w:rFonts w:ascii="Century" w:eastAsia="ＭＳ 明朝" w:hAnsi="Century" w:cs="Times New Roman" w:hint="eastAsia"/>
          <w:sz w:val="20"/>
          <w:szCs w:val="20"/>
        </w:rPr>
        <w:t>窺える</w:t>
      </w:r>
      <w:r w:rsidR="00DF40F5" w:rsidRPr="005A0113">
        <w:rPr>
          <w:rFonts w:ascii="Century" w:eastAsia="ＭＳ 明朝" w:hAnsi="Century" w:cs="Times New Roman" w:hint="eastAsia"/>
          <w:sz w:val="20"/>
          <w:szCs w:val="20"/>
        </w:rPr>
        <w:t>。</w:t>
      </w:r>
      <w:r w:rsidR="0045183E" w:rsidRPr="005A0113">
        <w:rPr>
          <w:noProof/>
          <w:sz w:val="20"/>
          <w:szCs w:val="20"/>
        </w:rPr>
        <w:t xml:space="preserve"> </w:t>
      </w:r>
    </w:p>
    <w:p w:rsidR="0027395C" w:rsidRDefault="001D2270">
      <w:r>
        <w:rPr>
          <w:noProof/>
        </w:rPr>
        <w:drawing>
          <wp:anchor distT="0" distB="0" distL="114300" distR="114300" simplePos="0" relativeHeight="251659264" behindDoc="0" locked="0" layoutInCell="1" allowOverlap="1">
            <wp:simplePos x="0" y="0"/>
            <wp:positionH relativeFrom="margin">
              <wp:align>center</wp:align>
            </wp:positionH>
            <wp:positionV relativeFrom="margin">
              <wp:align>bottom</wp:align>
            </wp:positionV>
            <wp:extent cx="5400675" cy="3876675"/>
            <wp:effectExtent l="19050" t="0" r="9525" b="0"/>
            <wp:wrapSquare wrapText="bothSides"/>
            <wp:docPr id="3" name="グラフ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anchor>
        </w:drawing>
      </w:r>
    </w:p>
    <w:p w:rsidR="0027395C" w:rsidRDefault="002D2F4B" w:rsidP="00D80950">
      <w:pPr>
        <w:rPr>
          <w:rFonts w:ascii="Century" w:eastAsia="ＭＳ 明朝" w:hAnsi="Century" w:cs="Times New Roman"/>
        </w:rPr>
      </w:pPr>
      <w:r w:rsidRPr="0071068C">
        <w:rPr>
          <w:rFonts w:ascii="Century" w:eastAsia="ＭＳ 明朝" w:hAnsi="Century" w:cs="Times New Roman"/>
          <w:noProof/>
        </w:rPr>
        <w:lastRenderedPageBreak/>
        <w:drawing>
          <wp:anchor distT="0" distB="0" distL="114300" distR="114300" simplePos="0" relativeHeight="251660288" behindDoc="0" locked="0" layoutInCell="1" allowOverlap="1">
            <wp:simplePos x="1095375" y="1333500"/>
            <wp:positionH relativeFrom="margin">
              <wp:align>left</wp:align>
            </wp:positionH>
            <wp:positionV relativeFrom="margin">
              <wp:align>top</wp:align>
            </wp:positionV>
            <wp:extent cx="2657475" cy="3514725"/>
            <wp:effectExtent l="0" t="0" r="0" b="0"/>
            <wp:wrapSquare wrapText="bothSides"/>
            <wp:docPr id="13" name="グラフ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margin">
              <wp14:pctWidth>0</wp14:pctWidth>
            </wp14:sizeRelH>
          </wp:anchor>
        </w:drawing>
      </w:r>
      <w:r w:rsidRPr="00C14831">
        <w:rPr>
          <w:rFonts w:ascii="Century" w:eastAsia="ＭＳ 明朝" w:hAnsi="Century" w:cs="Times New Roman"/>
          <w:noProof/>
        </w:rPr>
        <w:drawing>
          <wp:anchor distT="0" distB="0" distL="114300" distR="114300" simplePos="0" relativeHeight="251661312" behindDoc="0" locked="0" layoutInCell="1" allowOverlap="1">
            <wp:simplePos x="3990975" y="1333500"/>
            <wp:positionH relativeFrom="margin">
              <wp:align>right</wp:align>
            </wp:positionH>
            <wp:positionV relativeFrom="margin">
              <wp:align>top</wp:align>
            </wp:positionV>
            <wp:extent cx="2590800" cy="3514725"/>
            <wp:effectExtent l="0" t="0" r="0" b="0"/>
            <wp:wrapSquare wrapText="bothSides"/>
            <wp:docPr id="14" name="グラフ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p>
    <w:p w:rsidR="0027395C" w:rsidRDefault="0027395C" w:rsidP="00D80950">
      <w:pPr>
        <w:rPr>
          <w:rFonts w:ascii="Century" w:eastAsia="ＭＳ 明朝" w:hAnsi="Century" w:cs="Times New Roman"/>
        </w:rPr>
      </w:pPr>
    </w:p>
    <w:p w:rsidR="0027395C" w:rsidRDefault="0027395C" w:rsidP="00D80950">
      <w:pPr>
        <w:rPr>
          <w:rFonts w:ascii="Century" w:eastAsia="ＭＳ 明朝" w:hAnsi="Century" w:cs="Times New Roman"/>
        </w:rPr>
      </w:pPr>
    </w:p>
    <w:p w:rsidR="0027395C" w:rsidRDefault="00354305" w:rsidP="00D80950">
      <w:pPr>
        <w:rPr>
          <w:rFonts w:ascii="Century" w:eastAsia="ＭＳ 明朝" w:hAnsi="Century" w:cs="Times New Roman"/>
        </w:rPr>
      </w:pPr>
      <w:r>
        <w:rPr>
          <w:rFonts w:ascii="Century" w:eastAsia="ＭＳ 明朝" w:hAnsi="Century" w:cs="Times New Roman"/>
          <w:noProof/>
        </w:rPr>
        <w:drawing>
          <wp:anchor distT="0" distB="0" distL="114300" distR="114300" simplePos="0" relativeHeight="251662336" behindDoc="0" locked="0" layoutInCell="1" allowOverlap="1">
            <wp:simplePos x="0" y="0"/>
            <wp:positionH relativeFrom="margin">
              <wp:posOffset>215265</wp:posOffset>
            </wp:positionH>
            <wp:positionV relativeFrom="margin">
              <wp:posOffset>4273550</wp:posOffset>
            </wp:positionV>
            <wp:extent cx="5162550" cy="3362325"/>
            <wp:effectExtent l="19050" t="0" r="19050" b="0"/>
            <wp:wrapSquare wrapText="bothSides"/>
            <wp:docPr id="9" name="グラフ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anchor>
        </w:drawing>
      </w:r>
    </w:p>
    <w:p w:rsidR="0027395C" w:rsidRDefault="0027395C" w:rsidP="00D80950">
      <w:pPr>
        <w:rPr>
          <w:rFonts w:ascii="Century" w:eastAsia="ＭＳ 明朝" w:hAnsi="Century" w:cs="Times New Roman"/>
        </w:rPr>
      </w:pPr>
    </w:p>
    <w:p w:rsidR="00E567C7" w:rsidRDefault="00E567C7" w:rsidP="00D80950">
      <w:pPr>
        <w:rPr>
          <w:rFonts w:ascii="Century" w:eastAsia="ＭＳ 明朝" w:hAnsi="Century" w:cs="Times New Roman"/>
        </w:rPr>
      </w:pPr>
    </w:p>
    <w:p w:rsidR="00D80950" w:rsidRPr="00354305" w:rsidRDefault="00D80950" w:rsidP="00D80950">
      <w:pPr>
        <w:rPr>
          <w:rFonts w:ascii="Century" w:eastAsia="ＭＳ 明朝" w:hAnsi="Century" w:cs="Times New Roman"/>
          <w:szCs w:val="21"/>
        </w:rPr>
      </w:pPr>
      <w:r w:rsidRPr="00354305">
        <w:rPr>
          <w:rFonts w:ascii="Century" w:eastAsia="ＭＳ 明朝" w:hAnsi="Century" w:cs="Times New Roman" w:hint="eastAsia"/>
          <w:szCs w:val="21"/>
        </w:rPr>
        <w:lastRenderedPageBreak/>
        <w:t>３　財政収支</w:t>
      </w:r>
    </w:p>
    <w:p w:rsidR="00D80950" w:rsidRPr="005A0113" w:rsidRDefault="00D80950" w:rsidP="00D80950">
      <w:pPr>
        <w:jc w:val="left"/>
        <w:rPr>
          <w:rFonts w:ascii="Century" w:eastAsia="ＭＳ 明朝" w:hAnsi="Century" w:cs="Times New Roman"/>
          <w:color w:val="000000" w:themeColor="text1"/>
          <w:sz w:val="20"/>
          <w:szCs w:val="20"/>
        </w:rPr>
      </w:pPr>
      <w:r w:rsidRPr="005A0113">
        <w:rPr>
          <w:rFonts w:ascii="Century" w:eastAsia="ＭＳ 明朝" w:hAnsi="Century" w:cs="Times New Roman" w:hint="eastAsia"/>
          <w:color w:val="000000" w:themeColor="text1"/>
          <w:sz w:val="20"/>
          <w:szCs w:val="20"/>
        </w:rPr>
        <w:t>●</w:t>
      </w:r>
      <w:r w:rsidR="00AA117E" w:rsidRPr="005A0113">
        <w:rPr>
          <w:rFonts w:ascii="Century" w:eastAsia="ＭＳ 明朝" w:hAnsi="Century" w:cs="Times New Roman" w:hint="eastAsia"/>
          <w:color w:val="000000" w:themeColor="text1"/>
          <w:sz w:val="20"/>
          <w:szCs w:val="20"/>
        </w:rPr>
        <w:t>7</w:t>
      </w:r>
      <w:r w:rsidRPr="005A0113">
        <w:rPr>
          <w:rFonts w:ascii="Century" w:eastAsia="ＭＳ 明朝" w:hAnsi="Century" w:cs="Times New Roman" w:hint="eastAsia"/>
          <w:color w:val="000000" w:themeColor="text1"/>
          <w:sz w:val="20"/>
          <w:szCs w:val="20"/>
        </w:rPr>
        <w:t>月までの財政収支</w:t>
      </w:r>
      <w:r w:rsidRPr="005A0113">
        <w:rPr>
          <w:rFonts w:ascii="Century" w:eastAsia="ＭＳ 明朝" w:hAnsi="Century" w:cs="Times New Roman"/>
          <w:color w:val="000000" w:themeColor="text1"/>
          <w:sz w:val="20"/>
          <w:szCs w:val="20"/>
        </w:rPr>
        <w:t>(</w:t>
      </w:r>
      <w:r w:rsidRPr="005A0113">
        <w:rPr>
          <w:rFonts w:ascii="Century" w:eastAsia="ＭＳ 明朝" w:hAnsi="Century" w:cs="Times New Roman" w:hint="eastAsia"/>
          <w:color w:val="000000" w:themeColor="text1"/>
          <w:sz w:val="20"/>
          <w:szCs w:val="20"/>
        </w:rPr>
        <w:t>表</w:t>
      </w:r>
      <w:r w:rsidR="00491686" w:rsidRPr="005A0113">
        <w:rPr>
          <w:rFonts w:ascii="Century" w:eastAsia="ＭＳ 明朝" w:hAnsi="Century" w:cs="Times New Roman" w:hint="eastAsia"/>
          <w:color w:val="000000" w:themeColor="text1"/>
          <w:sz w:val="20"/>
          <w:szCs w:val="20"/>
        </w:rPr>
        <w:t>6</w:t>
      </w:r>
      <w:r w:rsidRPr="005A0113">
        <w:rPr>
          <w:rFonts w:ascii="Century" w:eastAsia="ＭＳ 明朝" w:hAnsi="Century" w:cs="Times New Roman"/>
          <w:color w:val="000000" w:themeColor="text1"/>
          <w:sz w:val="20"/>
          <w:szCs w:val="20"/>
        </w:rPr>
        <w:t>)</w:t>
      </w:r>
      <w:r w:rsidRPr="005A0113">
        <w:rPr>
          <w:rFonts w:ascii="Century" w:eastAsia="ＭＳ 明朝" w:hAnsi="Century" w:cs="Times New Roman" w:hint="eastAsia"/>
          <w:color w:val="000000" w:themeColor="text1"/>
          <w:sz w:val="20"/>
          <w:szCs w:val="20"/>
        </w:rPr>
        <w:t>は、</w:t>
      </w:r>
      <w:r w:rsidR="003F75BF">
        <w:rPr>
          <w:rFonts w:ascii="Century" w:eastAsia="ＭＳ 明朝" w:hAnsi="Century" w:cs="Times New Roman" w:hint="eastAsia"/>
          <w:color w:val="000000" w:themeColor="text1"/>
          <w:sz w:val="20"/>
          <w:szCs w:val="20"/>
        </w:rPr>
        <w:t>対前年同期比で歳入が</w:t>
      </w:r>
      <w:r w:rsidRPr="005A0113">
        <w:rPr>
          <w:rFonts w:ascii="Century" w:eastAsia="ＭＳ 明朝" w:hAnsi="Century" w:cs="Times New Roman" w:hint="eastAsia"/>
          <w:color w:val="000000" w:themeColor="text1"/>
          <w:sz w:val="20"/>
          <w:szCs w:val="20"/>
        </w:rPr>
        <w:t>約</w:t>
      </w:r>
      <w:r w:rsidR="00BC2E37" w:rsidRPr="005A0113">
        <w:rPr>
          <w:rFonts w:ascii="Century" w:eastAsia="ＭＳ 明朝" w:hAnsi="Century" w:cs="Times New Roman" w:hint="eastAsia"/>
          <w:color w:val="000000" w:themeColor="text1"/>
          <w:sz w:val="20"/>
          <w:szCs w:val="20"/>
        </w:rPr>
        <w:t>7.5</w:t>
      </w:r>
      <w:r w:rsidRPr="005A0113">
        <w:rPr>
          <w:rFonts w:ascii="Century" w:eastAsia="ＭＳ 明朝" w:hAnsi="Century" w:cs="Times New Roman" w:hint="eastAsia"/>
          <w:color w:val="000000" w:themeColor="text1"/>
          <w:sz w:val="20"/>
          <w:szCs w:val="20"/>
        </w:rPr>
        <w:t>％増の約</w:t>
      </w:r>
      <w:r w:rsidR="00AA117E" w:rsidRPr="005A0113">
        <w:rPr>
          <w:rFonts w:ascii="Century" w:eastAsia="ＭＳ 明朝" w:hAnsi="Century" w:cs="Times New Roman" w:hint="eastAsia"/>
          <w:color w:val="000000" w:themeColor="text1"/>
          <w:sz w:val="20"/>
          <w:szCs w:val="20"/>
        </w:rPr>
        <w:t>2</w:t>
      </w:r>
      <w:r w:rsidR="00DB6C33" w:rsidRPr="005A0113">
        <w:rPr>
          <w:rFonts w:ascii="Century" w:eastAsia="ＭＳ 明朝" w:hAnsi="Century" w:cs="Times New Roman" w:hint="eastAsia"/>
          <w:color w:val="000000" w:themeColor="text1"/>
          <w:sz w:val="20"/>
          <w:szCs w:val="20"/>
        </w:rPr>
        <w:t>兆</w:t>
      </w:r>
      <w:r w:rsidR="00AA117E" w:rsidRPr="005A0113">
        <w:rPr>
          <w:rFonts w:ascii="Century" w:eastAsia="ＭＳ 明朝" w:hAnsi="Century" w:cs="Times New Roman" w:hint="eastAsia"/>
          <w:color w:val="000000" w:themeColor="text1"/>
          <w:sz w:val="20"/>
          <w:szCs w:val="20"/>
        </w:rPr>
        <w:t>861</w:t>
      </w:r>
      <w:r w:rsidRPr="005A0113">
        <w:rPr>
          <w:rFonts w:ascii="Century" w:eastAsia="ＭＳ 明朝" w:hAnsi="Century" w:cs="Times New Roman" w:hint="eastAsia"/>
          <w:color w:val="000000" w:themeColor="text1"/>
          <w:sz w:val="20"/>
          <w:szCs w:val="20"/>
        </w:rPr>
        <w:t>億コロン、歳出が約</w:t>
      </w:r>
      <w:r w:rsidR="00BC2E37" w:rsidRPr="005A0113">
        <w:rPr>
          <w:rFonts w:ascii="Century" w:eastAsia="ＭＳ 明朝" w:hAnsi="Century" w:cs="Times New Roman" w:hint="eastAsia"/>
          <w:color w:val="000000" w:themeColor="text1"/>
          <w:sz w:val="20"/>
          <w:szCs w:val="20"/>
        </w:rPr>
        <w:t>9.8</w:t>
      </w:r>
      <w:r w:rsidRPr="005A0113">
        <w:rPr>
          <w:rFonts w:ascii="Century" w:eastAsia="ＭＳ 明朝" w:hAnsi="Century" w:cs="Times New Roman" w:hint="eastAsia"/>
          <w:color w:val="000000" w:themeColor="text1"/>
          <w:sz w:val="20"/>
          <w:szCs w:val="20"/>
        </w:rPr>
        <w:t>％増</w:t>
      </w:r>
      <w:r w:rsidR="00DB6C33" w:rsidRPr="005A0113">
        <w:rPr>
          <w:rFonts w:ascii="Century" w:eastAsia="ＭＳ 明朝" w:hAnsi="Century" w:cs="Times New Roman" w:hint="eastAsia"/>
          <w:color w:val="000000" w:themeColor="text1"/>
          <w:sz w:val="20"/>
          <w:szCs w:val="20"/>
        </w:rPr>
        <w:t>の</w:t>
      </w:r>
      <w:r w:rsidR="0017426D" w:rsidRPr="005A0113">
        <w:rPr>
          <w:rFonts w:ascii="Century" w:eastAsia="ＭＳ 明朝" w:hAnsi="Century" w:cs="Times New Roman" w:hint="eastAsia"/>
          <w:color w:val="000000" w:themeColor="text1"/>
          <w:sz w:val="20"/>
          <w:szCs w:val="20"/>
        </w:rPr>
        <w:t>約</w:t>
      </w:r>
      <w:r w:rsidR="00DB6C33" w:rsidRPr="005A0113">
        <w:rPr>
          <w:rFonts w:ascii="Century" w:eastAsia="ＭＳ 明朝" w:hAnsi="Century" w:cs="Times New Roman" w:hint="eastAsia"/>
          <w:color w:val="000000" w:themeColor="text1"/>
          <w:sz w:val="20"/>
          <w:szCs w:val="20"/>
        </w:rPr>
        <w:t>2</w:t>
      </w:r>
      <w:r w:rsidRPr="005A0113">
        <w:rPr>
          <w:rFonts w:ascii="Century" w:eastAsia="ＭＳ 明朝" w:hAnsi="Century" w:cs="Times New Roman" w:hint="eastAsia"/>
          <w:color w:val="000000" w:themeColor="text1"/>
          <w:sz w:val="20"/>
          <w:szCs w:val="20"/>
        </w:rPr>
        <w:t>兆</w:t>
      </w:r>
      <w:r w:rsidR="00AA117E" w:rsidRPr="005A0113">
        <w:rPr>
          <w:rFonts w:ascii="Century" w:eastAsia="ＭＳ 明朝" w:hAnsi="Century" w:cs="Times New Roman" w:hint="eastAsia"/>
          <w:color w:val="000000" w:themeColor="text1"/>
          <w:sz w:val="20"/>
          <w:szCs w:val="20"/>
        </w:rPr>
        <w:t>9,411</w:t>
      </w:r>
      <w:r w:rsidRPr="005A0113">
        <w:rPr>
          <w:rFonts w:ascii="Century" w:eastAsia="ＭＳ 明朝" w:hAnsi="Century" w:cs="Times New Roman" w:hint="eastAsia"/>
          <w:color w:val="000000" w:themeColor="text1"/>
          <w:sz w:val="20"/>
          <w:szCs w:val="20"/>
        </w:rPr>
        <w:t>億コロンとなり、財政赤字額は約</w:t>
      </w:r>
      <w:r w:rsidR="00BC2E37" w:rsidRPr="005A0113">
        <w:rPr>
          <w:rFonts w:ascii="Century" w:eastAsia="ＭＳ 明朝" w:hAnsi="Century" w:cs="Times New Roman" w:hint="eastAsia"/>
          <w:color w:val="000000" w:themeColor="text1"/>
          <w:sz w:val="20"/>
          <w:szCs w:val="20"/>
        </w:rPr>
        <w:t>16</w:t>
      </w:r>
      <w:r w:rsidRPr="005A0113">
        <w:rPr>
          <w:rFonts w:ascii="Century" w:eastAsia="ＭＳ 明朝" w:hAnsi="Century" w:cs="Times New Roman" w:hint="eastAsia"/>
          <w:color w:val="000000" w:themeColor="text1"/>
          <w:sz w:val="20"/>
          <w:szCs w:val="20"/>
        </w:rPr>
        <w:t>％増の約</w:t>
      </w:r>
      <w:r w:rsidR="00DC47DB" w:rsidRPr="005A0113">
        <w:rPr>
          <w:rFonts w:ascii="Century" w:eastAsia="ＭＳ 明朝" w:hAnsi="Century" w:cs="Times New Roman" w:hint="eastAsia"/>
          <w:color w:val="000000" w:themeColor="text1"/>
          <w:sz w:val="20"/>
          <w:szCs w:val="20"/>
        </w:rPr>
        <w:t>8</w:t>
      </w:r>
      <w:r w:rsidR="00DB6C33" w:rsidRPr="005A0113">
        <w:rPr>
          <w:rFonts w:ascii="Century" w:eastAsia="ＭＳ 明朝" w:hAnsi="Century" w:cs="Times New Roman" w:hint="eastAsia"/>
          <w:color w:val="000000" w:themeColor="text1"/>
          <w:sz w:val="20"/>
          <w:szCs w:val="20"/>
        </w:rPr>
        <w:t>,</w:t>
      </w:r>
      <w:r w:rsidR="00DC47DB" w:rsidRPr="005A0113">
        <w:rPr>
          <w:rFonts w:ascii="Century" w:eastAsia="ＭＳ 明朝" w:hAnsi="Century" w:cs="Times New Roman" w:hint="eastAsia"/>
          <w:color w:val="000000" w:themeColor="text1"/>
          <w:sz w:val="20"/>
          <w:szCs w:val="20"/>
        </w:rPr>
        <w:t>550</w:t>
      </w:r>
      <w:r w:rsidRPr="005A0113">
        <w:rPr>
          <w:rFonts w:ascii="Century" w:eastAsia="ＭＳ 明朝" w:hAnsi="Century" w:cs="Times New Roman" w:hint="eastAsia"/>
          <w:color w:val="000000" w:themeColor="text1"/>
          <w:sz w:val="20"/>
          <w:szCs w:val="20"/>
        </w:rPr>
        <w:t>億コロンとなった。財政赤字の対</w:t>
      </w:r>
      <w:r w:rsidRPr="005A0113">
        <w:rPr>
          <w:rFonts w:ascii="Century" w:eastAsia="ＭＳ 明朝" w:hAnsi="Century" w:cs="Times New Roman"/>
          <w:color w:val="000000" w:themeColor="text1"/>
          <w:sz w:val="20"/>
          <w:szCs w:val="20"/>
        </w:rPr>
        <w:t>GDP</w:t>
      </w:r>
      <w:r w:rsidRPr="005A0113">
        <w:rPr>
          <w:rFonts w:ascii="Century" w:eastAsia="ＭＳ 明朝" w:hAnsi="Century" w:cs="Times New Roman" w:hint="eastAsia"/>
          <w:color w:val="000000" w:themeColor="text1"/>
          <w:sz w:val="20"/>
          <w:szCs w:val="20"/>
        </w:rPr>
        <w:t>比は前年から</w:t>
      </w:r>
      <w:r w:rsidR="00DB6C33" w:rsidRPr="005A0113">
        <w:rPr>
          <w:rFonts w:ascii="Century" w:eastAsia="ＭＳ 明朝" w:hAnsi="Century" w:cs="Times New Roman" w:hint="eastAsia"/>
          <w:color w:val="000000" w:themeColor="text1"/>
          <w:sz w:val="20"/>
          <w:szCs w:val="20"/>
        </w:rPr>
        <w:t>0.1</w:t>
      </w:r>
      <w:r w:rsidRPr="005A0113">
        <w:rPr>
          <w:rFonts w:ascii="Century" w:eastAsia="ＭＳ 明朝" w:hAnsi="Century" w:cs="Times New Roman" w:hint="eastAsia"/>
          <w:color w:val="000000" w:themeColor="text1"/>
          <w:sz w:val="20"/>
          <w:szCs w:val="20"/>
        </w:rPr>
        <w:t>ポイント増の</w:t>
      </w:r>
      <w:r w:rsidR="00DC47DB" w:rsidRPr="005A0113">
        <w:rPr>
          <w:rFonts w:ascii="Century" w:eastAsia="ＭＳ 明朝" w:hAnsi="Century" w:cs="Times New Roman" w:hint="eastAsia"/>
          <w:color w:val="000000" w:themeColor="text1"/>
          <w:sz w:val="20"/>
          <w:szCs w:val="20"/>
        </w:rPr>
        <w:t>3.1</w:t>
      </w:r>
      <w:r w:rsidRPr="005A0113">
        <w:rPr>
          <w:rFonts w:ascii="Century" w:eastAsia="ＭＳ 明朝" w:hAnsi="Century" w:cs="Times New Roman" w:hint="eastAsia"/>
          <w:i/>
          <w:color w:val="000000" w:themeColor="text1"/>
          <w:sz w:val="20"/>
          <w:szCs w:val="20"/>
        </w:rPr>
        <w:t>％</w:t>
      </w:r>
      <w:r w:rsidRPr="005A0113">
        <w:rPr>
          <w:rFonts w:ascii="Century" w:eastAsia="ＭＳ 明朝" w:hAnsi="Century" w:cs="Times New Roman" w:hint="eastAsia"/>
          <w:color w:val="000000" w:themeColor="text1"/>
          <w:sz w:val="20"/>
          <w:szCs w:val="20"/>
        </w:rPr>
        <w:t>となっている。</w:t>
      </w:r>
    </w:p>
    <w:p w:rsidR="00491686" w:rsidRPr="005A0113" w:rsidRDefault="00491686" w:rsidP="00D80950">
      <w:pPr>
        <w:jc w:val="left"/>
        <w:rPr>
          <w:rFonts w:ascii="Century" w:eastAsia="ＭＳ 明朝" w:hAnsi="Century" w:cs="Times New Roman"/>
          <w:color w:val="000000" w:themeColor="text1"/>
          <w:sz w:val="20"/>
          <w:szCs w:val="20"/>
        </w:rPr>
      </w:pPr>
      <w:r w:rsidRPr="005A0113">
        <w:rPr>
          <w:rFonts w:ascii="Century" w:eastAsia="ＭＳ 明朝" w:hAnsi="Century" w:cs="Times New Roman" w:hint="eastAsia"/>
          <w:color w:val="000000" w:themeColor="text1"/>
          <w:sz w:val="20"/>
          <w:szCs w:val="20"/>
        </w:rPr>
        <w:t>●</w:t>
      </w:r>
      <w:r w:rsidR="00A05914" w:rsidRPr="005A0113">
        <w:rPr>
          <w:rFonts w:ascii="Century" w:eastAsia="ＭＳ 明朝" w:hAnsi="Century" w:cs="Times New Roman" w:hint="eastAsia"/>
          <w:color w:val="000000" w:themeColor="text1"/>
          <w:sz w:val="20"/>
          <w:szCs w:val="20"/>
        </w:rPr>
        <w:t>8</w:t>
      </w:r>
      <w:r w:rsidRPr="005A0113">
        <w:rPr>
          <w:rFonts w:ascii="Century" w:eastAsia="ＭＳ 明朝" w:hAnsi="Century" w:cs="Times New Roman" w:hint="eastAsia"/>
          <w:color w:val="000000" w:themeColor="text1"/>
          <w:sz w:val="20"/>
          <w:szCs w:val="20"/>
        </w:rPr>
        <w:t>月までの財政収支</w:t>
      </w:r>
      <w:r w:rsidRPr="005A0113">
        <w:rPr>
          <w:rFonts w:ascii="Century" w:eastAsia="ＭＳ 明朝" w:hAnsi="Century" w:cs="Times New Roman" w:hint="eastAsia"/>
          <w:color w:val="000000" w:themeColor="text1"/>
          <w:sz w:val="20"/>
          <w:szCs w:val="20"/>
        </w:rPr>
        <w:t>(</w:t>
      </w:r>
      <w:r w:rsidRPr="005A0113">
        <w:rPr>
          <w:rFonts w:ascii="Century" w:eastAsia="ＭＳ 明朝" w:hAnsi="Century" w:cs="Times New Roman" w:hint="eastAsia"/>
          <w:color w:val="000000" w:themeColor="text1"/>
          <w:sz w:val="20"/>
          <w:szCs w:val="20"/>
        </w:rPr>
        <w:t>表</w:t>
      </w:r>
      <w:r w:rsidRPr="005A0113">
        <w:rPr>
          <w:rFonts w:ascii="Century" w:eastAsia="ＭＳ 明朝" w:hAnsi="Century" w:cs="Times New Roman" w:hint="eastAsia"/>
          <w:color w:val="000000" w:themeColor="text1"/>
          <w:sz w:val="20"/>
          <w:szCs w:val="20"/>
        </w:rPr>
        <w:t>7)</w:t>
      </w:r>
      <w:r w:rsidRPr="005A0113">
        <w:rPr>
          <w:rFonts w:ascii="Century" w:eastAsia="ＭＳ 明朝" w:hAnsi="Century" w:cs="Times New Roman" w:hint="eastAsia"/>
          <w:color w:val="000000" w:themeColor="text1"/>
          <w:sz w:val="20"/>
          <w:szCs w:val="20"/>
        </w:rPr>
        <w:t>は、</w:t>
      </w:r>
      <w:r w:rsidR="003F75BF">
        <w:rPr>
          <w:rFonts w:ascii="Century" w:eastAsia="ＭＳ 明朝" w:hAnsi="Century" w:cs="Times New Roman" w:hint="eastAsia"/>
          <w:color w:val="000000" w:themeColor="text1"/>
          <w:sz w:val="20"/>
          <w:szCs w:val="20"/>
        </w:rPr>
        <w:t>対前年同期比で歳入が</w:t>
      </w:r>
      <w:r w:rsidRPr="005A0113">
        <w:rPr>
          <w:rFonts w:ascii="Century" w:eastAsia="ＭＳ 明朝" w:hAnsi="Century" w:cs="Times New Roman" w:hint="eastAsia"/>
          <w:color w:val="000000" w:themeColor="text1"/>
          <w:sz w:val="20"/>
          <w:szCs w:val="20"/>
        </w:rPr>
        <w:t>約</w:t>
      </w:r>
      <w:r w:rsidR="00D56B45" w:rsidRPr="005A0113">
        <w:rPr>
          <w:rFonts w:ascii="Century" w:eastAsia="ＭＳ 明朝" w:hAnsi="Century" w:cs="Times New Roman" w:hint="eastAsia"/>
          <w:color w:val="000000" w:themeColor="text1"/>
          <w:sz w:val="20"/>
          <w:szCs w:val="20"/>
        </w:rPr>
        <w:t>7.6</w:t>
      </w:r>
      <w:r w:rsidRPr="005A0113">
        <w:rPr>
          <w:rFonts w:ascii="Century" w:eastAsia="ＭＳ 明朝" w:hAnsi="Century" w:cs="Times New Roman" w:hint="eastAsia"/>
          <w:color w:val="000000" w:themeColor="text1"/>
          <w:sz w:val="20"/>
          <w:szCs w:val="20"/>
        </w:rPr>
        <w:t>％増の約</w:t>
      </w:r>
      <w:r w:rsidR="00D56B45" w:rsidRPr="005A0113">
        <w:rPr>
          <w:rFonts w:ascii="Century" w:eastAsia="ＭＳ 明朝" w:hAnsi="Century" w:cs="Times New Roman" w:hint="eastAsia"/>
          <w:color w:val="000000" w:themeColor="text1"/>
          <w:sz w:val="20"/>
          <w:szCs w:val="20"/>
        </w:rPr>
        <w:t>2</w:t>
      </w:r>
      <w:r w:rsidRPr="005A0113">
        <w:rPr>
          <w:rFonts w:ascii="Century" w:eastAsia="ＭＳ 明朝" w:hAnsi="Century" w:cs="Times New Roman" w:hint="eastAsia"/>
          <w:color w:val="000000" w:themeColor="text1"/>
          <w:sz w:val="20"/>
          <w:szCs w:val="20"/>
        </w:rPr>
        <w:t>兆</w:t>
      </w:r>
      <w:r w:rsidR="00D56B45" w:rsidRPr="005A0113">
        <w:rPr>
          <w:rFonts w:ascii="Century" w:eastAsia="ＭＳ 明朝" w:hAnsi="Century" w:cs="Times New Roman" w:hint="eastAsia"/>
          <w:color w:val="000000" w:themeColor="text1"/>
          <w:sz w:val="20"/>
          <w:szCs w:val="20"/>
        </w:rPr>
        <w:t>3,450</w:t>
      </w:r>
      <w:r w:rsidR="003F75BF">
        <w:rPr>
          <w:rFonts w:ascii="Century" w:eastAsia="ＭＳ 明朝" w:hAnsi="Century" w:cs="Times New Roman" w:hint="eastAsia"/>
          <w:color w:val="000000" w:themeColor="text1"/>
          <w:sz w:val="20"/>
          <w:szCs w:val="20"/>
        </w:rPr>
        <w:t>億コロン、歳出が</w:t>
      </w:r>
      <w:r w:rsidR="00D11481" w:rsidRPr="005A0113">
        <w:rPr>
          <w:rFonts w:ascii="Century" w:eastAsia="ＭＳ 明朝" w:hAnsi="Century" w:cs="Times New Roman" w:hint="eastAsia"/>
          <w:color w:val="000000" w:themeColor="text1"/>
          <w:sz w:val="20"/>
          <w:szCs w:val="20"/>
        </w:rPr>
        <w:t>約</w:t>
      </w:r>
      <w:r w:rsidR="00D56B45" w:rsidRPr="005A0113">
        <w:rPr>
          <w:rFonts w:ascii="Century" w:eastAsia="ＭＳ 明朝" w:hAnsi="Century" w:cs="Times New Roman" w:hint="eastAsia"/>
          <w:color w:val="000000" w:themeColor="text1"/>
          <w:sz w:val="20"/>
          <w:szCs w:val="20"/>
        </w:rPr>
        <w:t>8.7</w:t>
      </w:r>
      <w:r w:rsidR="00D11481" w:rsidRPr="005A0113">
        <w:rPr>
          <w:rFonts w:ascii="Century" w:eastAsia="ＭＳ 明朝" w:hAnsi="Century" w:cs="Times New Roman" w:hint="eastAsia"/>
          <w:color w:val="000000" w:themeColor="text1"/>
          <w:sz w:val="20"/>
          <w:szCs w:val="20"/>
        </w:rPr>
        <w:t>％増の約</w:t>
      </w:r>
      <w:r w:rsidR="00D56B45" w:rsidRPr="005A0113">
        <w:rPr>
          <w:rFonts w:ascii="Century" w:eastAsia="ＭＳ 明朝" w:hAnsi="Century" w:cs="Times New Roman" w:hint="eastAsia"/>
          <w:color w:val="000000" w:themeColor="text1"/>
          <w:sz w:val="20"/>
          <w:szCs w:val="20"/>
        </w:rPr>
        <w:t>3</w:t>
      </w:r>
      <w:r w:rsidR="00D11481" w:rsidRPr="005A0113">
        <w:rPr>
          <w:rFonts w:ascii="Century" w:eastAsia="ＭＳ 明朝" w:hAnsi="Century" w:cs="Times New Roman" w:hint="eastAsia"/>
          <w:color w:val="000000" w:themeColor="text1"/>
          <w:sz w:val="20"/>
          <w:szCs w:val="20"/>
        </w:rPr>
        <w:t>兆</w:t>
      </w:r>
      <w:r w:rsidR="00D56B45" w:rsidRPr="005A0113">
        <w:rPr>
          <w:rFonts w:ascii="Century" w:eastAsia="ＭＳ 明朝" w:hAnsi="Century" w:cs="Times New Roman" w:hint="eastAsia"/>
          <w:color w:val="000000" w:themeColor="text1"/>
          <w:sz w:val="20"/>
          <w:szCs w:val="20"/>
        </w:rPr>
        <w:t>2,825</w:t>
      </w:r>
      <w:r w:rsidR="00D11481" w:rsidRPr="005A0113">
        <w:rPr>
          <w:rFonts w:ascii="Century" w:eastAsia="ＭＳ 明朝" w:hAnsi="Century" w:cs="Times New Roman" w:hint="eastAsia"/>
          <w:color w:val="000000" w:themeColor="text1"/>
          <w:sz w:val="20"/>
          <w:szCs w:val="20"/>
        </w:rPr>
        <w:t>億コロンとなり、財政赤字額は約</w:t>
      </w:r>
      <w:r w:rsidR="00D56B45" w:rsidRPr="005A0113">
        <w:rPr>
          <w:rFonts w:ascii="Century" w:eastAsia="ＭＳ 明朝" w:hAnsi="Century" w:cs="Times New Roman" w:hint="eastAsia"/>
          <w:color w:val="000000" w:themeColor="text1"/>
          <w:sz w:val="20"/>
          <w:szCs w:val="20"/>
        </w:rPr>
        <w:t>11.4</w:t>
      </w:r>
      <w:r w:rsidR="00D56B45" w:rsidRPr="005A0113">
        <w:rPr>
          <w:rFonts w:ascii="Century" w:eastAsia="ＭＳ 明朝" w:hAnsi="Century" w:cs="Times New Roman" w:hint="eastAsia"/>
          <w:color w:val="000000" w:themeColor="text1"/>
          <w:sz w:val="20"/>
          <w:szCs w:val="20"/>
        </w:rPr>
        <w:t>％</w:t>
      </w:r>
      <w:r w:rsidR="00D11481" w:rsidRPr="005A0113">
        <w:rPr>
          <w:rFonts w:ascii="Century" w:eastAsia="ＭＳ 明朝" w:hAnsi="Century" w:cs="Times New Roman" w:hint="eastAsia"/>
          <w:color w:val="000000" w:themeColor="text1"/>
          <w:sz w:val="20"/>
          <w:szCs w:val="20"/>
        </w:rPr>
        <w:t>増の</w:t>
      </w:r>
      <w:r w:rsidR="00D56B45" w:rsidRPr="005A0113">
        <w:rPr>
          <w:rFonts w:ascii="Century" w:eastAsia="ＭＳ 明朝" w:hAnsi="Century" w:cs="Times New Roman" w:hint="eastAsia"/>
          <w:color w:val="000000" w:themeColor="text1"/>
          <w:sz w:val="20"/>
          <w:szCs w:val="20"/>
        </w:rPr>
        <w:t>約</w:t>
      </w:r>
      <w:r w:rsidR="00D56B45" w:rsidRPr="005A0113">
        <w:rPr>
          <w:rFonts w:ascii="Century" w:eastAsia="ＭＳ 明朝" w:hAnsi="Century" w:cs="Times New Roman" w:hint="eastAsia"/>
          <w:color w:val="000000" w:themeColor="text1"/>
          <w:sz w:val="20"/>
          <w:szCs w:val="20"/>
        </w:rPr>
        <w:t>9</w:t>
      </w:r>
      <w:r w:rsidR="00D11481" w:rsidRPr="005A0113">
        <w:rPr>
          <w:rFonts w:ascii="Century" w:eastAsia="ＭＳ 明朝" w:hAnsi="Century" w:cs="Times New Roman" w:hint="eastAsia"/>
          <w:color w:val="000000" w:themeColor="text1"/>
          <w:sz w:val="20"/>
          <w:szCs w:val="20"/>
        </w:rPr>
        <w:t>,</w:t>
      </w:r>
      <w:r w:rsidR="00D56B45" w:rsidRPr="005A0113">
        <w:rPr>
          <w:rFonts w:ascii="Century" w:eastAsia="ＭＳ 明朝" w:hAnsi="Century" w:cs="Times New Roman" w:hint="eastAsia"/>
          <w:color w:val="000000" w:themeColor="text1"/>
          <w:sz w:val="20"/>
          <w:szCs w:val="20"/>
        </w:rPr>
        <w:t>375</w:t>
      </w:r>
      <w:r w:rsidR="00D11481" w:rsidRPr="005A0113">
        <w:rPr>
          <w:rFonts w:ascii="Century" w:eastAsia="ＭＳ 明朝" w:hAnsi="Century" w:cs="Times New Roman" w:hint="eastAsia"/>
          <w:color w:val="000000" w:themeColor="text1"/>
          <w:sz w:val="20"/>
          <w:szCs w:val="20"/>
        </w:rPr>
        <w:t>億コロンとなった。財政赤字額</w:t>
      </w:r>
      <w:r w:rsidR="008D035D">
        <w:rPr>
          <w:rFonts w:ascii="Century" w:eastAsia="ＭＳ 明朝" w:hAnsi="Century" w:cs="Times New Roman" w:hint="eastAsia"/>
          <w:color w:val="000000" w:themeColor="text1"/>
          <w:sz w:val="20"/>
          <w:szCs w:val="20"/>
        </w:rPr>
        <w:t>の対</w:t>
      </w:r>
      <w:r w:rsidR="008D035D">
        <w:rPr>
          <w:rFonts w:ascii="Century" w:eastAsia="ＭＳ 明朝" w:hAnsi="Century" w:cs="Times New Roman" w:hint="eastAsia"/>
          <w:color w:val="000000" w:themeColor="text1"/>
          <w:sz w:val="20"/>
          <w:szCs w:val="20"/>
        </w:rPr>
        <w:t>GDP</w:t>
      </w:r>
      <w:r w:rsidR="00D56B45" w:rsidRPr="005A0113">
        <w:rPr>
          <w:rFonts w:ascii="Century" w:eastAsia="ＭＳ 明朝" w:hAnsi="Century" w:cs="Times New Roman" w:hint="eastAsia"/>
          <w:color w:val="000000" w:themeColor="text1"/>
          <w:sz w:val="20"/>
          <w:szCs w:val="20"/>
        </w:rPr>
        <w:t>比は</w:t>
      </w:r>
      <w:r w:rsidR="00D11481" w:rsidRPr="005A0113">
        <w:rPr>
          <w:rFonts w:ascii="Century" w:eastAsia="ＭＳ 明朝" w:hAnsi="Century" w:cs="Times New Roman" w:hint="eastAsia"/>
          <w:color w:val="000000" w:themeColor="text1"/>
          <w:sz w:val="20"/>
          <w:szCs w:val="20"/>
        </w:rPr>
        <w:t>前年</w:t>
      </w:r>
      <w:r w:rsidR="00D56B45" w:rsidRPr="005A0113">
        <w:rPr>
          <w:rFonts w:ascii="Century" w:eastAsia="ＭＳ 明朝" w:hAnsi="Century" w:cs="Times New Roman" w:hint="eastAsia"/>
          <w:color w:val="000000" w:themeColor="text1"/>
          <w:sz w:val="20"/>
          <w:szCs w:val="20"/>
        </w:rPr>
        <w:t>と同値の</w:t>
      </w:r>
      <w:r w:rsidR="00D56B45" w:rsidRPr="005A0113">
        <w:rPr>
          <w:rFonts w:ascii="Century" w:eastAsia="ＭＳ 明朝" w:hAnsi="Century" w:cs="Times New Roman" w:hint="eastAsia"/>
          <w:color w:val="000000" w:themeColor="text1"/>
          <w:sz w:val="20"/>
          <w:szCs w:val="20"/>
        </w:rPr>
        <w:t>3.4</w:t>
      </w:r>
      <w:r w:rsidR="00D11481" w:rsidRPr="005A0113">
        <w:rPr>
          <w:rFonts w:ascii="Century" w:eastAsia="ＭＳ 明朝" w:hAnsi="Century" w:cs="Times New Roman" w:hint="eastAsia"/>
          <w:color w:val="000000" w:themeColor="text1"/>
          <w:sz w:val="20"/>
          <w:szCs w:val="20"/>
        </w:rPr>
        <w:t>％となっている。</w:t>
      </w:r>
    </w:p>
    <w:p w:rsidR="00D80950" w:rsidRPr="005A0113" w:rsidRDefault="00D80950" w:rsidP="00D80950">
      <w:pPr>
        <w:jc w:val="left"/>
        <w:rPr>
          <w:rFonts w:ascii="Century" w:eastAsia="ＭＳ 明朝" w:hAnsi="Century" w:cs="Times New Roman"/>
          <w:b/>
          <w:i/>
          <w:color w:val="FF0000"/>
          <w:sz w:val="20"/>
          <w:szCs w:val="20"/>
        </w:rPr>
      </w:pPr>
      <w:r w:rsidRPr="005A0113">
        <w:rPr>
          <w:rFonts w:ascii="Century" w:eastAsia="ＭＳ 明朝" w:hAnsi="Century" w:cs="Times New Roman" w:hint="eastAsia"/>
          <w:color w:val="000000" w:themeColor="text1"/>
          <w:sz w:val="20"/>
          <w:szCs w:val="20"/>
        </w:rPr>
        <w:t>●</w:t>
      </w:r>
      <w:r w:rsidR="008D035D">
        <w:rPr>
          <w:rFonts w:ascii="Century" w:eastAsia="ＭＳ 明朝" w:hAnsi="Century" w:cs="Times New Roman" w:hint="eastAsia"/>
          <w:color w:val="000000" w:themeColor="text1"/>
          <w:sz w:val="20"/>
          <w:szCs w:val="20"/>
        </w:rPr>
        <w:t>年末時点での財政赤字額の対</w:t>
      </w:r>
      <w:r w:rsidR="008D035D">
        <w:rPr>
          <w:rFonts w:ascii="Century" w:eastAsia="ＭＳ 明朝" w:hAnsi="Century" w:cs="Times New Roman" w:hint="eastAsia"/>
          <w:color w:val="000000" w:themeColor="text1"/>
          <w:sz w:val="20"/>
          <w:szCs w:val="20"/>
        </w:rPr>
        <w:t>GDP</w:t>
      </w:r>
      <w:r w:rsidR="00F525BC" w:rsidRPr="005A0113">
        <w:rPr>
          <w:rFonts w:ascii="Century" w:eastAsia="ＭＳ 明朝" w:hAnsi="Century" w:cs="Times New Roman" w:hint="eastAsia"/>
          <w:color w:val="000000" w:themeColor="text1"/>
          <w:sz w:val="20"/>
          <w:szCs w:val="20"/>
        </w:rPr>
        <w:t>比は最大</w:t>
      </w:r>
      <w:r w:rsidR="00387BFF">
        <w:rPr>
          <w:rFonts w:ascii="Century" w:eastAsia="ＭＳ 明朝" w:hAnsi="Century" w:cs="Times New Roman" w:hint="eastAsia"/>
          <w:color w:val="000000" w:themeColor="text1"/>
          <w:sz w:val="20"/>
          <w:szCs w:val="20"/>
        </w:rPr>
        <w:t>で</w:t>
      </w:r>
      <w:r w:rsidR="00F525BC" w:rsidRPr="005A0113">
        <w:rPr>
          <w:rFonts w:ascii="Century" w:eastAsia="ＭＳ 明朝" w:hAnsi="Century" w:cs="Times New Roman" w:hint="eastAsia"/>
          <w:color w:val="000000" w:themeColor="text1"/>
          <w:sz w:val="20"/>
          <w:szCs w:val="20"/>
        </w:rPr>
        <w:t>6.7</w:t>
      </w:r>
      <w:r w:rsidR="00F525BC" w:rsidRPr="005A0113">
        <w:rPr>
          <w:rFonts w:ascii="Century" w:eastAsia="ＭＳ 明朝" w:hAnsi="Century" w:cs="Times New Roman" w:hint="eastAsia"/>
          <w:color w:val="000000" w:themeColor="text1"/>
          <w:sz w:val="20"/>
          <w:szCs w:val="20"/>
        </w:rPr>
        <w:t>％</w:t>
      </w:r>
      <w:r w:rsidR="00387BFF">
        <w:rPr>
          <w:rFonts w:ascii="Century" w:eastAsia="ＭＳ 明朝" w:hAnsi="Century" w:cs="Times New Roman" w:hint="eastAsia"/>
          <w:color w:val="000000" w:themeColor="text1"/>
          <w:sz w:val="20"/>
          <w:szCs w:val="20"/>
        </w:rPr>
        <w:t>前後と</w:t>
      </w:r>
      <w:r w:rsidR="00F525BC" w:rsidRPr="005A0113">
        <w:rPr>
          <w:rFonts w:ascii="Century" w:eastAsia="ＭＳ 明朝" w:hAnsi="Century" w:cs="Times New Roman" w:hint="eastAsia"/>
          <w:color w:val="000000" w:themeColor="text1"/>
          <w:sz w:val="20"/>
          <w:szCs w:val="20"/>
        </w:rPr>
        <w:t>予測されており、深刻な財政状況を改善していくためにも</w:t>
      </w:r>
      <w:r w:rsidR="00387BFF">
        <w:rPr>
          <w:rFonts w:ascii="Century" w:eastAsia="ＭＳ 明朝" w:hAnsi="Century" w:cs="Times New Roman" w:hint="eastAsia"/>
          <w:color w:val="000000" w:themeColor="text1"/>
          <w:sz w:val="20"/>
          <w:szCs w:val="20"/>
        </w:rPr>
        <w:t>、</w:t>
      </w:r>
      <w:r w:rsidR="00F525BC" w:rsidRPr="005A0113">
        <w:rPr>
          <w:rFonts w:ascii="Century" w:eastAsia="ＭＳ 明朝" w:hAnsi="Century" w:cs="Times New Roman" w:hint="eastAsia"/>
          <w:color w:val="000000" w:themeColor="text1"/>
          <w:sz w:val="20"/>
          <w:szCs w:val="20"/>
        </w:rPr>
        <w:t>現政権には税制改革を含む歳入増と、各省庁の予算減などを含む歳出</w:t>
      </w:r>
      <w:r w:rsidR="00513C24">
        <w:rPr>
          <w:rFonts w:ascii="Century" w:eastAsia="ＭＳ 明朝" w:hAnsi="Century" w:cs="Times New Roman" w:hint="eastAsia"/>
          <w:color w:val="000000" w:themeColor="text1"/>
          <w:sz w:val="20"/>
          <w:szCs w:val="20"/>
        </w:rPr>
        <w:t>削減</w:t>
      </w:r>
      <w:r w:rsidR="00F525BC" w:rsidRPr="005A0113">
        <w:rPr>
          <w:rFonts w:ascii="Century" w:eastAsia="ＭＳ 明朝" w:hAnsi="Century" w:cs="Times New Roman" w:hint="eastAsia"/>
          <w:color w:val="000000" w:themeColor="text1"/>
          <w:sz w:val="20"/>
          <w:szCs w:val="20"/>
        </w:rPr>
        <w:t>が求められてい</w:t>
      </w:r>
      <w:r w:rsidR="00664BE1">
        <w:rPr>
          <w:rFonts w:ascii="Century" w:eastAsia="ＭＳ 明朝" w:hAnsi="Century" w:cs="Times New Roman" w:hint="eastAsia"/>
          <w:color w:val="000000" w:themeColor="text1"/>
          <w:sz w:val="20"/>
          <w:szCs w:val="20"/>
        </w:rPr>
        <w:t>る</w:t>
      </w:r>
      <w:r w:rsidR="00F525BC" w:rsidRPr="005A0113">
        <w:rPr>
          <w:rFonts w:ascii="Century" w:eastAsia="ＭＳ 明朝" w:hAnsi="Century" w:cs="Times New Roman" w:hint="eastAsia"/>
          <w:color w:val="000000" w:themeColor="text1"/>
          <w:sz w:val="20"/>
          <w:szCs w:val="20"/>
        </w:rPr>
        <w:t>。</w:t>
      </w:r>
    </w:p>
    <w:p w:rsidR="00D80950" w:rsidRPr="005A0113" w:rsidRDefault="0090569D" w:rsidP="0090569D">
      <w:pPr>
        <w:rPr>
          <w:sz w:val="20"/>
          <w:szCs w:val="20"/>
        </w:rPr>
      </w:pPr>
      <w:r w:rsidRPr="005A0113">
        <w:rPr>
          <w:rFonts w:hint="eastAsia"/>
          <w:sz w:val="20"/>
          <w:szCs w:val="20"/>
        </w:rPr>
        <w:t>●</w:t>
      </w:r>
      <w:r w:rsidR="00F525BC" w:rsidRPr="005A0113">
        <w:rPr>
          <w:rFonts w:hint="eastAsia"/>
          <w:sz w:val="20"/>
          <w:szCs w:val="20"/>
        </w:rPr>
        <w:t>現時点ではコスタリカ</w:t>
      </w:r>
      <w:r w:rsidR="0088471A">
        <w:rPr>
          <w:rFonts w:hint="eastAsia"/>
          <w:sz w:val="20"/>
          <w:szCs w:val="20"/>
        </w:rPr>
        <w:t>人が国外で得た収入をも対象とした包括的所得税の導入と、売り上げ税</w:t>
      </w:r>
      <w:r w:rsidR="00F525BC" w:rsidRPr="005A0113">
        <w:rPr>
          <w:rFonts w:hint="eastAsia"/>
          <w:sz w:val="20"/>
          <w:szCs w:val="20"/>
        </w:rPr>
        <w:t>の付加価値税への移行及び</w:t>
      </w:r>
      <w:r w:rsidR="00902F85">
        <w:rPr>
          <w:rFonts w:hint="eastAsia"/>
          <w:sz w:val="20"/>
          <w:szCs w:val="20"/>
        </w:rPr>
        <w:t>その</w:t>
      </w:r>
      <w:r w:rsidR="00F525BC" w:rsidRPr="005A0113">
        <w:rPr>
          <w:rFonts w:hint="eastAsia"/>
          <w:sz w:val="20"/>
          <w:szCs w:val="20"/>
        </w:rPr>
        <w:t>課税対象の拡大が検討されている。しかし、現政権は就任時に</w:t>
      </w:r>
      <w:r w:rsidR="00F525BC" w:rsidRPr="005A0113">
        <w:rPr>
          <w:rFonts w:hint="eastAsia"/>
          <w:sz w:val="20"/>
          <w:szCs w:val="20"/>
        </w:rPr>
        <w:t>2</w:t>
      </w:r>
      <w:r w:rsidR="0046049D">
        <w:rPr>
          <w:rFonts w:hint="eastAsia"/>
          <w:sz w:val="20"/>
          <w:szCs w:val="20"/>
        </w:rPr>
        <w:t>年間は</w:t>
      </w:r>
      <w:r w:rsidR="00D56877">
        <w:rPr>
          <w:rFonts w:hint="eastAsia"/>
          <w:sz w:val="20"/>
          <w:szCs w:val="20"/>
        </w:rPr>
        <w:t>歳出</w:t>
      </w:r>
      <w:r w:rsidR="00F525BC" w:rsidRPr="005A0113">
        <w:rPr>
          <w:rFonts w:hint="eastAsia"/>
          <w:sz w:val="20"/>
          <w:szCs w:val="20"/>
        </w:rPr>
        <w:t>削減と脱税対策に専念</w:t>
      </w:r>
      <w:r w:rsidR="007909B2">
        <w:rPr>
          <w:rFonts w:hint="eastAsia"/>
          <w:sz w:val="20"/>
          <w:szCs w:val="20"/>
        </w:rPr>
        <w:t>する</w:t>
      </w:r>
      <w:r w:rsidR="00F525BC" w:rsidRPr="005A0113">
        <w:rPr>
          <w:rFonts w:hint="eastAsia"/>
          <w:sz w:val="20"/>
          <w:szCs w:val="20"/>
        </w:rPr>
        <w:t>と</w:t>
      </w:r>
      <w:r w:rsidR="008E5CA1">
        <w:rPr>
          <w:rFonts w:hint="eastAsia"/>
          <w:sz w:val="20"/>
          <w:szCs w:val="20"/>
        </w:rPr>
        <w:t>していただけに、就任</w:t>
      </w:r>
      <w:r w:rsidR="00436A74">
        <w:rPr>
          <w:rFonts w:hint="eastAsia"/>
          <w:sz w:val="20"/>
          <w:szCs w:val="20"/>
        </w:rPr>
        <w:t>間もない時期での税制改革実行には、議会</w:t>
      </w:r>
      <w:r w:rsidR="00664BE1">
        <w:rPr>
          <w:rFonts w:hint="eastAsia"/>
          <w:sz w:val="20"/>
          <w:szCs w:val="20"/>
        </w:rPr>
        <w:t>を</w:t>
      </w:r>
      <w:r w:rsidR="00436A74">
        <w:rPr>
          <w:rFonts w:hint="eastAsia"/>
          <w:sz w:val="20"/>
          <w:szCs w:val="20"/>
        </w:rPr>
        <w:t>含め</w:t>
      </w:r>
      <w:r w:rsidR="001848B5" w:rsidRPr="005A0113">
        <w:rPr>
          <w:rFonts w:hint="eastAsia"/>
          <w:sz w:val="20"/>
          <w:szCs w:val="20"/>
        </w:rPr>
        <w:t>多</w:t>
      </w:r>
      <w:r w:rsidR="00F525BC" w:rsidRPr="005A0113">
        <w:rPr>
          <w:rFonts w:hint="eastAsia"/>
          <w:sz w:val="20"/>
          <w:szCs w:val="20"/>
        </w:rPr>
        <w:t>方面からの反発が予測され</w:t>
      </w:r>
      <w:r w:rsidR="00D56877">
        <w:rPr>
          <w:rFonts w:hint="eastAsia"/>
          <w:sz w:val="20"/>
          <w:szCs w:val="20"/>
        </w:rPr>
        <w:t>てい</w:t>
      </w:r>
      <w:r w:rsidR="00F525BC" w:rsidRPr="005A0113">
        <w:rPr>
          <w:rFonts w:hint="eastAsia"/>
          <w:sz w:val="20"/>
          <w:szCs w:val="20"/>
        </w:rPr>
        <w:t>る。</w:t>
      </w:r>
    </w:p>
    <w:p w:rsidR="00D80950" w:rsidRDefault="00D80950"/>
    <w:p w:rsidR="00122B48" w:rsidRDefault="004E316F">
      <w:r>
        <w:rPr>
          <w:noProof/>
        </w:rPr>
        <w:drawing>
          <wp:inline distT="0" distB="0" distL="0" distR="0">
            <wp:extent cx="2657475" cy="3486150"/>
            <wp:effectExtent l="19050" t="0" r="9525" b="0"/>
            <wp:docPr id="1" name="グラフ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r>
        <w:rPr>
          <w:noProof/>
        </w:rPr>
        <w:drawing>
          <wp:inline distT="0" distB="0" distL="0" distR="0">
            <wp:extent cx="2533650" cy="3486150"/>
            <wp:effectExtent l="19050" t="0" r="19050" b="0"/>
            <wp:docPr id="11" name="グラフ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122B48" w:rsidRDefault="00122B48"/>
    <w:p w:rsidR="00122B48" w:rsidRDefault="00122B48"/>
    <w:p w:rsidR="00122B48" w:rsidRDefault="00122B48"/>
    <w:p w:rsidR="007272FA" w:rsidRDefault="007272FA"/>
    <w:p w:rsidR="00122B48" w:rsidRDefault="00122B48"/>
    <w:p w:rsidR="00DD7C17" w:rsidRPr="00354305" w:rsidRDefault="00354305" w:rsidP="00DD7C17">
      <w:pPr>
        <w:jc w:val="left"/>
        <w:rPr>
          <w:szCs w:val="21"/>
        </w:rPr>
      </w:pPr>
      <w:r w:rsidRPr="00354305">
        <w:rPr>
          <w:rFonts w:hint="eastAsia"/>
          <w:szCs w:val="21"/>
        </w:rPr>
        <w:lastRenderedPageBreak/>
        <w:t xml:space="preserve">４　</w:t>
      </w:r>
      <w:r w:rsidR="00ED29A8" w:rsidRPr="00354305">
        <w:rPr>
          <w:rFonts w:hint="eastAsia"/>
          <w:szCs w:val="21"/>
        </w:rPr>
        <w:t>物価上昇率</w:t>
      </w:r>
    </w:p>
    <w:p w:rsidR="00DD7C17" w:rsidRPr="005A0113" w:rsidRDefault="00DD7C17" w:rsidP="00DD7C17">
      <w:pPr>
        <w:jc w:val="left"/>
        <w:rPr>
          <w:rFonts w:ascii="Century" w:eastAsia="ＭＳ 明朝" w:hAnsi="Century" w:cs="Times New Roman"/>
          <w:sz w:val="20"/>
          <w:szCs w:val="20"/>
        </w:rPr>
      </w:pPr>
      <w:r w:rsidRPr="005A0113">
        <w:rPr>
          <w:rFonts w:ascii="Century" w:eastAsia="ＭＳ 明朝" w:hAnsi="Century" w:cs="Times New Roman" w:hint="eastAsia"/>
          <w:color w:val="000000" w:themeColor="text1"/>
          <w:sz w:val="20"/>
          <w:szCs w:val="20"/>
        </w:rPr>
        <w:t>●</w:t>
      </w:r>
      <w:r w:rsidR="0088789C" w:rsidRPr="005A0113">
        <w:rPr>
          <w:rFonts w:ascii="Century" w:eastAsia="ＭＳ 明朝" w:hAnsi="Century" w:cs="Times New Roman" w:hint="eastAsia"/>
          <w:color w:val="000000" w:themeColor="text1"/>
          <w:sz w:val="20"/>
          <w:szCs w:val="20"/>
        </w:rPr>
        <w:t>6</w:t>
      </w:r>
      <w:r w:rsidRPr="005A0113">
        <w:rPr>
          <w:rFonts w:ascii="Century" w:eastAsia="ＭＳ 明朝" w:hAnsi="Century" w:cs="Times New Roman" w:hint="eastAsia"/>
          <w:color w:val="000000" w:themeColor="text1"/>
          <w:sz w:val="20"/>
          <w:szCs w:val="20"/>
        </w:rPr>
        <w:t>月から</w:t>
      </w:r>
      <w:r w:rsidR="0088789C" w:rsidRPr="005A0113">
        <w:rPr>
          <w:rFonts w:ascii="Century" w:eastAsia="ＭＳ 明朝" w:hAnsi="Century" w:cs="Times New Roman" w:hint="eastAsia"/>
          <w:color w:val="000000" w:themeColor="text1"/>
          <w:sz w:val="20"/>
          <w:szCs w:val="20"/>
        </w:rPr>
        <w:t>7</w:t>
      </w:r>
      <w:r w:rsidRPr="005A0113">
        <w:rPr>
          <w:rFonts w:ascii="Century" w:eastAsia="ＭＳ 明朝" w:hAnsi="Century" w:cs="Times New Roman" w:hint="eastAsia"/>
          <w:sz w:val="20"/>
          <w:szCs w:val="20"/>
        </w:rPr>
        <w:t>月にかけての物価上昇率</w:t>
      </w:r>
      <w:r w:rsidRPr="005A0113">
        <w:rPr>
          <w:rFonts w:ascii="Century" w:eastAsia="ＭＳ 明朝" w:hAnsi="Century" w:cs="Times New Roman"/>
          <w:sz w:val="20"/>
          <w:szCs w:val="20"/>
        </w:rPr>
        <w:t>(</w:t>
      </w:r>
      <w:r w:rsidRPr="005A0113">
        <w:rPr>
          <w:rFonts w:ascii="Century" w:eastAsia="ＭＳ 明朝" w:hAnsi="Century" w:cs="Times New Roman" w:hint="eastAsia"/>
          <w:sz w:val="20"/>
          <w:szCs w:val="20"/>
        </w:rPr>
        <w:t>表</w:t>
      </w:r>
      <w:r w:rsidR="005865B3">
        <w:rPr>
          <w:rFonts w:ascii="Century" w:eastAsia="ＭＳ 明朝" w:hAnsi="Century" w:cs="Times New Roman" w:hint="eastAsia"/>
          <w:sz w:val="20"/>
          <w:szCs w:val="20"/>
        </w:rPr>
        <w:t>8</w:t>
      </w:r>
      <w:r w:rsidRPr="005A0113">
        <w:rPr>
          <w:rFonts w:ascii="Century" w:eastAsia="ＭＳ 明朝" w:hAnsi="Century" w:cs="Times New Roman"/>
          <w:sz w:val="20"/>
          <w:szCs w:val="20"/>
        </w:rPr>
        <w:t>)</w:t>
      </w:r>
      <w:r w:rsidRPr="005A0113">
        <w:rPr>
          <w:rFonts w:ascii="Century" w:eastAsia="ＭＳ 明朝" w:hAnsi="Century" w:cs="Times New Roman" w:hint="eastAsia"/>
          <w:sz w:val="20"/>
          <w:szCs w:val="20"/>
        </w:rPr>
        <w:t>は</w:t>
      </w:r>
      <w:r w:rsidR="007C66D1">
        <w:rPr>
          <w:rFonts w:ascii="Century" w:eastAsia="ＭＳ 明朝" w:hAnsi="Century" w:cs="Times New Roman" w:hint="eastAsia"/>
          <w:sz w:val="20"/>
          <w:szCs w:val="20"/>
        </w:rPr>
        <w:t>4.14</w:t>
      </w:r>
      <w:r w:rsidR="007C66D1">
        <w:rPr>
          <w:rFonts w:ascii="Century" w:eastAsia="ＭＳ 明朝" w:hAnsi="Century" w:cs="Times New Roman" w:hint="eastAsia"/>
          <w:sz w:val="20"/>
          <w:szCs w:val="20"/>
        </w:rPr>
        <w:t>％から</w:t>
      </w:r>
      <w:r w:rsidR="007C66D1">
        <w:rPr>
          <w:rFonts w:ascii="Century" w:eastAsia="ＭＳ 明朝" w:hAnsi="Century" w:cs="Times New Roman" w:hint="eastAsia"/>
          <w:sz w:val="20"/>
          <w:szCs w:val="20"/>
        </w:rPr>
        <w:t>5.09</w:t>
      </w:r>
      <w:r w:rsidR="007C66D1">
        <w:rPr>
          <w:rFonts w:ascii="Century" w:eastAsia="ＭＳ 明朝" w:hAnsi="Century" w:cs="Times New Roman" w:hint="eastAsia"/>
          <w:sz w:val="20"/>
          <w:szCs w:val="20"/>
        </w:rPr>
        <w:t>％と</w:t>
      </w:r>
      <w:r w:rsidR="007C66D1">
        <w:rPr>
          <w:rFonts w:ascii="Century" w:eastAsia="ＭＳ 明朝" w:hAnsi="Century" w:cs="Times New Roman" w:hint="eastAsia"/>
          <w:sz w:val="20"/>
          <w:szCs w:val="20"/>
        </w:rPr>
        <w:t>0.95</w:t>
      </w:r>
      <w:r w:rsidR="007C66D1">
        <w:rPr>
          <w:rFonts w:ascii="Century" w:eastAsia="ＭＳ 明朝" w:hAnsi="Century" w:cs="Times New Roman" w:hint="eastAsia"/>
          <w:sz w:val="20"/>
          <w:szCs w:val="20"/>
        </w:rPr>
        <w:t>ポイント上昇し、</w:t>
      </w:r>
      <w:r w:rsidR="0088789C" w:rsidRPr="005A0113">
        <w:rPr>
          <w:rFonts w:ascii="Century" w:eastAsia="ＭＳ 明朝" w:hAnsi="Century" w:cs="Times New Roman" w:hint="eastAsia"/>
          <w:sz w:val="20"/>
          <w:szCs w:val="20"/>
        </w:rPr>
        <w:t>7</w:t>
      </w:r>
      <w:r w:rsidR="00C60B36" w:rsidRPr="005A0113">
        <w:rPr>
          <w:rFonts w:ascii="Century" w:eastAsia="ＭＳ 明朝" w:hAnsi="Century" w:cs="Times New Roman" w:hint="eastAsia"/>
          <w:sz w:val="20"/>
          <w:szCs w:val="20"/>
        </w:rPr>
        <w:t>月時点での</w:t>
      </w:r>
      <w:r w:rsidR="00F036E7">
        <w:rPr>
          <w:rFonts w:ascii="Century" w:eastAsia="ＭＳ 明朝" w:hAnsi="Century" w:cs="Times New Roman" w:hint="eastAsia"/>
          <w:sz w:val="20"/>
          <w:szCs w:val="20"/>
        </w:rPr>
        <w:t>月間</w:t>
      </w:r>
      <w:r w:rsidR="00FC2771" w:rsidRPr="005A0113">
        <w:rPr>
          <w:rFonts w:ascii="Century" w:eastAsia="ＭＳ 明朝" w:hAnsi="Century" w:cs="Times New Roman" w:hint="eastAsia"/>
          <w:sz w:val="20"/>
          <w:szCs w:val="20"/>
        </w:rPr>
        <w:t>累計</w:t>
      </w:r>
      <w:r w:rsidR="00C60B36" w:rsidRPr="005A0113">
        <w:rPr>
          <w:rFonts w:ascii="Century" w:eastAsia="ＭＳ 明朝" w:hAnsi="Century" w:cs="Times New Roman" w:hint="eastAsia"/>
          <w:sz w:val="20"/>
          <w:szCs w:val="20"/>
        </w:rPr>
        <w:t>値</w:t>
      </w:r>
      <w:r w:rsidR="00FC2771" w:rsidRPr="005A0113">
        <w:rPr>
          <w:rFonts w:ascii="Century" w:eastAsia="ＭＳ 明朝" w:hAnsi="Century" w:cs="Times New Roman" w:hint="eastAsia"/>
          <w:sz w:val="20"/>
          <w:szCs w:val="20"/>
        </w:rPr>
        <w:t>は前年同値</w:t>
      </w:r>
      <w:r w:rsidR="007C66D1">
        <w:rPr>
          <w:rFonts w:ascii="Century" w:eastAsia="ＭＳ 明朝" w:hAnsi="Century" w:cs="Times New Roman" w:hint="eastAsia"/>
          <w:sz w:val="20"/>
          <w:szCs w:val="20"/>
        </w:rPr>
        <w:t>(3.59</w:t>
      </w:r>
      <w:r w:rsidR="007C66D1">
        <w:rPr>
          <w:rFonts w:ascii="Century" w:eastAsia="ＭＳ 明朝" w:hAnsi="Century" w:cs="Times New Roman" w:hint="eastAsia"/>
          <w:sz w:val="20"/>
          <w:szCs w:val="20"/>
        </w:rPr>
        <w:t>％</w:t>
      </w:r>
      <w:r w:rsidR="007C66D1">
        <w:rPr>
          <w:rFonts w:ascii="Century" w:eastAsia="ＭＳ 明朝" w:hAnsi="Century" w:cs="Times New Roman" w:hint="eastAsia"/>
          <w:sz w:val="20"/>
          <w:szCs w:val="20"/>
        </w:rPr>
        <w:t>)</w:t>
      </w:r>
      <w:r w:rsidR="00FC2771" w:rsidRPr="005A0113">
        <w:rPr>
          <w:rFonts w:ascii="Century" w:eastAsia="ＭＳ 明朝" w:hAnsi="Century" w:cs="Times New Roman" w:hint="eastAsia"/>
          <w:sz w:val="20"/>
          <w:szCs w:val="20"/>
        </w:rPr>
        <w:t>を</w:t>
      </w:r>
      <w:r w:rsidR="00E0345D">
        <w:rPr>
          <w:rFonts w:ascii="Century" w:eastAsia="ＭＳ 明朝" w:hAnsi="Century" w:cs="Times New Roman" w:hint="eastAsia"/>
          <w:sz w:val="20"/>
          <w:szCs w:val="20"/>
        </w:rPr>
        <w:t>1.5</w:t>
      </w:r>
      <w:r w:rsidR="00FC2771" w:rsidRPr="005A0113">
        <w:rPr>
          <w:rFonts w:ascii="Century" w:eastAsia="ＭＳ 明朝" w:hAnsi="Century" w:cs="Times New Roman" w:hint="eastAsia"/>
          <w:sz w:val="20"/>
          <w:szCs w:val="20"/>
        </w:rPr>
        <w:t>ポイント上回る</w:t>
      </w:r>
      <w:r w:rsidR="00E0345D">
        <w:rPr>
          <w:rFonts w:ascii="Century" w:eastAsia="ＭＳ 明朝" w:hAnsi="Century" w:cs="Times New Roman" w:hint="eastAsia"/>
          <w:sz w:val="20"/>
          <w:szCs w:val="20"/>
        </w:rPr>
        <w:t>5.09</w:t>
      </w:r>
      <w:r w:rsidR="00FC2771" w:rsidRPr="005A0113">
        <w:rPr>
          <w:rFonts w:ascii="Century" w:eastAsia="ＭＳ 明朝" w:hAnsi="Century" w:cs="Times New Roman" w:hint="eastAsia"/>
          <w:sz w:val="20"/>
          <w:szCs w:val="20"/>
        </w:rPr>
        <w:t>％となった</w:t>
      </w:r>
      <w:r w:rsidRPr="005A0113">
        <w:rPr>
          <w:rFonts w:ascii="Century" w:eastAsia="ＭＳ 明朝" w:hAnsi="Century" w:cs="Times New Roman" w:hint="eastAsia"/>
          <w:sz w:val="20"/>
          <w:szCs w:val="20"/>
        </w:rPr>
        <w:t>。</w:t>
      </w:r>
    </w:p>
    <w:p w:rsidR="00573A2A" w:rsidRPr="005A0113" w:rsidRDefault="00573A2A" w:rsidP="00DD7C17">
      <w:pPr>
        <w:jc w:val="left"/>
        <w:rPr>
          <w:rFonts w:ascii="Century" w:eastAsia="ＭＳ 明朝" w:hAnsi="Century" w:cs="Times New Roman"/>
          <w:sz w:val="20"/>
          <w:szCs w:val="20"/>
        </w:rPr>
      </w:pPr>
      <w:r w:rsidRPr="005A0113">
        <w:rPr>
          <w:rFonts w:ascii="Century" w:eastAsia="ＭＳ 明朝" w:hAnsi="Century" w:cs="Times New Roman" w:hint="eastAsia"/>
          <w:sz w:val="20"/>
          <w:szCs w:val="20"/>
        </w:rPr>
        <w:t>●</w:t>
      </w:r>
      <w:r w:rsidR="0088789C" w:rsidRPr="005A0113">
        <w:rPr>
          <w:rFonts w:ascii="Century" w:eastAsia="ＭＳ 明朝" w:hAnsi="Century" w:cs="Times New Roman" w:hint="eastAsia"/>
          <w:sz w:val="20"/>
          <w:szCs w:val="20"/>
        </w:rPr>
        <w:t>7</w:t>
      </w:r>
      <w:r w:rsidRPr="005A0113">
        <w:rPr>
          <w:rFonts w:ascii="Century" w:eastAsia="ＭＳ 明朝" w:hAnsi="Century" w:cs="Times New Roman" w:hint="eastAsia"/>
          <w:sz w:val="20"/>
          <w:szCs w:val="20"/>
        </w:rPr>
        <w:t>月から</w:t>
      </w:r>
      <w:r w:rsidR="0088789C" w:rsidRPr="005A0113">
        <w:rPr>
          <w:rFonts w:ascii="Century" w:eastAsia="ＭＳ 明朝" w:hAnsi="Century" w:cs="Times New Roman" w:hint="eastAsia"/>
          <w:sz w:val="20"/>
          <w:szCs w:val="20"/>
        </w:rPr>
        <w:t>8</w:t>
      </w:r>
      <w:r w:rsidR="007E34F1" w:rsidRPr="005A0113">
        <w:rPr>
          <w:rFonts w:ascii="Century" w:eastAsia="ＭＳ 明朝" w:hAnsi="Century" w:cs="Times New Roman" w:hint="eastAsia"/>
          <w:sz w:val="20"/>
          <w:szCs w:val="20"/>
        </w:rPr>
        <w:t>月にかけての物価上昇率は</w:t>
      </w:r>
      <w:r w:rsidR="007C66D1">
        <w:rPr>
          <w:rFonts w:ascii="Century" w:eastAsia="ＭＳ 明朝" w:hAnsi="Century" w:cs="Times New Roman" w:hint="eastAsia"/>
          <w:sz w:val="20"/>
          <w:szCs w:val="20"/>
        </w:rPr>
        <w:t>5.09</w:t>
      </w:r>
      <w:r w:rsidR="007C66D1">
        <w:rPr>
          <w:rFonts w:ascii="Century" w:eastAsia="ＭＳ 明朝" w:hAnsi="Century" w:cs="Times New Roman" w:hint="eastAsia"/>
          <w:sz w:val="20"/>
          <w:szCs w:val="20"/>
        </w:rPr>
        <w:t>％から</w:t>
      </w:r>
      <w:r w:rsidR="007C66D1">
        <w:rPr>
          <w:rFonts w:ascii="Century" w:eastAsia="ＭＳ 明朝" w:hAnsi="Century" w:cs="Times New Roman" w:hint="eastAsia"/>
          <w:sz w:val="20"/>
          <w:szCs w:val="20"/>
        </w:rPr>
        <w:t>5.44</w:t>
      </w:r>
      <w:r w:rsidR="007C66D1">
        <w:rPr>
          <w:rFonts w:ascii="Century" w:eastAsia="ＭＳ 明朝" w:hAnsi="Century" w:cs="Times New Roman" w:hint="eastAsia"/>
          <w:sz w:val="20"/>
          <w:szCs w:val="20"/>
        </w:rPr>
        <w:t>％と</w:t>
      </w:r>
      <w:r w:rsidR="0088789C" w:rsidRPr="005A0113">
        <w:rPr>
          <w:rFonts w:ascii="Century" w:eastAsia="ＭＳ 明朝" w:hAnsi="Century" w:cs="Times New Roman" w:hint="eastAsia"/>
          <w:sz w:val="20"/>
          <w:szCs w:val="20"/>
        </w:rPr>
        <w:t>0.35</w:t>
      </w:r>
      <w:r w:rsidR="007C66D1">
        <w:rPr>
          <w:rFonts w:ascii="Century" w:eastAsia="ＭＳ 明朝" w:hAnsi="Century" w:cs="Times New Roman" w:hint="eastAsia"/>
          <w:sz w:val="20"/>
          <w:szCs w:val="20"/>
        </w:rPr>
        <w:t>ポイント上昇し</w:t>
      </w:r>
      <w:r w:rsidR="00AC0977" w:rsidRPr="005A0113">
        <w:rPr>
          <w:rFonts w:ascii="Century" w:eastAsia="ＭＳ 明朝" w:hAnsi="Century" w:cs="Times New Roman" w:hint="eastAsia"/>
          <w:sz w:val="20"/>
          <w:szCs w:val="20"/>
        </w:rPr>
        <w:t>、</w:t>
      </w:r>
      <w:r w:rsidR="00AC0977" w:rsidRPr="005A0113">
        <w:rPr>
          <w:rFonts w:ascii="Century" w:eastAsia="ＭＳ 明朝" w:hAnsi="Century" w:cs="Times New Roman" w:hint="eastAsia"/>
          <w:sz w:val="20"/>
          <w:szCs w:val="20"/>
        </w:rPr>
        <w:t>8</w:t>
      </w:r>
      <w:r w:rsidR="00C60B36" w:rsidRPr="005A0113">
        <w:rPr>
          <w:rFonts w:ascii="Century" w:eastAsia="ＭＳ 明朝" w:hAnsi="Century" w:cs="Times New Roman" w:hint="eastAsia"/>
          <w:sz w:val="20"/>
          <w:szCs w:val="20"/>
        </w:rPr>
        <w:t>月時点での</w:t>
      </w:r>
      <w:r w:rsidR="00F036E7">
        <w:rPr>
          <w:rFonts w:ascii="Century" w:eastAsia="ＭＳ 明朝" w:hAnsi="Century" w:cs="Times New Roman" w:hint="eastAsia"/>
          <w:sz w:val="20"/>
          <w:szCs w:val="20"/>
        </w:rPr>
        <w:t>月間</w:t>
      </w:r>
      <w:r w:rsidRPr="005A0113">
        <w:rPr>
          <w:rFonts w:ascii="Century" w:eastAsia="ＭＳ 明朝" w:hAnsi="Century" w:cs="Times New Roman" w:hint="eastAsia"/>
          <w:sz w:val="20"/>
          <w:szCs w:val="20"/>
        </w:rPr>
        <w:t>累計</w:t>
      </w:r>
      <w:r w:rsidR="00C60B36" w:rsidRPr="005A0113">
        <w:rPr>
          <w:rFonts w:ascii="Century" w:eastAsia="ＭＳ 明朝" w:hAnsi="Century" w:cs="Times New Roman" w:hint="eastAsia"/>
          <w:sz w:val="20"/>
          <w:szCs w:val="20"/>
        </w:rPr>
        <w:t>値</w:t>
      </w:r>
      <w:r w:rsidRPr="005A0113">
        <w:rPr>
          <w:rFonts w:ascii="Century" w:eastAsia="ＭＳ 明朝" w:hAnsi="Century" w:cs="Times New Roman" w:hint="eastAsia"/>
          <w:sz w:val="20"/>
          <w:szCs w:val="20"/>
        </w:rPr>
        <w:t>は前年同値を</w:t>
      </w:r>
      <w:r w:rsidR="00E0345D">
        <w:rPr>
          <w:rFonts w:ascii="Century" w:eastAsia="ＭＳ 明朝" w:hAnsi="Century" w:cs="Times New Roman" w:hint="eastAsia"/>
          <w:sz w:val="20"/>
          <w:szCs w:val="20"/>
        </w:rPr>
        <w:t>1.8</w:t>
      </w:r>
      <w:r w:rsidRPr="005A0113">
        <w:rPr>
          <w:rFonts w:ascii="Century" w:eastAsia="ＭＳ 明朝" w:hAnsi="Century" w:cs="Times New Roman" w:hint="eastAsia"/>
          <w:sz w:val="20"/>
          <w:szCs w:val="20"/>
        </w:rPr>
        <w:t>ポイント上回る</w:t>
      </w:r>
      <w:r w:rsidR="00E0345D">
        <w:rPr>
          <w:rFonts w:ascii="Century" w:eastAsia="ＭＳ 明朝" w:hAnsi="Century" w:cs="Times New Roman" w:hint="eastAsia"/>
          <w:sz w:val="20"/>
          <w:szCs w:val="20"/>
        </w:rPr>
        <w:t>5.44</w:t>
      </w:r>
      <w:r w:rsidRPr="005A0113">
        <w:rPr>
          <w:rFonts w:ascii="Century" w:eastAsia="ＭＳ 明朝" w:hAnsi="Century" w:cs="Times New Roman" w:hint="eastAsia"/>
          <w:sz w:val="20"/>
          <w:szCs w:val="20"/>
        </w:rPr>
        <w:t>％となった。</w:t>
      </w:r>
      <w:r w:rsidR="00AC0977" w:rsidRPr="005A0113">
        <w:rPr>
          <w:rFonts w:ascii="Century" w:eastAsia="ＭＳ 明朝" w:hAnsi="Century" w:cs="Times New Roman" w:hint="eastAsia"/>
          <w:sz w:val="20"/>
          <w:szCs w:val="20"/>
        </w:rPr>
        <w:t>8</w:t>
      </w:r>
      <w:r w:rsidR="00AC0977" w:rsidRPr="005A0113">
        <w:rPr>
          <w:rFonts w:ascii="Century" w:eastAsia="ＭＳ 明朝" w:hAnsi="Century" w:cs="Times New Roman" w:hint="eastAsia"/>
          <w:sz w:val="20"/>
          <w:szCs w:val="20"/>
        </w:rPr>
        <w:t>月時点では、現在コスタリカ中央銀行が定めるインフレ・ターゲットの上限</w:t>
      </w:r>
      <w:r w:rsidR="00AC0977" w:rsidRPr="005A0113">
        <w:rPr>
          <w:rFonts w:ascii="Century" w:eastAsia="ＭＳ 明朝" w:hAnsi="Century" w:cs="Times New Roman" w:hint="eastAsia"/>
          <w:sz w:val="20"/>
          <w:szCs w:val="20"/>
        </w:rPr>
        <w:t>5</w:t>
      </w:r>
      <w:r w:rsidR="00AC0977" w:rsidRPr="005A0113">
        <w:rPr>
          <w:rFonts w:ascii="Century" w:eastAsia="ＭＳ 明朝" w:hAnsi="Century" w:cs="Times New Roman" w:hint="eastAsia"/>
          <w:sz w:val="20"/>
          <w:szCs w:val="20"/>
        </w:rPr>
        <w:t>％を上回っている</w:t>
      </w:r>
      <w:r w:rsidR="008345D2">
        <w:rPr>
          <w:rFonts w:ascii="Century" w:eastAsia="ＭＳ 明朝" w:hAnsi="Century" w:cs="Times New Roman" w:hint="eastAsia"/>
          <w:sz w:val="20"/>
          <w:szCs w:val="20"/>
        </w:rPr>
        <w:t>が、オリビエル・カストロ中銀総裁は、現状をあくまでも一時的な現象とみなし</w:t>
      </w:r>
      <w:r w:rsidR="008D1001">
        <w:rPr>
          <w:rFonts w:ascii="Century" w:eastAsia="ＭＳ 明朝" w:hAnsi="Century" w:cs="Times New Roman" w:hint="eastAsia"/>
          <w:sz w:val="20"/>
          <w:szCs w:val="20"/>
        </w:rPr>
        <w:t>、インフレ状況は収束に向かっているとの見方を示し</w:t>
      </w:r>
      <w:r w:rsidR="008345D2">
        <w:rPr>
          <w:rFonts w:ascii="Century" w:eastAsia="ＭＳ 明朝" w:hAnsi="Century" w:cs="Times New Roman" w:hint="eastAsia"/>
          <w:sz w:val="20"/>
          <w:szCs w:val="20"/>
        </w:rPr>
        <w:t>ている</w:t>
      </w:r>
      <w:r w:rsidR="00AC0977" w:rsidRPr="005A0113">
        <w:rPr>
          <w:rFonts w:ascii="Century" w:eastAsia="ＭＳ 明朝" w:hAnsi="Century" w:cs="Times New Roman" w:hint="eastAsia"/>
          <w:sz w:val="20"/>
          <w:szCs w:val="20"/>
        </w:rPr>
        <w:t>。</w:t>
      </w:r>
    </w:p>
    <w:p w:rsidR="00DD7C17" w:rsidRPr="005A0113" w:rsidRDefault="00DD7C17" w:rsidP="00573A2A">
      <w:pPr>
        <w:jc w:val="left"/>
        <w:rPr>
          <w:rFonts w:ascii="Century" w:eastAsia="ＭＳ 明朝" w:hAnsi="Century" w:cs="Times New Roman"/>
          <w:sz w:val="20"/>
          <w:szCs w:val="20"/>
        </w:rPr>
      </w:pPr>
      <w:r w:rsidRPr="005A0113">
        <w:rPr>
          <w:rFonts w:ascii="Century" w:eastAsia="ＭＳ 明朝" w:hAnsi="Century" w:cs="Times New Roman" w:hint="eastAsia"/>
          <w:sz w:val="20"/>
          <w:szCs w:val="20"/>
        </w:rPr>
        <w:t>●</w:t>
      </w:r>
      <w:r w:rsidR="00AC0977" w:rsidRPr="005A0113">
        <w:rPr>
          <w:rFonts w:ascii="Century" w:eastAsia="ＭＳ 明朝" w:hAnsi="Century" w:cs="Times New Roman" w:hint="eastAsia"/>
          <w:sz w:val="20"/>
          <w:szCs w:val="20"/>
        </w:rPr>
        <w:t>8</w:t>
      </w:r>
      <w:r w:rsidR="00D94FAC" w:rsidRPr="005A0113">
        <w:rPr>
          <w:rFonts w:ascii="Century" w:eastAsia="ＭＳ 明朝" w:hAnsi="Century" w:cs="Times New Roman" w:hint="eastAsia"/>
          <w:sz w:val="20"/>
          <w:szCs w:val="20"/>
        </w:rPr>
        <w:t>月時点の消費者物価指数</w:t>
      </w:r>
      <w:r w:rsidR="005865B3">
        <w:rPr>
          <w:rFonts w:ascii="Century" w:eastAsia="ＭＳ 明朝" w:hAnsi="Century" w:cs="Times New Roman" w:hint="eastAsia"/>
          <w:sz w:val="20"/>
          <w:szCs w:val="20"/>
        </w:rPr>
        <w:t>(</w:t>
      </w:r>
      <w:r w:rsidRPr="005A0113">
        <w:rPr>
          <w:rFonts w:ascii="Century" w:eastAsia="ＭＳ 明朝" w:hAnsi="Century" w:cs="Times New Roman" w:hint="eastAsia"/>
          <w:sz w:val="20"/>
          <w:szCs w:val="20"/>
        </w:rPr>
        <w:t>年率換算</w:t>
      </w:r>
      <w:r w:rsidRPr="005A0113">
        <w:rPr>
          <w:rFonts w:ascii="Century" w:eastAsia="ＭＳ 明朝" w:hAnsi="Century" w:cs="Times New Roman"/>
          <w:sz w:val="20"/>
          <w:szCs w:val="20"/>
        </w:rPr>
        <w:t>(</w:t>
      </w:r>
      <w:r w:rsidRPr="005A0113">
        <w:rPr>
          <w:rFonts w:ascii="Century" w:eastAsia="ＭＳ 明朝" w:hAnsi="Century" w:cs="Times New Roman" w:hint="eastAsia"/>
          <w:sz w:val="20"/>
          <w:szCs w:val="20"/>
        </w:rPr>
        <w:t>表</w:t>
      </w:r>
      <w:r w:rsidR="005865B3">
        <w:rPr>
          <w:rFonts w:ascii="Century" w:eastAsia="ＭＳ 明朝" w:hAnsi="Century" w:cs="Times New Roman" w:hint="eastAsia"/>
          <w:sz w:val="20"/>
          <w:szCs w:val="20"/>
        </w:rPr>
        <w:t>9</w:t>
      </w:r>
      <w:r w:rsidRPr="005A0113">
        <w:rPr>
          <w:rFonts w:ascii="Century" w:eastAsia="ＭＳ 明朝" w:hAnsi="Century" w:cs="Times New Roman"/>
          <w:sz w:val="20"/>
          <w:szCs w:val="20"/>
        </w:rPr>
        <w:t>)</w:t>
      </w:r>
      <w:r w:rsidRPr="005A0113">
        <w:rPr>
          <w:rFonts w:ascii="Century" w:eastAsia="ＭＳ 明朝" w:hAnsi="Century" w:cs="Times New Roman" w:hint="eastAsia"/>
          <w:sz w:val="20"/>
          <w:szCs w:val="20"/>
        </w:rPr>
        <w:t>は</w:t>
      </w:r>
      <w:r w:rsidR="00AC0977" w:rsidRPr="005A0113">
        <w:rPr>
          <w:rFonts w:ascii="Century" w:eastAsia="ＭＳ 明朝" w:hAnsi="Century" w:cs="Times New Roman" w:hint="eastAsia"/>
          <w:sz w:val="20"/>
          <w:szCs w:val="20"/>
        </w:rPr>
        <w:t>5.49</w:t>
      </w:r>
      <w:r w:rsidRPr="005A0113">
        <w:rPr>
          <w:rFonts w:ascii="Century" w:eastAsia="ＭＳ 明朝" w:hAnsi="Century" w:cs="Times New Roman" w:hint="eastAsia"/>
          <w:sz w:val="20"/>
          <w:szCs w:val="20"/>
        </w:rPr>
        <w:t>％を記録し</w:t>
      </w:r>
      <w:r w:rsidR="00296F9F" w:rsidRPr="005A0113">
        <w:rPr>
          <w:rFonts w:ascii="Century" w:eastAsia="ＭＳ 明朝" w:hAnsi="Century" w:cs="Times New Roman" w:hint="eastAsia"/>
          <w:sz w:val="20"/>
          <w:szCs w:val="20"/>
        </w:rPr>
        <w:t>た。</w:t>
      </w:r>
      <w:r w:rsidR="00296F9F" w:rsidRPr="005A0113">
        <w:rPr>
          <w:rFonts w:ascii="Century" w:eastAsia="ＭＳ 明朝" w:hAnsi="Century" w:cs="Times New Roman" w:hint="eastAsia"/>
          <w:sz w:val="20"/>
          <w:szCs w:val="20"/>
        </w:rPr>
        <w:t>2014</w:t>
      </w:r>
      <w:r w:rsidR="00296F9F" w:rsidRPr="005A0113">
        <w:rPr>
          <w:rFonts w:ascii="Century" w:eastAsia="ＭＳ 明朝" w:hAnsi="Century" w:cs="Times New Roman" w:hint="eastAsia"/>
          <w:sz w:val="20"/>
          <w:szCs w:val="20"/>
        </w:rPr>
        <w:t>－</w:t>
      </w:r>
      <w:r w:rsidR="00296F9F" w:rsidRPr="005A0113">
        <w:rPr>
          <w:rFonts w:ascii="Century" w:eastAsia="ＭＳ 明朝" w:hAnsi="Century" w:cs="Times New Roman" w:hint="eastAsia"/>
          <w:sz w:val="20"/>
          <w:szCs w:val="20"/>
        </w:rPr>
        <w:t>2015</w:t>
      </w:r>
      <w:r w:rsidR="001011C7" w:rsidRPr="005A0113">
        <w:rPr>
          <w:rFonts w:ascii="Century" w:eastAsia="ＭＳ 明朝" w:hAnsi="Century" w:cs="Times New Roman" w:hint="eastAsia"/>
          <w:sz w:val="20"/>
          <w:szCs w:val="20"/>
        </w:rPr>
        <w:t>年</w:t>
      </w:r>
      <w:r w:rsidR="00296F9F" w:rsidRPr="005A0113">
        <w:rPr>
          <w:rFonts w:ascii="Century" w:eastAsia="ＭＳ 明朝" w:hAnsi="Century" w:cs="Times New Roman" w:hint="eastAsia"/>
          <w:sz w:val="20"/>
          <w:szCs w:val="20"/>
        </w:rPr>
        <w:t>マクロ経済プログラムの修正報告書</w:t>
      </w:r>
      <w:r w:rsidR="00AC0977" w:rsidRPr="005A0113">
        <w:rPr>
          <w:rFonts w:ascii="Century" w:eastAsia="ＭＳ 明朝" w:hAnsi="Century" w:cs="Times New Roman" w:hint="eastAsia"/>
          <w:sz w:val="20"/>
          <w:szCs w:val="20"/>
        </w:rPr>
        <w:t>においては、現在の物価上昇は予測</w:t>
      </w:r>
      <w:r w:rsidR="00E0345D">
        <w:rPr>
          <w:rFonts w:ascii="Century" w:eastAsia="ＭＳ 明朝" w:hAnsi="Century" w:cs="Times New Roman" w:hint="eastAsia"/>
          <w:sz w:val="20"/>
          <w:szCs w:val="20"/>
        </w:rPr>
        <w:t>済み</w:t>
      </w:r>
      <w:r w:rsidR="00AC0977" w:rsidRPr="005A0113">
        <w:rPr>
          <w:rFonts w:ascii="Century" w:eastAsia="ＭＳ 明朝" w:hAnsi="Century" w:cs="Times New Roman" w:hint="eastAsia"/>
          <w:sz w:val="20"/>
          <w:szCs w:val="20"/>
        </w:rPr>
        <w:t>かつ</w:t>
      </w:r>
      <w:r w:rsidR="0071021D" w:rsidRPr="005A0113">
        <w:rPr>
          <w:rFonts w:ascii="Century" w:eastAsia="ＭＳ 明朝" w:hAnsi="Century" w:cs="Times New Roman" w:hint="eastAsia"/>
          <w:sz w:val="20"/>
          <w:szCs w:val="20"/>
        </w:rPr>
        <w:t>今後</w:t>
      </w:r>
      <w:r w:rsidR="00AC0977" w:rsidRPr="005A0113">
        <w:rPr>
          <w:rFonts w:ascii="Century" w:eastAsia="ＭＳ 明朝" w:hAnsi="Century" w:cs="Times New Roman" w:hint="eastAsia"/>
          <w:sz w:val="20"/>
          <w:szCs w:val="20"/>
        </w:rPr>
        <w:t>収束が見込まれていることから、</w:t>
      </w:r>
      <w:r w:rsidR="00296F9F" w:rsidRPr="005A0113">
        <w:rPr>
          <w:rFonts w:ascii="Century" w:eastAsia="ＭＳ 明朝" w:hAnsi="Century" w:cs="Times New Roman" w:hint="eastAsia"/>
          <w:sz w:val="20"/>
          <w:szCs w:val="20"/>
        </w:rPr>
        <w:t>現行のインフレ・ターゲット</w:t>
      </w:r>
      <w:r w:rsidR="00296F9F" w:rsidRPr="005A0113">
        <w:rPr>
          <w:rFonts w:ascii="Century" w:eastAsia="ＭＳ 明朝" w:hAnsi="Century" w:cs="Times New Roman" w:hint="eastAsia"/>
          <w:sz w:val="20"/>
          <w:szCs w:val="20"/>
        </w:rPr>
        <w:t>(3</w:t>
      </w:r>
      <w:r w:rsidR="00296F9F" w:rsidRPr="005A0113">
        <w:rPr>
          <w:rFonts w:ascii="Century" w:eastAsia="ＭＳ 明朝" w:hAnsi="Century" w:cs="Times New Roman" w:hint="eastAsia"/>
          <w:sz w:val="20"/>
          <w:szCs w:val="20"/>
        </w:rPr>
        <w:t>－</w:t>
      </w:r>
      <w:r w:rsidR="00296F9F" w:rsidRPr="005A0113">
        <w:rPr>
          <w:rFonts w:ascii="Century" w:eastAsia="ＭＳ 明朝" w:hAnsi="Century" w:cs="Times New Roman" w:hint="eastAsia"/>
          <w:sz w:val="20"/>
          <w:szCs w:val="20"/>
        </w:rPr>
        <w:t>5</w:t>
      </w:r>
      <w:r w:rsidR="00296F9F" w:rsidRPr="005A0113">
        <w:rPr>
          <w:rFonts w:ascii="Century" w:eastAsia="ＭＳ 明朝" w:hAnsi="Century" w:cs="Times New Roman" w:hint="eastAsia"/>
          <w:sz w:val="20"/>
          <w:szCs w:val="20"/>
        </w:rPr>
        <w:t>％</w:t>
      </w:r>
      <w:r w:rsidR="00296F9F" w:rsidRPr="005A0113">
        <w:rPr>
          <w:rFonts w:ascii="Century" w:eastAsia="ＭＳ 明朝" w:hAnsi="Century" w:cs="Times New Roman" w:hint="eastAsia"/>
          <w:sz w:val="20"/>
          <w:szCs w:val="20"/>
        </w:rPr>
        <w:t>)</w:t>
      </w:r>
      <w:r w:rsidR="00296F9F" w:rsidRPr="005A0113">
        <w:rPr>
          <w:rFonts w:ascii="Century" w:eastAsia="ＭＳ 明朝" w:hAnsi="Century" w:cs="Times New Roman" w:hint="eastAsia"/>
          <w:sz w:val="20"/>
          <w:szCs w:val="20"/>
        </w:rPr>
        <w:t>の修正</w:t>
      </w:r>
      <w:r w:rsidR="00AC0977" w:rsidRPr="005A0113">
        <w:rPr>
          <w:rFonts w:ascii="Century" w:eastAsia="ＭＳ 明朝" w:hAnsi="Century" w:cs="Times New Roman" w:hint="eastAsia"/>
          <w:sz w:val="20"/>
          <w:szCs w:val="20"/>
        </w:rPr>
        <w:t>は実施されないことが発表された。</w:t>
      </w:r>
    </w:p>
    <w:p w:rsidR="00462552" w:rsidRDefault="00462552" w:rsidP="00E50B15">
      <w:pPr>
        <w:jc w:val="center"/>
        <w:rPr>
          <w:noProof/>
        </w:rPr>
      </w:pPr>
    </w:p>
    <w:p w:rsidR="00642E56" w:rsidRDefault="004E79D2" w:rsidP="00E50B15">
      <w:pPr>
        <w:jc w:val="center"/>
      </w:pPr>
      <w:r>
        <w:rPr>
          <w:noProof/>
        </w:rPr>
        <w:drawing>
          <wp:inline distT="0" distB="0" distL="0" distR="0">
            <wp:extent cx="4572000" cy="2552700"/>
            <wp:effectExtent l="19050" t="0" r="19050" b="0"/>
            <wp:docPr id="5" name="グラフ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642E56" w:rsidRDefault="00642E56" w:rsidP="00746D9E">
      <w:pPr>
        <w:jc w:val="center"/>
      </w:pPr>
    </w:p>
    <w:p w:rsidR="00642E56" w:rsidRDefault="0080133E" w:rsidP="00CA02F1">
      <w:pPr>
        <w:jc w:val="center"/>
      </w:pPr>
      <w:r w:rsidRPr="0080133E">
        <w:rPr>
          <w:noProof/>
        </w:rPr>
        <w:lastRenderedPageBreak/>
        <w:drawing>
          <wp:inline distT="0" distB="0" distL="0" distR="0">
            <wp:extent cx="4648200" cy="2905125"/>
            <wp:effectExtent l="19050" t="0" r="19050" b="0"/>
            <wp:docPr id="4" name="グラフ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E567C7" w:rsidRDefault="00E567C7">
      <w:pPr>
        <w:rPr>
          <w:sz w:val="20"/>
          <w:szCs w:val="20"/>
        </w:rPr>
      </w:pPr>
    </w:p>
    <w:p w:rsidR="00620B7F" w:rsidRPr="00CA02F1" w:rsidRDefault="00CA02F1">
      <w:pPr>
        <w:rPr>
          <w:szCs w:val="21"/>
        </w:rPr>
      </w:pPr>
      <w:r>
        <w:rPr>
          <w:rFonts w:hint="eastAsia"/>
          <w:szCs w:val="21"/>
        </w:rPr>
        <w:t xml:space="preserve">５　</w:t>
      </w:r>
      <w:r w:rsidR="00620B7F" w:rsidRPr="00CA02F1">
        <w:rPr>
          <w:rFonts w:hint="eastAsia"/>
          <w:szCs w:val="21"/>
        </w:rPr>
        <w:t>為替・金利</w:t>
      </w:r>
    </w:p>
    <w:p w:rsidR="00C96911" w:rsidRPr="005A0113" w:rsidRDefault="00C96911" w:rsidP="00C96911">
      <w:pPr>
        <w:rPr>
          <w:rFonts w:ascii="Century" w:eastAsia="ＭＳ 明朝" w:hAnsi="Century" w:cs="Times New Roman"/>
          <w:color w:val="000000" w:themeColor="text1"/>
          <w:sz w:val="20"/>
          <w:szCs w:val="20"/>
        </w:rPr>
      </w:pPr>
      <w:r w:rsidRPr="005A0113">
        <w:rPr>
          <w:rFonts w:ascii="Century" w:eastAsia="ＭＳ 明朝" w:hAnsi="Century" w:cs="Times New Roman"/>
          <w:color w:val="000000" w:themeColor="text1"/>
          <w:sz w:val="20"/>
          <w:szCs w:val="20"/>
        </w:rPr>
        <w:t>(</w:t>
      </w:r>
      <w:r w:rsidRPr="005A0113">
        <w:rPr>
          <w:rFonts w:ascii="Century" w:eastAsia="ＭＳ 明朝" w:hAnsi="Century" w:cs="Times New Roman" w:hint="eastAsia"/>
          <w:color w:val="000000" w:themeColor="text1"/>
          <w:sz w:val="20"/>
          <w:szCs w:val="20"/>
        </w:rPr>
        <w:t>１</w:t>
      </w:r>
      <w:r w:rsidRPr="005A0113">
        <w:rPr>
          <w:rFonts w:ascii="Century" w:eastAsia="ＭＳ 明朝" w:hAnsi="Century" w:cs="Times New Roman"/>
          <w:color w:val="000000" w:themeColor="text1"/>
          <w:sz w:val="20"/>
          <w:szCs w:val="20"/>
        </w:rPr>
        <w:t>)</w:t>
      </w:r>
      <w:r w:rsidRPr="005A0113">
        <w:rPr>
          <w:rFonts w:ascii="Century" w:eastAsia="ＭＳ 明朝" w:hAnsi="Century" w:cs="Times New Roman" w:hint="eastAsia"/>
          <w:color w:val="000000" w:themeColor="text1"/>
          <w:sz w:val="20"/>
          <w:szCs w:val="20"/>
        </w:rPr>
        <w:t>為替レート</w:t>
      </w:r>
    </w:p>
    <w:p w:rsidR="00C96911" w:rsidRPr="005A0113" w:rsidRDefault="00C96911" w:rsidP="00C96911">
      <w:pPr>
        <w:jc w:val="left"/>
        <w:rPr>
          <w:rFonts w:ascii="Century" w:eastAsia="ＭＳ 明朝" w:hAnsi="Century" w:cs="Times New Roman"/>
          <w:color w:val="000000" w:themeColor="text1"/>
          <w:sz w:val="20"/>
          <w:szCs w:val="20"/>
        </w:rPr>
      </w:pPr>
      <w:r w:rsidRPr="005A0113">
        <w:rPr>
          <w:rFonts w:ascii="Century" w:eastAsia="ＭＳ 明朝" w:hAnsi="Century" w:cs="Times New Roman" w:hint="eastAsia"/>
          <w:color w:val="000000" w:themeColor="text1"/>
          <w:sz w:val="20"/>
          <w:szCs w:val="20"/>
        </w:rPr>
        <w:t>●対米ドル為替レート</w:t>
      </w:r>
      <w:r w:rsidR="001433C1">
        <w:rPr>
          <w:rFonts w:ascii="Century" w:eastAsia="ＭＳ 明朝" w:hAnsi="Century" w:cs="Times New Roman" w:hint="eastAsia"/>
          <w:color w:val="000000" w:themeColor="text1"/>
          <w:sz w:val="20"/>
          <w:szCs w:val="20"/>
        </w:rPr>
        <w:t>月末値</w:t>
      </w:r>
      <w:r w:rsidRPr="005A0113">
        <w:rPr>
          <w:rFonts w:ascii="Century" w:eastAsia="ＭＳ 明朝" w:hAnsi="Century" w:cs="Times New Roman"/>
          <w:color w:val="000000" w:themeColor="text1"/>
          <w:sz w:val="20"/>
          <w:szCs w:val="20"/>
        </w:rPr>
        <w:t>(</w:t>
      </w:r>
      <w:r w:rsidRPr="005A0113">
        <w:rPr>
          <w:rFonts w:ascii="Century" w:eastAsia="ＭＳ 明朝" w:hAnsi="Century" w:cs="Times New Roman" w:hint="eastAsia"/>
          <w:color w:val="000000" w:themeColor="text1"/>
          <w:sz w:val="20"/>
          <w:szCs w:val="20"/>
        </w:rPr>
        <w:t>表</w:t>
      </w:r>
      <w:r w:rsidR="005865B3">
        <w:rPr>
          <w:rFonts w:ascii="Century" w:eastAsia="ＭＳ 明朝" w:hAnsi="Century" w:cs="Times New Roman" w:hint="eastAsia"/>
          <w:color w:val="000000" w:themeColor="text1"/>
          <w:sz w:val="20"/>
          <w:szCs w:val="20"/>
        </w:rPr>
        <w:t>10</w:t>
      </w:r>
      <w:r w:rsidRPr="005A0113">
        <w:rPr>
          <w:rFonts w:ascii="Century" w:eastAsia="ＭＳ 明朝" w:hAnsi="Century" w:cs="Times New Roman"/>
          <w:color w:val="000000" w:themeColor="text1"/>
          <w:sz w:val="20"/>
          <w:szCs w:val="20"/>
        </w:rPr>
        <w:t>)</w:t>
      </w:r>
      <w:r w:rsidRPr="005A0113">
        <w:rPr>
          <w:rFonts w:ascii="Century" w:eastAsia="ＭＳ 明朝" w:hAnsi="Century" w:cs="Times New Roman" w:hint="eastAsia"/>
          <w:color w:val="000000" w:themeColor="text1"/>
          <w:sz w:val="20"/>
          <w:szCs w:val="20"/>
        </w:rPr>
        <w:t>は、</w:t>
      </w:r>
      <w:r w:rsidR="009E37FE" w:rsidRPr="005A0113">
        <w:rPr>
          <w:rFonts w:ascii="Century" w:eastAsia="ＭＳ 明朝" w:hAnsi="Century" w:cs="Times New Roman" w:hint="eastAsia"/>
          <w:color w:val="000000" w:themeColor="text1"/>
          <w:sz w:val="20"/>
          <w:szCs w:val="20"/>
        </w:rPr>
        <w:t>5</w:t>
      </w:r>
      <w:r w:rsidRPr="005A0113">
        <w:rPr>
          <w:rFonts w:ascii="Century" w:eastAsia="ＭＳ 明朝" w:hAnsi="Century" w:cs="Times New Roman" w:hint="eastAsia"/>
          <w:color w:val="000000" w:themeColor="text1"/>
          <w:sz w:val="20"/>
          <w:szCs w:val="20"/>
        </w:rPr>
        <w:t>月</w:t>
      </w:r>
      <w:r w:rsidR="001433C1">
        <w:rPr>
          <w:rFonts w:ascii="Century" w:eastAsia="ＭＳ 明朝" w:hAnsi="Century" w:cs="Times New Roman" w:hint="eastAsia"/>
          <w:color w:val="000000" w:themeColor="text1"/>
          <w:sz w:val="20"/>
          <w:szCs w:val="20"/>
        </w:rPr>
        <w:t>に</w:t>
      </w:r>
      <w:r w:rsidR="009E37FE" w:rsidRPr="005A0113">
        <w:rPr>
          <w:rFonts w:ascii="Century" w:eastAsia="ＭＳ 明朝" w:hAnsi="Century" w:cs="Times New Roman" w:hint="eastAsia"/>
          <w:color w:val="000000" w:themeColor="text1"/>
          <w:sz w:val="20"/>
          <w:szCs w:val="20"/>
        </w:rPr>
        <w:t>ドル高</w:t>
      </w:r>
      <w:r w:rsidR="00287F37" w:rsidRPr="005A0113">
        <w:rPr>
          <w:rFonts w:ascii="Century" w:eastAsia="ＭＳ 明朝" w:hAnsi="Century" w:cs="Times New Roman" w:hint="eastAsia"/>
          <w:color w:val="000000" w:themeColor="text1"/>
          <w:sz w:val="20"/>
          <w:szCs w:val="20"/>
        </w:rPr>
        <w:t>のピーク</w:t>
      </w:r>
      <w:r w:rsidR="00287F37" w:rsidRPr="005A0113">
        <w:rPr>
          <w:rFonts w:ascii="Century" w:eastAsia="ＭＳ 明朝" w:hAnsi="Century" w:cs="Times New Roman" w:hint="eastAsia"/>
          <w:color w:val="000000" w:themeColor="text1"/>
          <w:sz w:val="20"/>
          <w:szCs w:val="20"/>
        </w:rPr>
        <w:t>(1</w:t>
      </w:r>
      <w:r w:rsidR="00287F37" w:rsidRPr="005A0113">
        <w:rPr>
          <w:rFonts w:ascii="Century" w:eastAsia="ＭＳ 明朝" w:hAnsi="Century" w:cs="Times New Roman" w:hint="eastAsia"/>
          <w:color w:val="000000" w:themeColor="text1"/>
          <w:sz w:val="20"/>
          <w:szCs w:val="20"/>
        </w:rPr>
        <w:t>ドル＝</w:t>
      </w:r>
      <w:r w:rsidR="00287F37" w:rsidRPr="005A0113">
        <w:rPr>
          <w:rFonts w:ascii="Century" w:eastAsia="ＭＳ 明朝" w:hAnsi="Century" w:cs="Times New Roman" w:hint="eastAsia"/>
          <w:color w:val="000000" w:themeColor="text1"/>
          <w:sz w:val="20"/>
          <w:szCs w:val="20"/>
        </w:rPr>
        <w:t>556</w:t>
      </w:r>
      <w:r w:rsidR="00287F37" w:rsidRPr="005A0113">
        <w:rPr>
          <w:rFonts w:ascii="Century" w:eastAsia="ＭＳ 明朝" w:hAnsi="Century" w:cs="Times New Roman" w:hint="eastAsia"/>
          <w:color w:val="000000" w:themeColor="text1"/>
          <w:sz w:val="20"/>
          <w:szCs w:val="20"/>
        </w:rPr>
        <w:t>コロン</w:t>
      </w:r>
      <w:r w:rsidR="00287F37" w:rsidRPr="005A0113">
        <w:rPr>
          <w:rFonts w:ascii="Century" w:eastAsia="ＭＳ 明朝" w:hAnsi="Century" w:cs="Times New Roman" w:hint="eastAsia"/>
          <w:color w:val="000000" w:themeColor="text1"/>
          <w:sz w:val="20"/>
          <w:szCs w:val="20"/>
        </w:rPr>
        <w:t>)</w:t>
      </w:r>
      <w:r w:rsidR="00287F37" w:rsidRPr="005A0113">
        <w:rPr>
          <w:rFonts w:ascii="Century" w:eastAsia="ＭＳ 明朝" w:hAnsi="Century" w:cs="Times New Roman" w:hint="eastAsia"/>
          <w:color w:val="000000" w:themeColor="text1"/>
          <w:sz w:val="20"/>
          <w:szCs w:val="20"/>
        </w:rPr>
        <w:t>を迎えて以降、</w:t>
      </w:r>
      <w:r w:rsidR="00287F37" w:rsidRPr="005A0113">
        <w:rPr>
          <w:rFonts w:ascii="Century" w:eastAsia="ＭＳ 明朝" w:hAnsi="Century" w:cs="Times New Roman" w:hint="eastAsia"/>
          <w:color w:val="000000" w:themeColor="text1"/>
          <w:sz w:val="20"/>
          <w:szCs w:val="20"/>
        </w:rPr>
        <w:t>6</w:t>
      </w:r>
      <w:r w:rsidR="00287F37" w:rsidRPr="005A0113">
        <w:rPr>
          <w:rFonts w:ascii="Century" w:eastAsia="ＭＳ 明朝" w:hAnsi="Century" w:cs="Times New Roman" w:hint="eastAsia"/>
          <w:color w:val="000000" w:themeColor="text1"/>
          <w:sz w:val="20"/>
          <w:szCs w:val="20"/>
        </w:rPr>
        <w:t>月、</w:t>
      </w:r>
      <w:r w:rsidR="00287F37" w:rsidRPr="005A0113">
        <w:rPr>
          <w:rFonts w:ascii="Century" w:eastAsia="ＭＳ 明朝" w:hAnsi="Century" w:cs="Times New Roman" w:hint="eastAsia"/>
          <w:color w:val="000000" w:themeColor="text1"/>
          <w:sz w:val="20"/>
          <w:szCs w:val="20"/>
        </w:rPr>
        <w:t>7</w:t>
      </w:r>
      <w:r w:rsidR="00287F37" w:rsidRPr="005A0113">
        <w:rPr>
          <w:rFonts w:ascii="Century" w:eastAsia="ＭＳ 明朝" w:hAnsi="Century" w:cs="Times New Roman" w:hint="eastAsia"/>
          <w:color w:val="000000" w:themeColor="text1"/>
          <w:sz w:val="20"/>
          <w:szCs w:val="20"/>
        </w:rPr>
        <w:t>月と値は下がり、</w:t>
      </w:r>
      <w:r w:rsidR="00287F37" w:rsidRPr="005A0113">
        <w:rPr>
          <w:rFonts w:ascii="Century" w:eastAsia="ＭＳ 明朝" w:hAnsi="Century" w:cs="Times New Roman" w:hint="eastAsia"/>
          <w:color w:val="000000" w:themeColor="text1"/>
          <w:sz w:val="20"/>
          <w:szCs w:val="20"/>
        </w:rPr>
        <w:t>8</w:t>
      </w:r>
      <w:r w:rsidR="00287F37" w:rsidRPr="005A0113">
        <w:rPr>
          <w:rFonts w:ascii="Century" w:eastAsia="ＭＳ 明朝" w:hAnsi="Century" w:cs="Times New Roman" w:hint="eastAsia"/>
          <w:color w:val="000000" w:themeColor="text1"/>
          <w:sz w:val="20"/>
          <w:szCs w:val="20"/>
        </w:rPr>
        <w:t>月の月末値も</w:t>
      </w:r>
      <w:r w:rsidR="00493D43">
        <w:rPr>
          <w:rFonts w:ascii="Century" w:eastAsia="ＭＳ 明朝" w:hAnsi="Century" w:cs="Times New Roman" w:hint="eastAsia"/>
          <w:color w:val="000000" w:themeColor="text1"/>
          <w:sz w:val="20"/>
          <w:szCs w:val="20"/>
        </w:rPr>
        <w:t>引き続き</w:t>
      </w:r>
      <w:r w:rsidR="00287F37" w:rsidRPr="005A0113">
        <w:rPr>
          <w:rFonts w:ascii="Century" w:eastAsia="ＭＳ 明朝" w:hAnsi="Century" w:cs="Times New Roman" w:hint="eastAsia"/>
          <w:color w:val="000000" w:themeColor="text1"/>
          <w:sz w:val="20"/>
          <w:szCs w:val="20"/>
        </w:rPr>
        <w:t>540</w:t>
      </w:r>
      <w:r w:rsidR="00493D43">
        <w:rPr>
          <w:rFonts w:ascii="Century" w:eastAsia="ＭＳ 明朝" w:hAnsi="Century" w:cs="Times New Roman" w:hint="eastAsia"/>
          <w:color w:val="000000" w:themeColor="text1"/>
          <w:sz w:val="20"/>
          <w:szCs w:val="20"/>
        </w:rPr>
        <w:t>コロン台</w:t>
      </w:r>
      <w:r w:rsidR="00176AD7" w:rsidRPr="005A0113">
        <w:rPr>
          <w:rFonts w:ascii="Century" w:eastAsia="ＭＳ 明朝" w:hAnsi="Century" w:cs="Times New Roman" w:hint="eastAsia"/>
          <w:color w:val="000000" w:themeColor="text1"/>
          <w:sz w:val="20"/>
          <w:szCs w:val="20"/>
        </w:rPr>
        <w:t>前半</w:t>
      </w:r>
      <w:r w:rsidR="00493D43">
        <w:rPr>
          <w:rFonts w:ascii="Century" w:eastAsia="ＭＳ 明朝" w:hAnsi="Century" w:cs="Times New Roman" w:hint="eastAsia"/>
          <w:color w:val="000000" w:themeColor="text1"/>
          <w:sz w:val="20"/>
          <w:szCs w:val="20"/>
        </w:rPr>
        <w:t>の数値</w:t>
      </w:r>
      <w:r w:rsidR="00287F37" w:rsidRPr="005A0113">
        <w:rPr>
          <w:rFonts w:ascii="Century" w:eastAsia="ＭＳ 明朝" w:hAnsi="Century" w:cs="Times New Roman" w:hint="eastAsia"/>
          <w:color w:val="000000" w:themeColor="text1"/>
          <w:sz w:val="20"/>
          <w:szCs w:val="20"/>
        </w:rPr>
        <w:t>を維持している。</w:t>
      </w:r>
    </w:p>
    <w:p w:rsidR="00C96911" w:rsidRPr="005A0113" w:rsidRDefault="00652C5E" w:rsidP="00C96911">
      <w:pPr>
        <w:jc w:val="left"/>
        <w:rPr>
          <w:rFonts w:ascii="Century" w:eastAsia="ＭＳ 明朝" w:hAnsi="Century" w:cs="Times New Roman"/>
          <w:color w:val="000000" w:themeColor="text1"/>
          <w:sz w:val="20"/>
          <w:szCs w:val="20"/>
        </w:rPr>
      </w:pPr>
      <w:r w:rsidRPr="005A0113">
        <w:rPr>
          <w:rFonts w:ascii="Century" w:eastAsia="ＭＳ 明朝" w:hAnsi="Century" w:cs="Times New Roman" w:hint="eastAsia"/>
          <w:color w:val="000000" w:themeColor="text1"/>
          <w:sz w:val="20"/>
          <w:szCs w:val="20"/>
        </w:rPr>
        <w:t>●</w:t>
      </w:r>
      <w:r w:rsidR="00287F37" w:rsidRPr="005A0113">
        <w:rPr>
          <w:rFonts w:ascii="Century" w:eastAsia="ＭＳ 明朝" w:hAnsi="Century" w:cs="Times New Roman" w:hint="eastAsia"/>
          <w:color w:val="000000" w:themeColor="text1"/>
          <w:sz w:val="20"/>
          <w:szCs w:val="20"/>
        </w:rPr>
        <w:t>コスタリカ中央銀行は</w:t>
      </w:r>
      <w:r w:rsidRPr="005A0113">
        <w:rPr>
          <w:rFonts w:ascii="Century" w:eastAsia="ＭＳ 明朝" w:hAnsi="Century" w:cs="Times New Roman" w:hint="eastAsia"/>
          <w:color w:val="000000" w:themeColor="text1"/>
          <w:sz w:val="20"/>
          <w:szCs w:val="20"/>
        </w:rPr>
        <w:t>、</w:t>
      </w:r>
      <w:r w:rsidRPr="005A0113">
        <w:rPr>
          <w:rFonts w:ascii="Century" w:eastAsia="ＭＳ 明朝" w:hAnsi="Century" w:cs="Times New Roman" w:hint="eastAsia"/>
          <w:color w:val="000000" w:themeColor="text1"/>
          <w:sz w:val="20"/>
          <w:szCs w:val="20"/>
        </w:rPr>
        <w:t>7</w:t>
      </w:r>
      <w:r w:rsidRPr="005A0113">
        <w:rPr>
          <w:rFonts w:ascii="Century" w:eastAsia="ＭＳ 明朝" w:hAnsi="Century" w:cs="Times New Roman" w:hint="eastAsia"/>
          <w:color w:val="000000" w:themeColor="text1"/>
          <w:sz w:val="20"/>
          <w:szCs w:val="20"/>
        </w:rPr>
        <w:t>月</w:t>
      </w:r>
      <w:r w:rsidRPr="005A0113">
        <w:rPr>
          <w:rFonts w:ascii="Century" w:eastAsia="ＭＳ 明朝" w:hAnsi="Century" w:cs="Times New Roman" w:hint="eastAsia"/>
          <w:color w:val="000000" w:themeColor="text1"/>
          <w:sz w:val="20"/>
          <w:szCs w:val="20"/>
        </w:rPr>
        <w:t>31</w:t>
      </w:r>
      <w:r w:rsidRPr="005A0113">
        <w:rPr>
          <w:rFonts w:ascii="Century" w:eastAsia="ＭＳ 明朝" w:hAnsi="Century" w:cs="Times New Roman" w:hint="eastAsia"/>
          <w:color w:val="000000" w:themeColor="text1"/>
          <w:sz w:val="20"/>
          <w:szCs w:val="20"/>
        </w:rPr>
        <w:t>日</w:t>
      </w:r>
      <w:r w:rsidR="00287F37" w:rsidRPr="005A0113">
        <w:rPr>
          <w:rFonts w:ascii="Century" w:eastAsia="ＭＳ 明朝" w:hAnsi="Century" w:cs="Times New Roman" w:hint="eastAsia"/>
          <w:color w:val="000000" w:themeColor="text1"/>
          <w:sz w:val="20"/>
          <w:szCs w:val="20"/>
        </w:rPr>
        <w:t>に発表された「</w:t>
      </w:r>
      <w:r w:rsidRPr="005A0113">
        <w:rPr>
          <w:rFonts w:ascii="Century" w:eastAsia="ＭＳ 明朝" w:hAnsi="Century" w:cs="Times New Roman" w:hint="eastAsia"/>
          <w:color w:val="000000" w:themeColor="text1"/>
          <w:sz w:val="20"/>
          <w:szCs w:val="20"/>
        </w:rPr>
        <w:t>2014</w:t>
      </w:r>
      <w:r w:rsidRPr="005A0113">
        <w:rPr>
          <w:rFonts w:ascii="Century" w:eastAsia="ＭＳ 明朝" w:hAnsi="Century" w:cs="Times New Roman" w:hint="eastAsia"/>
          <w:color w:val="000000" w:themeColor="text1"/>
          <w:sz w:val="20"/>
          <w:szCs w:val="20"/>
        </w:rPr>
        <w:t>－</w:t>
      </w:r>
      <w:r w:rsidRPr="005A0113">
        <w:rPr>
          <w:rFonts w:ascii="Century" w:eastAsia="ＭＳ 明朝" w:hAnsi="Century" w:cs="Times New Roman" w:hint="eastAsia"/>
          <w:color w:val="000000" w:themeColor="text1"/>
          <w:sz w:val="20"/>
          <w:szCs w:val="20"/>
        </w:rPr>
        <w:t>2015</w:t>
      </w:r>
      <w:r w:rsidR="001011C7" w:rsidRPr="005A0113">
        <w:rPr>
          <w:rFonts w:ascii="Century" w:eastAsia="ＭＳ 明朝" w:hAnsi="Century" w:cs="Times New Roman" w:hint="eastAsia"/>
          <w:color w:val="000000" w:themeColor="text1"/>
          <w:sz w:val="20"/>
          <w:szCs w:val="20"/>
        </w:rPr>
        <w:t>年</w:t>
      </w:r>
      <w:r w:rsidRPr="005A0113">
        <w:rPr>
          <w:rFonts w:ascii="Century" w:eastAsia="ＭＳ 明朝" w:hAnsi="Century" w:cs="Times New Roman" w:hint="eastAsia"/>
          <w:color w:val="000000" w:themeColor="text1"/>
          <w:sz w:val="20"/>
          <w:szCs w:val="20"/>
        </w:rPr>
        <w:t>マクロ経済プログラムの修正報告書</w:t>
      </w:r>
      <w:r w:rsidR="00287F37" w:rsidRPr="005A0113">
        <w:rPr>
          <w:rFonts w:ascii="Century" w:eastAsia="ＭＳ 明朝" w:hAnsi="Century" w:cs="Times New Roman" w:hint="eastAsia"/>
          <w:color w:val="000000" w:themeColor="text1"/>
          <w:sz w:val="20"/>
          <w:szCs w:val="20"/>
        </w:rPr>
        <w:t>」</w:t>
      </w:r>
      <w:r w:rsidRPr="005A0113">
        <w:rPr>
          <w:rFonts w:ascii="Century" w:eastAsia="ＭＳ 明朝" w:hAnsi="Century" w:cs="Times New Roman" w:hint="eastAsia"/>
          <w:color w:val="000000" w:themeColor="text1"/>
          <w:sz w:val="20"/>
          <w:szCs w:val="20"/>
        </w:rPr>
        <w:t>において、</w:t>
      </w:r>
      <w:r w:rsidR="00287F37" w:rsidRPr="005A0113">
        <w:rPr>
          <w:rFonts w:ascii="Century" w:eastAsia="ＭＳ 明朝" w:hAnsi="Century" w:cs="Times New Roman" w:hint="eastAsia"/>
          <w:color w:val="000000" w:themeColor="text1"/>
          <w:sz w:val="20"/>
          <w:szCs w:val="20"/>
        </w:rPr>
        <w:t>当面は現在の</w:t>
      </w:r>
      <w:r w:rsidRPr="005A0113">
        <w:rPr>
          <w:rFonts w:ascii="Century" w:eastAsia="ＭＳ 明朝" w:hAnsi="Century" w:cs="Times New Roman" w:hint="eastAsia"/>
          <w:color w:val="000000" w:themeColor="text1"/>
          <w:sz w:val="20"/>
          <w:szCs w:val="20"/>
        </w:rPr>
        <w:t>為替制度</w:t>
      </w:r>
      <w:r w:rsidR="005A33C5" w:rsidRPr="005A0113">
        <w:rPr>
          <w:rFonts w:ascii="Century" w:eastAsia="ＭＳ 明朝" w:hAnsi="Century" w:cs="Times New Roman" w:hint="eastAsia"/>
          <w:color w:val="000000" w:themeColor="text1"/>
          <w:sz w:val="20"/>
          <w:szCs w:val="20"/>
        </w:rPr>
        <w:t>(</w:t>
      </w:r>
      <w:r w:rsidR="005A33C5" w:rsidRPr="005A0113">
        <w:rPr>
          <w:rFonts w:ascii="Century" w:eastAsia="ＭＳ 明朝" w:hAnsi="Century" w:cs="Times New Roman" w:hint="eastAsia"/>
          <w:color w:val="000000" w:themeColor="text1"/>
          <w:sz w:val="20"/>
          <w:szCs w:val="20"/>
        </w:rPr>
        <w:t>クローリング・バンド制</w:t>
      </w:r>
      <w:r w:rsidR="005A33C5" w:rsidRPr="005A0113">
        <w:rPr>
          <w:rFonts w:ascii="Century" w:eastAsia="ＭＳ 明朝" w:hAnsi="Century" w:cs="Times New Roman" w:hint="eastAsia"/>
          <w:color w:val="000000" w:themeColor="text1"/>
          <w:sz w:val="20"/>
          <w:szCs w:val="20"/>
        </w:rPr>
        <w:t>)</w:t>
      </w:r>
      <w:r w:rsidR="00287F37" w:rsidRPr="005A0113">
        <w:rPr>
          <w:rFonts w:ascii="Century" w:eastAsia="ＭＳ 明朝" w:hAnsi="Century" w:cs="Times New Roman" w:hint="eastAsia"/>
          <w:color w:val="000000" w:themeColor="text1"/>
          <w:sz w:val="20"/>
          <w:szCs w:val="20"/>
        </w:rPr>
        <w:t>およびその上下限</w:t>
      </w:r>
      <w:r w:rsidR="00191C2D" w:rsidRPr="005A0113">
        <w:rPr>
          <w:rFonts w:ascii="Century" w:eastAsia="ＭＳ 明朝" w:hAnsi="Century" w:cs="Times New Roman" w:hint="eastAsia"/>
          <w:color w:val="000000" w:themeColor="text1"/>
          <w:sz w:val="20"/>
          <w:szCs w:val="20"/>
        </w:rPr>
        <w:t>値</w:t>
      </w:r>
      <w:r w:rsidRPr="005A0113">
        <w:rPr>
          <w:rFonts w:ascii="Century" w:eastAsia="ＭＳ 明朝" w:hAnsi="Century" w:cs="Times New Roman" w:hint="eastAsia"/>
          <w:color w:val="000000" w:themeColor="text1"/>
          <w:sz w:val="20"/>
          <w:szCs w:val="20"/>
        </w:rPr>
        <w:t>について</w:t>
      </w:r>
      <w:r w:rsidR="00AD3C35">
        <w:rPr>
          <w:rFonts w:ascii="Century" w:eastAsia="ＭＳ 明朝" w:hAnsi="Century" w:cs="Times New Roman" w:hint="eastAsia"/>
          <w:color w:val="000000" w:themeColor="text1"/>
          <w:sz w:val="20"/>
          <w:szCs w:val="20"/>
        </w:rPr>
        <w:t>の</w:t>
      </w:r>
      <w:r w:rsidR="00191C2D" w:rsidRPr="005A0113">
        <w:rPr>
          <w:rFonts w:ascii="Century" w:eastAsia="ＭＳ 明朝" w:hAnsi="Century" w:cs="Times New Roman" w:hint="eastAsia"/>
          <w:color w:val="000000" w:themeColor="text1"/>
          <w:sz w:val="20"/>
          <w:szCs w:val="20"/>
        </w:rPr>
        <w:t>変更はないとした。しかし、オリビエル・カストロ中銀総裁は</w:t>
      </w:r>
      <w:r w:rsidR="001011C7" w:rsidRPr="005A0113">
        <w:rPr>
          <w:rFonts w:ascii="Century" w:eastAsia="ＭＳ 明朝" w:hAnsi="Century" w:cs="Times New Roman" w:hint="eastAsia"/>
          <w:color w:val="000000" w:themeColor="text1"/>
          <w:sz w:val="20"/>
          <w:szCs w:val="20"/>
        </w:rPr>
        <w:t>、</w:t>
      </w:r>
      <w:r w:rsidR="00191C2D" w:rsidRPr="005A0113">
        <w:rPr>
          <w:rFonts w:ascii="Century" w:eastAsia="ＭＳ 明朝" w:hAnsi="Century" w:cs="Times New Roman" w:hint="eastAsia"/>
          <w:color w:val="000000" w:themeColor="text1"/>
          <w:sz w:val="20"/>
          <w:szCs w:val="20"/>
        </w:rPr>
        <w:t>中銀による為替介入の頻度が下がってきていることや、クローリング・バンド制の上下限の幅が大きく</w:t>
      </w:r>
      <w:r w:rsidR="007E48B7" w:rsidRPr="005A0113">
        <w:rPr>
          <w:rFonts w:ascii="Century" w:eastAsia="ＭＳ 明朝" w:hAnsi="Century" w:cs="Times New Roman" w:hint="eastAsia"/>
          <w:color w:val="000000" w:themeColor="text1"/>
          <w:sz w:val="20"/>
          <w:szCs w:val="20"/>
        </w:rPr>
        <w:t>設定されている</w:t>
      </w:r>
      <w:r w:rsidR="00191C2D" w:rsidRPr="005A0113">
        <w:rPr>
          <w:rFonts w:ascii="Century" w:eastAsia="ＭＳ 明朝" w:hAnsi="Century" w:cs="Times New Roman" w:hint="eastAsia"/>
          <w:color w:val="000000" w:themeColor="text1"/>
          <w:sz w:val="20"/>
          <w:szCs w:val="20"/>
        </w:rPr>
        <w:t>ことから</w:t>
      </w:r>
      <w:r w:rsidR="00C04B10">
        <w:rPr>
          <w:rFonts w:ascii="Century" w:eastAsia="ＭＳ 明朝" w:hAnsi="Century" w:cs="Times New Roman" w:hint="eastAsia"/>
          <w:color w:val="000000" w:themeColor="text1"/>
          <w:sz w:val="20"/>
          <w:szCs w:val="20"/>
        </w:rPr>
        <w:t>、</w:t>
      </w:r>
      <w:r w:rsidR="00191C2D" w:rsidRPr="005A0113">
        <w:rPr>
          <w:rFonts w:ascii="Century" w:eastAsia="ＭＳ 明朝" w:hAnsi="Century" w:cs="Times New Roman" w:hint="eastAsia"/>
          <w:color w:val="000000" w:themeColor="text1"/>
          <w:sz w:val="20"/>
          <w:szCs w:val="20"/>
        </w:rPr>
        <w:t>現状を事実上の自由変動制と見なしており、近い将来</w:t>
      </w:r>
      <w:r w:rsidR="00493D43">
        <w:rPr>
          <w:rFonts w:ascii="Century" w:eastAsia="ＭＳ 明朝" w:hAnsi="Century" w:cs="Times New Roman" w:hint="eastAsia"/>
          <w:color w:val="000000" w:themeColor="text1"/>
          <w:sz w:val="20"/>
          <w:szCs w:val="20"/>
        </w:rPr>
        <w:t>に</w:t>
      </w:r>
      <w:r w:rsidR="00191C2D" w:rsidRPr="005A0113">
        <w:rPr>
          <w:rFonts w:ascii="Century" w:eastAsia="ＭＳ 明朝" w:hAnsi="Century" w:cs="Times New Roman" w:hint="eastAsia"/>
          <w:color w:val="000000" w:themeColor="text1"/>
          <w:sz w:val="20"/>
          <w:szCs w:val="20"/>
        </w:rPr>
        <w:t>同制度への完全移行を示唆している。</w:t>
      </w:r>
    </w:p>
    <w:p w:rsidR="00131F89" w:rsidRDefault="00131F89" w:rsidP="00CB2529">
      <w:pPr>
        <w:jc w:val="center"/>
      </w:pPr>
    </w:p>
    <w:p w:rsidR="003C4337" w:rsidRDefault="004E79D2" w:rsidP="00D17CF2">
      <w:pPr>
        <w:jc w:val="center"/>
      </w:pPr>
      <w:r>
        <w:rPr>
          <w:noProof/>
        </w:rPr>
        <w:drawing>
          <wp:inline distT="0" distB="0" distL="0" distR="0">
            <wp:extent cx="4248150" cy="2409825"/>
            <wp:effectExtent l="19050" t="0" r="19050" b="0"/>
            <wp:docPr id="6" name="グラフ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8B14D0" w:rsidRPr="005A0113" w:rsidRDefault="008B14D0" w:rsidP="008B14D0">
      <w:pPr>
        <w:rPr>
          <w:rFonts w:ascii="Century" w:eastAsia="ＭＳ 明朝" w:hAnsi="Century" w:cs="Times New Roman"/>
          <w:sz w:val="20"/>
          <w:szCs w:val="20"/>
        </w:rPr>
      </w:pPr>
      <w:r w:rsidRPr="005A0113">
        <w:rPr>
          <w:rFonts w:ascii="Century" w:eastAsia="ＭＳ 明朝" w:hAnsi="Century" w:cs="Times New Roman"/>
          <w:sz w:val="20"/>
          <w:szCs w:val="20"/>
        </w:rPr>
        <w:lastRenderedPageBreak/>
        <w:t>(2)</w:t>
      </w:r>
      <w:r w:rsidRPr="005A0113">
        <w:rPr>
          <w:rFonts w:ascii="Century" w:eastAsia="ＭＳ 明朝" w:hAnsi="Century" w:cs="Times New Roman" w:hint="eastAsia"/>
          <w:sz w:val="20"/>
          <w:szCs w:val="20"/>
        </w:rPr>
        <w:t>金利</w:t>
      </w:r>
    </w:p>
    <w:p w:rsidR="008B14D0" w:rsidRPr="005A0113" w:rsidRDefault="008B14D0" w:rsidP="008B14D0">
      <w:pPr>
        <w:rPr>
          <w:rFonts w:ascii="Century" w:eastAsia="ＭＳ 明朝" w:hAnsi="Century" w:cs="Times New Roman"/>
          <w:color w:val="000000" w:themeColor="text1"/>
          <w:sz w:val="20"/>
          <w:szCs w:val="20"/>
        </w:rPr>
      </w:pPr>
      <w:r w:rsidRPr="005A0113">
        <w:rPr>
          <w:rFonts w:ascii="Century" w:eastAsia="ＭＳ 明朝" w:hAnsi="Century" w:cs="Times New Roman" w:hint="eastAsia"/>
          <w:color w:val="000000" w:themeColor="text1"/>
          <w:sz w:val="20"/>
          <w:szCs w:val="20"/>
        </w:rPr>
        <w:t>●</w:t>
      </w:r>
      <w:r w:rsidR="00AE2664" w:rsidRPr="005A0113">
        <w:rPr>
          <w:rFonts w:ascii="Century" w:eastAsia="ＭＳ 明朝" w:hAnsi="Century" w:cs="Times New Roman" w:hint="eastAsia"/>
          <w:color w:val="000000" w:themeColor="text1"/>
          <w:sz w:val="20"/>
          <w:szCs w:val="20"/>
        </w:rPr>
        <w:t>7</w:t>
      </w:r>
      <w:r w:rsidRPr="005A0113">
        <w:rPr>
          <w:rFonts w:ascii="Century" w:eastAsia="ＭＳ 明朝" w:hAnsi="Century" w:cs="Times New Roman" w:hint="eastAsia"/>
          <w:color w:val="000000" w:themeColor="text1"/>
          <w:sz w:val="20"/>
          <w:szCs w:val="20"/>
        </w:rPr>
        <w:t>月・</w:t>
      </w:r>
      <w:r w:rsidR="00AE2664" w:rsidRPr="005A0113">
        <w:rPr>
          <w:rFonts w:ascii="Century" w:eastAsia="ＭＳ 明朝" w:hAnsi="Century" w:cs="Times New Roman" w:hint="eastAsia"/>
          <w:color w:val="000000" w:themeColor="text1"/>
          <w:sz w:val="20"/>
          <w:szCs w:val="20"/>
        </w:rPr>
        <w:t>8</w:t>
      </w:r>
      <w:r w:rsidRPr="005A0113">
        <w:rPr>
          <w:rFonts w:ascii="Century" w:eastAsia="ＭＳ 明朝" w:hAnsi="Century" w:cs="Times New Roman" w:hint="eastAsia"/>
          <w:color w:val="000000" w:themeColor="text1"/>
          <w:sz w:val="20"/>
          <w:szCs w:val="20"/>
        </w:rPr>
        <w:t>月の</w:t>
      </w:r>
      <w:r w:rsidR="00C52191" w:rsidRPr="005A0113">
        <w:rPr>
          <w:rFonts w:ascii="Century" w:eastAsia="ＭＳ 明朝" w:hAnsi="Century" w:cs="Times New Roman" w:hint="eastAsia"/>
          <w:color w:val="000000" w:themeColor="text1"/>
          <w:sz w:val="20"/>
          <w:szCs w:val="20"/>
        </w:rPr>
        <w:t>月末時点での</w:t>
      </w:r>
      <w:r w:rsidRPr="005A0113">
        <w:rPr>
          <w:rFonts w:ascii="Century" w:eastAsia="ＭＳ 明朝" w:hAnsi="Century" w:cs="Times New Roman" w:hint="eastAsia"/>
          <w:color w:val="000000" w:themeColor="text1"/>
          <w:sz w:val="20"/>
          <w:szCs w:val="20"/>
        </w:rPr>
        <w:t>基本</w:t>
      </w:r>
      <w:r w:rsidR="00452004" w:rsidRPr="005A0113">
        <w:rPr>
          <w:rFonts w:ascii="Century" w:eastAsia="ＭＳ 明朝" w:hAnsi="Century" w:cs="Times New Roman" w:hint="eastAsia"/>
          <w:color w:val="000000" w:themeColor="text1"/>
          <w:sz w:val="20"/>
          <w:szCs w:val="20"/>
        </w:rPr>
        <w:t>預金</w:t>
      </w:r>
      <w:r w:rsidRPr="005A0113">
        <w:rPr>
          <w:rFonts w:ascii="Century" w:eastAsia="ＭＳ 明朝" w:hAnsi="Century" w:cs="Times New Roman" w:hint="eastAsia"/>
          <w:color w:val="000000" w:themeColor="text1"/>
          <w:sz w:val="20"/>
          <w:szCs w:val="20"/>
        </w:rPr>
        <w:t>金利</w:t>
      </w:r>
      <w:r w:rsidRPr="005A0113">
        <w:rPr>
          <w:rFonts w:ascii="Century" w:eastAsia="ＭＳ 明朝" w:hAnsi="Century" w:cs="Times New Roman"/>
          <w:color w:val="000000" w:themeColor="text1"/>
          <w:sz w:val="20"/>
          <w:szCs w:val="20"/>
        </w:rPr>
        <w:t>(</w:t>
      </w:r>
      <w:r w:rsidRPr="005A0113">
        <w:rPr>
          <w:rFonts w:ascii="Century" w:eastAsia="ＭＳ 明朝" w:hAnsi="Century" w:cs="Times New Roman" w:hint="eastAsia"/>
          <w:color w:val="000000" w:themeColor="text1"/>
          <w:sz w:val="20"/>
          <w:szCs w:val="20"/>
        </w:rPr>
        <w:t>表</w:t>
      </w:r>
      <w:r w:rsidR="004E62C3">
        <w:rPr>
          <w:rFonts w:ascii="Century" w:eastAsia="ＭＳ 明朝" w:hAnsi="Century" w:cs="Times New Roman" w:hint="eastAsia"/>
          <w:color w:val="000000" w:themeColor="text1"/>
          <w:sz w:val="20"/>
          <w:szCs w:val="20"/>
        </w:rPr>
        <w:t>11</w:t>
      </w:r>
      <w:r w:rsidRPr="005A0113">
        <w:rPr>
          <w:rFonts w:ascii="Century" w:eastAsia="ＭＳ 明朝" w:hAnsi="Century" w:cs="Times New Roman"/>
          <w:color w:val="000000" w:themeColor="text1"/>
          <w:sz w:val="20"/>
          <w:szCs w:val="20"/>
        </w:rPr>
        <w:t>)</w:t>
      </w:r>
      <w:r w:rsidRPr="005A0113">
        <w:rPr>
          <w:rFonts w:ascii="Century" w:eastAsia="ＭＳ 明朝" w:hAnsi="Century" w:cs="Times New Roman" w:hint="eastAsia"/>
          <w:color w:val="000000" w:themeColor="text1"/>
          <w:sz w:val="20"/>
          <w:szCs w:val="20"/>
        </w:rPr>
        <w:t>は、それぞれ</w:t>
      </w:r>
      <w:r w:rsidR="00AE2664" w:rsidRPr="005A0113">
        <w:rPr>
          <w:rFonts w:ascii="Century" w:eastAsia="ＭＳ 明朝" w:hAnsi="Century" w:cs="Times New Roman" w:hint="eastAsia"/>
          <w:color w:val="000000" w:themeColor="text1"/>
          <w:sz w:val="20"/>
          <w:szCs w:val="20"/>
        </w:rPr>
        <w:t>7.00</w:t>
      </w:r>
      <w:r w:rsidR="00AE2664" w:rsidRPr="005A0113">
        <w:rPr>
          <w:rFonts w:ascii="Century" w:eastAsia="ＭＳ 明朝" w:hAnsi="Century" w:cs="Times New Roman" w:hint="eastAsia"/>
          <w:color w:val="000000" w:themeColor="text1"/>
          <w:sz w:val="20"/>
          <w:szCs w:val="20"/>
        </w:rPr>
        <w:t>％</w:t>
      </w:r>
      <w:r w:rsidR="009B3777" w:rsidRPr="005A0113">
        <w:rPr>
          <w:rFonts w:ascii="Century" w:eastAsia="ＭＳ 明朝" w:hAnsi="Century" w:cs="Times New Roman" w:hint="eastAsia"/>
          <w:color w:val="000000" w:themeColor="text1"/>
          <w:sz w:val="20"/>
          <w:szCs w:val="20"/>
        </w:rPr>
        <w:t>、</w:t>
      </w:r>
      <w:r w:rsidR="009B3777" w:rsidRPr="005A0113">
        <w:rPr>
          <w:rFonts w:ascii="Century" w:eastAsia="ＭＳ 明朝" w:hAnsi="Century" w:cs="Times New Roman" w:hint="eastAsia"/>
          <w:color w:val="000000" w:themeColor="text1"/>
          <w:sz w:val="20"/>
          <w:szCs w:val="20"/>
        </w:rPr>
        <w:t>7.10</w:t>
      </w:r>
      <w:r w:rsidR="009B3777" w:rsidRPr="005A0113">
        <w:rPr>
          <w:rFonts w:ascii="Century" w:eastAsia="ＭＳ 明朝" w:hAnsi="Century" w:cs="Times New Roman" w:hint="eastAsia"/>
          <w:color w:val="000000" w:themeColor="text1"/>
          <w:sz w:val="20"/>
          <w:szCs w:val="20"/>
        </w:rPr>
        <w:t>％</w:t>
      </w:r>
      <w:r w:rsidRPr="005A0113">
        <w:rPr>
          <w:rFonts w:ascii="Century" w:eastAsia="ＭＳ 明朝" w:hAnsi="Century" w:cs="Times New Roman" w:hint="eastAsia"/>
          <w:color w:val="000000" w:themeColor="text1"/>
          <w:sz w:val="20"/>
          <w:szCs w:val="20"/>
        </w:rPr>
        <w:t>となった。</w:t>
      </w:r>
    </w:p>
    <w:p w:rsidR="0048436F" w:rsidRPr="005A0113" w:rsidRDefault="0048436F" w:rsidP="0048436F">
      <w:pPr>
        <w:jc w:val="left"/>
        <w:rPr>
          <w:rFonts w:ascii="Century" w:eastAsia="ＭＳ 明朝" w:hAnsi="Century" w:cs="Times New Roman"/>
          <w:sz w:val="20"/>
          <w:szCs w:val="20"/>
        </w:rPr>
      </w:pPr>
      <w:r w:rsidRPr="005A0113">
        <w:rPr>
          <w:rFonts w:ascii="Century" w:eastAsia="ＭＳ 明朝" w:hAnsi="Century" w:cs="Times New Roman" w:hint="eastAsia"/>
          <w:sz w:val="20"/>
          <w:szCs w:val="20"/>
        </w:rPr>
        <w:t>●</w:t>
      </w:r>
      <w:r w:rsidRPr="005A0113">
        <w:rPr>
          <w:rFonts w:ascii="Century" w:eastAsia="ＭＳ 明朝" w:hAnsi="Century" w:cs="Times New Roman" w:hint="eastAsia"/>
          <w:sz w:val="20"/>
          <w:szCs w:val="20"/>
        </w:rPr>
        <w:t>2</w:t>
      </w:r>
      <w:r w:rsidRPr="005A0113">
        <w:rPr>
          <w:rFonts w:ascii="Century" w:eastAsia="ＭＳ 明朝" w:hAnsi="Century" w:cs="Times New Roman" w:hint="eastAsia"/>
          <w:sz w:val="20"/>
          <w:szCs w:val="20"/>
        </w:rPr>
        <w:t>月以降の段階的な基本</w:t>
      </w:r>
      <w:r w:rsidR="00664BE1">
        <w:rPr>
          <w:rFonts w:ascii="Century" w:eastAsia="ＭＳ 明朝" w:hAnsi="Century" w:cs="Times New Roman" w:hint="eastAsia"/>
          <w:sz w:val="20"/>
          <w:szCs w:val="20"/>
        </w:rPr>
        <w:t>預金金利上昇は、ドル高に伴うインフレ率上昇の中、実質預金金利の低下</w:t>
      </w:r>
      <w:r w:rsidR="00E0345D">
        <w:rPr>
          <w:rFonts w:ascii="Century" w:eastAsia="ＭＳ 明朝" w:hAnsi="Century" w:cs="Times New Roman" w:hint="eastAsia"/>
          <w:sz w:val="20"/>
          <w:szCs w:val="20"/>
        </w:rPr>
        <w:t>にともなう預金額の減少</w:t>
      </w:r>
      <w:r w:rsidRPr="005A0113">
        <w:rPr>
          <w:rFonts w:ascii="Century" w:eastAsia="ＭＳ 明朝" w:hAnsi="Century" w:cs="Times New Roman" w:hint="eastAsia"/>
          <w:sz w:val="20"/>
          <w:szCs w:val="20"/>
        </w:rPr>
        <w:t>を回避するための措置である。本年</w:t>
      </w:r>
      <w:r w:rsidRPr="005A0113">
        <w:rPr>
          <w:rFonts w:ascii="Century" w:eastAsia="ＭＳ 明朝" w:hAnsi="Century" w:cs="Times New Roman" w:hint="eastAsia"/>
          <w:sz w:val="20"/>
          <w:szCs w:val="20"/>
        </w:rPr>
        <w:t>7</w:t>
      </w:r>
      <w:r w:rsidRPr="005A0113">
        <w:rPr>
          <w:rFonts w:ascii="Century" w:eastAsia="ＭＳ 明朝" w:hAnsi="Century" w:cs="Times New Roman" w:hint="eastAsia"/>
          <w:sz w:val="20"/>
          <w:szCs w:val="20"/>
        </w:rPr>
        <w:t>月には</w:t>
      </w:r>
      <w:r w:rsidRPr="005A0113">
        <w:rPr>
          <w:rFonts w:ascii="Century" w:eastAsia="ＭＳ 明朝" w:hAnsi="Century" w:cs="Times New Roman" w:hint="eastAsia"/>
          <w:sz w:val="20"/>
          <w:szCs w:val="20"/>
        </w:rPr>
        <w:t>2013</w:t>
      </w:r>
      <w:r w:rsidRPr="005A0113">
        <w:rPr>
          <w:rFonts w:ascii="Century" w:eastAsia="ＭＳ 明朝" w:hAnsi="Century" w:cs="Times New Roman" w:hint="eastAsia"/>
          <w:sz w:val="20"/>
          <w:szCs w:val="20"/>
        </w:rPr>
        <w:t>年</w:t>
      </w:r>
      <w:r w:rsidRPr="005A0113">
        <w:rPr>
          <w:rFonts w:ascii="Century" w:eastAsia="ＭＳ 明朝" w:hAnsi="Century" w:cs="Times New Roman" w:hint="eastAsia"/>
          <w:sz w:val="20"/>
          <w:szCs w:val="20"/>
        </w:rPr>
        <w:t>3</w:t>
      </w:r>
      <w:r w:rsidRPr="005A0113">
        <w:rPr>
          <w:rFonts w:ascii="Century" w:eastAsia="ＭＳ 明朝" w:hAnsi="Century" w:cs="Times New Roman" w:hint="eastAsia"/>
          <w:sz w:val="20"/>
          <w:szCs w:val="20"/>
        </w:rPr>
        <w:t>月以来の</w:t>
      </w:r>
      <w:r w:rsidRPr="005A0113">
        <w:rPr>
          <w:rFonts w:ascii="Century" w:eastAsia="ＭＳ 明朝" w:hAnsi="Century" w:cs="Times New Roman" w:hint="eastAsia"/>
          <w:sz w:val="20"/>
          <w:szCs w:val="20"/>
        </w:rPr>
        <w:t>7</w:t>
      </w:r>
      <w:r w:rsidRPr="005A0113">
        <w:rPr>
          <w:rFonts w:ascii="Century" w:eastAsia="ＭＳ 明朝" w:hAnsi="Century" w:cs="Times New Roman" w:hint="eastAsia"/>
          <w:sz w:val="20"/>
          <w:szCs w:val="20"/>
        </w:rPr>
        <w:t>％台を記録した。当面インフレ率が</w:t>
      </w:r>
      <w:r w:rsidRPr="005A0113">
        <w:rPr>
          <w:rFonts w:ascii="Century" w:eastAsia="ＭＳ 明朝" w:hAnsi="Century" w:cs="Times New Roman" w:hint="eastAsia"/>
          <w:sz w:val="20"/>
          <w:szCs w:val="20"/>
        </w:rPr>
        <w:t>5</w:t>
      </w:r>
      <w:r w:rsidRPr="005A0113">
        <w:rPr>
          <w:rFonts w:ascii="Century" w:eastAsia="ＭＳ 明朝" w:hAnsi="Century" w:cs="Times New Roman" w:hint="eastAsia"/>
          <w:sz w:val="20"/>
          <w:szCs w:val="20"/>
        </w:rPr>
        <w:t>％を超えることが予測されているため、引き続き基本預金金利の上昇の可能性が</w:t>
      </w:r>
      <w:r w:rsidR="0022269F">
        <w:rPr>
          <w:rFonts w:ascii="Century" w:eastAsia="ＭＳ 明朝" w:hAnsi="Century" w:cs="Times New Roman" w:hint="eastAsia"/>
          <w:sz w:val="20"/>
          <w:szCs w:val="20"/>
        </w:rPr>
        <w:t>あ</w:t>
      </w:r>
      <w:r w:rsidRPr="005A0113">
        <w:rPr>
          <w:rFonts w:ascii="Century" w:eastAsia="ＭＳ 明朝" w:hAnsi="Century" w:cs="Times New Roman" w:hint="eastAsia"/>
          <w:sz w:val="20"/>
          <w:szCs w:val="20"/>
        </w:rPr>
        <w:t>る。</w:t>
      </w:r>
    </w:p>
    <w:p w:rsidR="008B14D0" w:rsidRPr="001643AA" w:rsidRDefault="008B14D0" w:rsidP="008B14D0">
      <w:pPr>
        <w:jc w:val="left"/>
        <w:rPr>
          <w:rFonts w:ascii="Century" w:eastAsia="ＭＳ 明朝" w:hAnsi="Century" w:cs="Times New Roman"/>
          <w:sz w:val="20"/>
          <w:szCs w:val="20"/>
        </w:rPr>
      </w:pPr>
      <w:r w:rsidRPr="001643AA">
        <w:rPr>
          <w:rFonts w:ascii="Century" w:eastAsia="ＭＳ 明朝" w:hAnsi="Century" w:cs="Times New Roman" w:hint="eastAsia"/>
          <w:sz w:val="20"/>
          <w:szCs w:val="20"/>
        </w:rPr>
        <w:t>●</w:t>
      </w:r>
      <w:r w:rsidR="000C0398" w:rsidRPr="001643AA">
        <w:rPr>
          <w:rFonts w:ascii="Century" w:eastAsia="ＭＳ 明朝" w:hAnsi="Century" w:cs="Times New Roman" w:hint="eastAsia"/>
          <w:sz w:val="20"/>
          <w:szCs w:val="20"/>
        </w:rPr>
        <w:t>国立銀行の</w:t>
      </w:r>
      <w:r w:rsidRPr="001643AA">
        <w:rPr>
          <w:rFonts w:ascii="Century" w:eastAsia="ＭＳ 明朝" w:hAnsi="Century" w:cs="Times New Roman" w:hint="eastAsia"/>
          <w:sz w:val="20"/>
          <w:szCs w:val="20"/>
        </w:rPr>
        <w:t>ドル建て貸付金利は、</w:t>
      </w:r>
      <w:r w:rsidR="000C0398" w:rsidRPr="001643AA">
        <w:rPr>
          <w:rFonts w:ascii="Century" w:eastAsia="ＭＳ 明朝" w:hAnsi="Century" w:cs="Times New Roman" w:hint="eastAsia"/>
          <w:sz w:val="20"/>
          <w:szCs w:val="20"/>
        </w:rPr>
        <w:t>昨年</w:t>
      </w:r>
      <w:r w:rsidR="000C0398" w:rsidRPr="001643AA">
        <w:rPr>
          <w:rFonts w:ascii="Century" w:eastAsia="ＭＳ 明朝" w:hAnsi="Century" w:cs="Times New Roman" w:hint="eastAsia"/>
          <w:sz w:val="20"/>
          <w:szCs w:val="20"/>
        </w:rPr>
        <w:t>8</w:t>
      </w:r>
      <w:r w:rsidR="000C0398" w:rsidRPr="001643AA">
        <w:rPr>
          <w:rFonts w:ascii="Century" w:eastAsia="ＭＳ 明朝" w:hAnsi="Century" w:cs="Times New Roman" w:hint="eastAsia"/>
          <w:sz w:val="20"/>
          <w:szCs w:val="20"/>
        </w:rPr>
        <w:t>月以降の上昇傾向が</w:t>
      </w:r>
      <w:r w:rsidR="000C0398" w:rsidRPr="001643AA">
        <w:rPr>
          <w:rFonts w:ascii="Century" w:eastAsia="ＭＳ 明朝" w:hAnsi="Century" w:cs="Times New Roman" w:hint="eastAsia"/>
          <w:sz w:val="20"/>
          <w:szCs w:val="20"/>
        </w:rPr>
        <w:t>7</w:t>
      </w:r>
      <w:r w:rsidR="000C0398" w:rsidRPr="001643AA">
        <w:rPr>
          <w:rFonts w:ascii="Century" w:eastAsia="ＭＳ 明朝" w:hAnsi="Century" w:cs="Times New Roman" w:hint="eastAsia"/>
          <w:sz w:val="20"/>
          <w:szCs w:val="20"/>
        </w:rPr>
        <w:t>月末時点</w:t>
      </w:r>
      <w:r w:rsidR="000C0398" w:rsidRPr="001643AA">
        <w:rPr>
          <w:rFonts w:ascii="Century" w:eastAsia="ＭＳ 明朝" w:hAnsi="Century" w:cs="Times New Roman" w:hint="eastAsia"/>
          <w:sz w:val="20"/>
          <w:szCs w:val="20"/>
        </w:rPr>
        <w:t>(11.26</w:t>
      </w:r>
      <w:r w:rsidR="000C0398" w:rsidRPr="001643AA">
        <w:rPr>
          <w:rFonts w:ascii="Century" w:eastAsia="ＭＳ 明朝" w:hAnsi="Century" w:cs="Times New Roman" w:hint="eastAsia"/>
          <w:sz w:val="20"/>
          <w:szCs w:val="20"/>
        </w:rPr>
        <w:t>％</w:t>
      </w:r>
      <w:r w:rsidR="000C0398" w:rsidRPr="001643AA">
        <w:rPr>
          <w:rFonts w:ascii="Century" w:eastAsia="ＭＳ 明朝" w:hAnsi="Century" w:cs="Times New Roman" w:hint="eastAsia"/>
          <w:sz w:val="20"/>
          <w:szCs w:val="20"/>
        </w:rPr>
        <w:t>)</w:t>
      </w:r>
      <w:r w:rsidR="000C0398" w:rsidRPr="001643AA">
        <w:rPr>
          <w:rFonts w:ascii="Century" w:eastAsia="ＭＳ 明朝" w:hAnsi="Century" w:cs="Times New Roman" w:hint="eastAsia"/>
          <w:sz w:val="20"/>
          <w:szCs w:val="20"/>
        </w:rPr>
        <w:t>でピークを迎え、</w:t>
      </w:r>
      <w:r w:rsidR="000C0398" w:rsidRPr="001643AA">
        <w:rPr>
          <w:rFonts w:ascii="Century" w:eastAsia="ＭＳ 明朝" w:hAnsi="Century" w:cs="Times New Roman" w:hint="eastAsia"/>
          <w:sz w:val="20"/>
          <w:szCs w:val="20"/>
        </w:rPr>
        <w:t>8</w:t>
      </w:r>
      <w:r w:rsidR="000C0398" w:rsidRPr="001643AA">
        <w:rPr>
          <w:rFonts w:ascii="Century" w:eastAsia="ＭＳ 明朝" w:hAnsi="Century" w:cs="Times New Roman" w:hint="eastAsia"/>
          <w:sz w:val="20"/>
          <w:szCs w:val="20"/>
        </w:rPr>
        <w:t>月末には前月から</w:t>
      </w:r>
      <w:r w:rsidR="000C0398" w:rsidRPr="001643AA">
        <w:rPr>
          <w:rFonts w:ascii="Century" w:eastAsia="ＭＳ 明朝" w:hAnsi="Century" w:cs="Times New Roman" w:hint="eastAsia"/>
          <w:sz w:val="20"/>
          <w:szCs w:val="20"/>
        </w:rPr>
        <w:t>1</w:t>
      </w:r>
      <w:r w:rsidR="000C0398" w:rsidRPr="001643AA">
        <w:rPr>
          <w:rFonts w:ascii="Century" w:eastAsia="ＭＳ 明朝" w:hAnsi="Century" w:cs="Times New Roman" w:hint="eastAsia"/>
          <w:sz w:val="20"/>
          <w:szCs w:val="20"/>
        </w:rPr>
        <w:t>ポイント以上</w:t>
      </w:r>
      <w:r w:rsidR="00E0345D">
        <w:rPr>
          <w:rFonts w:ascii="Century" w:eastAsia="ＭＳ 明朝" w:hAnsi="Century" w:cs="Times New Roman" w:hint="eastAsia"/>
          <w:sz w:val="20"/>
          <w:szCs w:val="20"/>
        </w:rPr>
        <w:t>低い</w:t>
      </w:r>
      <w:r w:rsidR="000C0398" w:rsidRPr="001643AA">
        <w:rPr>
          <w:rFonts w:ascii="Century" w:eastAsia="ＭＳ 明朝" w:hAnsi="Century" w:cs="Times New Roman" w:hint="eastAsia"/>
          <w:sz w:val="20"/>
          <w:szCs w:val="20"/>
        </w:rPr>
        <w:t>10.18</w:t>
      </w:r>
      <w:r w:rsidR="000C0398" w:rsidRPr="001643AA">
        <w:rPr>
          <w:rFonts w:ascii="Century" w:eastAsia="ＭＳ 明朝" w:hAnsi="Century" w:cs="Times New Roman" w:hint="eastAsia"/>
          <w:sz w:val="20"/>
          <w:szCs w:val="20"/>
        </w:rPr>
        <w:t>％を記録した。</w:t>
      </w:r>
      <w:r w:rsidRPr="001643AA">
        <w:rPr>
          <w:rFonts w:ascii="Century" w:eastAsia="ＭＳ 明朝" w:hAnsi="Century" w:cs="Times New Roman" w:hint="eastAsia"/>
          <w:sz w:val="20"/>
          <w:szCs w:val="20"/>
        </w:rPr>
        <w:t>民間銀行</w:t>
      </w:r>
      <w:r w:rsidR="00E50919" w:rsidRPr="001643AA">
        <w:rPr>
          <w:rFonts w:ascii="Century" w:eastAsia="ＭＳ 明朝" w:hAnsi="Century" w:cs="Times New Roman" w:hint="eastAsia"/>
          <w:sz w:val="20"/>
          <w:szCs w:val="20"/>
        </w:rPr>
        <w:t>では、</w:t>
      </w:r>
      <w:r w:rsidR="009C3B81" w:rsidRPr="001643AA">
        <w:rPr>
          <w:rFonts w:ascii="Century" w:eastAsia="ＭＳ 明朝" w:hAnsi="Century" w:cs="Times New Roman" w:hint="eastAsia"/>
          <w:sz w:val="20"/>
          <w:szCs w:val="20"/>
        </w:rPr>
        <w:t>引き続き</w:t>
      </w:r>
      <w:r w:rsidR="00E50919" w:rsidRPr="001643AA">
        <w:rPr>
          <w:rFonts w:ascii="Century" w:eastAsia="ＭＳ 明朝" w:hAnsi="Century" w:cs="Times New Roman" w:hint="eastAsia"/>
          <w:sz w:val="20"/>
          <w:szCs w:val="20"/>
        </w:rPr>
        <w:t>微減傾向が続き、</w:t>
      </w:r>
      <w:r w:rsidR="009C3B81" w:rsidRPr="001643AA">
        <w:rPr>
          <w:rFonts w:ascii="Century" w:eastAsia="ＭＳ 明朝" w:hAnsi="Century" w:cs="Times New Roman" w:hint="eastAsia"/>
          <w:sz w:val="20"/>
          <w:szCs w:val="20"/>
        </w:rPr>
        <w:t>8</w:t>
      </w:r>
      <w:r w:rsidR="00E50919" w:rsidRPr="001643AA">
        <w:rPr>
          <w:rFonts w:ascii="Century" w:eastAsia="ＭＳ 明朝" w:hAnsi="Century" w:cs="Times New Roman" w:hint="eastAsia"/>
          <w:sz w:val="20"/>
          <w:szCs w:val="20"/>
        </w:rPr>
        <w:t>月時点では</w:t>
      </w:r>
      <w:r w:rsidR="009C3B81" w:rsidRPr="001643AA">
        <w:rPr>
          <w:rFonts w:ascii="Century" w:eastAsia="ＭＳ 明朝" w:hAnsi="Century" w:cs="Times New Roman" w:hint="eastAsia"/>
          <w:sz w:val="20"/>
          <w:szCs w:val="20"/>
        </w:rPr>
        <w:t>8.66</w:t>
      </w:r>
      <w:r w:rsidR="00E50919" w:rsidRPr="001643AA">
        <w:rPr>
          <w:rFonts w:ascii="Century" w:eastAsia="ＭＳ 明朝" w:hAnsi="Century" w:cs="Times New Roman" w:hint="eastAsia"/>
          <w:sz w:val="20"/>
          <w:szCs w:val="20"/>
        </w:rPr>
        <w:t>％</w:t>
      </w:r>
      <w:r w:rsidR="00A4287D" w:rsidRPr="001643AA">
        <w:rPr>
          <w:rFonts w:ascii="Century" w:eastAsia="ＭＳ 明朝" w:hAnsi="Century" w:cs="Times New Roman" w:hint="eastAsia"/>
          <w:sz w:val="20"/>
          <w:szCs w:val="20"/>
        </w:rPr>
        <w:t>となっている</w:t>
      </w:r>
      <w:r w:rsidRPr="001643AA">
        <w:rPr>
          <w:rFonts w:ascii="Century" w:eastAsia="ＭＳ 明朝" w:hAnsi="Century" w:cs="Times New Roman" w:hint="eastAsia"/>
          <w:sz w:val="20"/>
          <w:szCs w:val="20"/>
        </w:rPr>
        <w:t>。</w:t>
      </w:r>
    </w:p>
    <w:p w:rsidR="00B43E7C" w:rsidRPr="00A17843" w:rsidRDefault="000C0398" w:rsidP="009033C6">
      <w:pPr>
        <w:jc w:val="left"/>
      </w:pPr>
      <w:r w:rsidRPr="00A17843">
        <w:rPr>
          <w:rFonts w:ascii="Century" w:eastAsia="ＭＳ 明朝" w:hAnsi="Century" w:cs="Times New Roman" w:hint="eastAsia"/>
          <w:sz w:val="20"/>
          <w:szCs w:val="20"/>
        </w:rPr>
        <w:t>●</w:t>
      </w:r>
      <w:r w:rsidR="008262B2" w:rsidRPr="00A17843">
        <w:rPr>
          <w:rFonts w:ascii="Century" w:eastAsia="ＭＳ 明朝" w:hAnsi="Century" w:cs="Times New Roman" w:hint="eastAsia"/>
          <w:sz w:val="20"/>
          <w:szCs w:val="20"/>
        </w:rPr>
        <w:t>民間銀行では</w:t>
      </w:r>
      <w:r w:rsidR="0022269F">
        <w:rPr>
          <w:rFonts w:ascii="Century" w:eastAsia="ＭＳ 明朝" w:hAnsi="Century" w:cs="Times New Roman" w:hint="eastAsia"/>
          <w:sz w:val="20"/>
          <w:szCs w:val="20"/>
        </w:rPr>
        <w:t>、ドル高によるドル建て貸付回避傾向にともなう銀行貸付金額減少に</w:t>
      </w:r>
      <w:r w:rsidR="00664BE1">
        <w:rPr>
          <w:rFonts w:ascii="Century" w:eastAsia="ＭＳ 明朝" w:hAnsi="Century" w:cs="Times New Roman" w:hint="eastAsia"/>
          <w:sz w:val="20"/>
          <w:szCs w:val="20"/>
        </w:rPr>
        <w:t>対処するために、</w:t>
      </w:r>
      <w:r w:rsidR="00D62D3F">
        <w:rPr>
          <w:rFonts w:ascii="Century" w:eastAsia="ＭＳ 明朝" w:hAnsi="Century" w:cs="Times New Roman" w:hint="eastAsia"/>
          <w:sz w:val="20"/>
          <w:szCs w:val="20"/>
        </w:rPr>
        <w:t>コロン建て</w:t>
      </w:r>
      <w:r w:rsidR="0022269F">
        <w:rPr>
          <w:rFonts w:ascii="Century" w:eastAsia="ＭＳ 明朝" w:hAnsi="Century" w:cs="Times New Roman" w:hint="eastAsia"/>
          <w:sz w:val="20"/>
          <w:szCs w:val="20"/>
        </w:rPr>
        <w:t>貸付金利</w:t>
      </w:r>
      <w:r w:rsidR="00664BE1">
        <w:rPr>
          <w:rFonts w:ascii="Century" w:eastAsia="ＭＳ 明朝" w:hAnsi="Century" w:cs="Times New Roman" w:hint="eastAsia"/>
          <w:sz w:val="20"/>
          <w:szCs w:val="20"/>
        </w:rPr>
        <w:t>の引き下げが</w:t>
      </w:r>
      <w:r w:rsidR="000E072B">
        <w:rPr>
          <w:rFonts w:ascii="Century" w:eastAsia="ＭＳ 明朝" w:hAnsi="Century" w:cs="Times New Roman" w:hint="eastAsia"/>
          <w:sz w:val="20"/>
          <w:szCs w:val="20"/>
        </w:rPr>
        <w:t>引き続き</w:t>
      </w:r>
      <w:r w:rsidR="00664BE1">
        <w:rPr>
          <w:rFonts w:ascii="Century" w:eastAsia="ＭＳ 明朝" w:hAnsi="Century" w:cs="Times New Roman" w:hint="eastAsia"/>
          <w:sz w:val="20"/>
          <w:szCs w:val="20"/>
        </w:rPr>
        <w:t>実施され</w:t>
      </w:r>
      <w:r w:rsidR="009033C6" w:rsidRPr="00A17843">
        <w:rPr>
          <w:rFonts w:ascii="Century" w:eastAsia="ＭＳ 明朝" w:hAnsi="Century" w:cs="Times New Roman" w:hint="eastAsia"/>
          <w:sz w:val="20"/>
          <w:szCs w:val="20"/>
        </w:rPr>
        <w:t>、</w:t>
      </w:r>
      <w:r w:rsidR="009033C6" w:rsidRPr="00A17843">
        <w:rPr>
          <w:rFonts w:ascii="Century" w:eastAsia="ＭＳ 明朝" w:hAnsi="Century" w:cs="Times New Roman" w:hint="eastAsia"/>
          <w:sz w:val="20"/>
          <w:szCs w:val="20"/>
        </w:rPr>
        <w:t>7</w:t>
      </w:r>
      <w:r w:rsidR="009033C6" w:rsidRPr="00A17843">
        <w:rPr>
          <w:rFonts w:ascii="Century" w:eastAsia="ＭＳ 明朝" w:hAnsi="Century" w:cs="Times New Roman" w:hint="eastAsia"/>
          <w:sz w:val="20"/>
          <w:szCs w:val="20"/>
        </w:rPr>
        <w:t>月、</w:t>
      </w:r>
      <w:r w:rsidR="009033C6" w:rsidRPr="00A17843">
        <w:rPr>
          <w:rFonts w:ascii="Century" w:eastAsia="ＭＳ 明朝" w:hAnsi="Century" w:cs="Times New Roman" w:hint="eastAsia"/>
          <w:sz w:val="20"/>
          <w:szCs w:val="20"/>
        </w:rPr>
        <w:t>8</w:t>
      </w:r>
      <w:r w:rsidR="009033C6" w:rsidRPr="00A17843">
        <w:rPr>
          <w:rFonts w:ascii="Century" w:eastAsia="ＭＳ 明朝" w:hAnsi="Century" w:cs="Times New Roman" w:hint="eastAsia"/>
          <w:sz w:val="20"/>
          <w:szCs w:val="20"/>
        </w:rPr>
        <w:t>月ともに前月を下回る数値</w:t>
      </w:r>
      <w:r w:rsidR="009033C6" w:rsidRPr="00A17843">
        <w:rPr>
          <w:rFonts w:ascii="Century" w:eastAsia="ＭＳ 明朝" w:hAnsi="Century" w:cs="Times New Roman" w:hint="eastAsia"/>
          <w:sz w:val="20"/>
          <w:szCs w:val="20"/>
        </w:rPr>
        <w:t>(</w:t>
      </w:r>
      <w:r w:rsidR="009033C6" w:rsidRPr="00A17843">
        <w:rPr>
          <w:rFonts w:ascii="Century" w:eastAsia="ＭＳ 明朝" w:hAnsi="Century" w:cs="Times New Roman" w:hint="eastAsia"/>
          <w:sz w:val="20"/>
          <w:szCs w:val="20"/>
        </w:rPr>
        <w:t>各</w:t>
      </w:r>
      <w:r w:rsidR="009033C6" w:rsidRPr="00A17843">
        <w:rPr>
          <w:rFonts w:ascii="Century" w:eastAsia="ＭＳ 明朝" w:hAnsi="Century" w:cs="Times New Roman" w:hint="eastAsia"/>
          <w:sz w:val="20"/>
          <w:szCs w:val="20"/>
        </w:rPr>
        <w:t>14.49</w:t>
      </w:r>
      <w:r w:rsidR="009033C6" w:rsidRPr="00A17843">
        <w:rPr>
          <w:rFonts w:ascii="Century" w:eastAsia="ＭＳ 明朝" w:hAnsi="Century" w:cs="Times New Roman" w:hint="eastAsia"/>
          <w:sz w:val="20"/>
          <w:szCs w:val="20"/>
        </w:rPr>
        <w:t>％、</w:t>
      </w:r>
      <w:r w:rsidR="009033C6" w:rsidRPr="00A17843">
        <w:rPr>
          <w:rFonts w:ascii="Century" w:eastAsia="ＭＳ 明朝" w:hAnsi="Century" w:cs="Times New Roman" w:hint="eastAsia"/>
          <w:sz w:val="20"/>
          <w:szCs w:val="20"/>
        </w:rPr>
        <w:t>13.37</w:t>
      </w:r>
      <w:r w:rsidR="009033C6" w:rsidRPr="00A17843">
        <w:rPr>
          <w:rFonts w:ascii="Century" w:eastAsia="ＭＳ 明朝" w:hAnsi="Century" w:cs="Times New Roman" w:hint="eastAsia"/>
          <w:sz w:val="20"/>
          <w:szCs w:val="20"/>
        </w:rPr>
        <w:t>％</w:t>
      </w:r>
      <w:r w:rsidR="009033C6" w:rsidRPr="00A17843">
        <w:rPr>
          <w:rFonts w:ascii="Century" w:eastAsia="ＭＳ 明朝" w:hAnsi="Century" w:cs="Times New Roman" w:hint="eastAsia"/>
          <w:sz w:val="20"/>
          <w:szCs w:val="20"/>
        </w:rPr>
        <w:t>)</w:t>
      </w:r>
      <w:r w:rsidR="009033C6" w:rsidRPr="00A17843">
        <w:rPr>
          <w:rFonts w:ascii="Century" w:eastAsia="ＭＳ 明朝" w:hAnsi="Century" w:cs="Times New Roman" w:hint="eastAsia"/>
          <w:sz w:val="20"/>
          <w:szCs w:val="20"/>
        </w:rPr>
        <w:t>を記録した。国立銀行における</w:t>
      </w:r>
      <w:r w:rsidR="00664BE1">
        <w:rPr>
          <w:rFonts w:ascii="Century" w:eastAsia="ＭＳ 明朝" w:hAnsi="Century" w:cs="Times New Roman" w:hint="eastAsia"/>
          <w:sz w:val="20"/>
          <w:szCs w:val="20"/>
        </w:rPr>
        <w:t>ドル建て</w:t>
      </w:r>
      <w:r w:rsidR="009033C6" w:rsidRPr="00A17843">
        <w:rPr>
          <w:rFonts w:ascii="Century" w:eastAsia="ＭＳ 明朝" w:hAnsi="Century" w:cs="Times New Roman" w:hint="eastAsia"/>
          <w:sz w:val="20"/>
          <w:szCs w:val="20"/>
        </w:rPr>
        <w:t>貸付金利に関しても、微増傾向が</w:t>
      </w:r>
      <w:r w:rsidR="009033C6" w:rsidRPr="00A17843">
        <w:rPr>
          <w:rFonts w:ascii="Century" w:eastAsia="ＭＳ 明朝" w:hAnsi="Century" w:cs="Times New Roman" w:hint="eastAsia"/>
          <w:sz w:val="20"/>
          <w:szCs w:val="20"/>
        </w:rPr>
        <w:t>7</w:t>
      </w:r>
      <w:r w:rsidR="009033C6" w:rsidRPr="00A17843">
        <w:rPr>
          <w:rFonts w:ascii="Century" w:eastAsia="ＭＳ 明朝" w:hAnsi="Century" w:cs="Times New Roman" w:hint="eastAsia"/>
          <w:sz w:val="20"/>
          <w:szCs w:val="20"/>
        </w:rPr>
        <w:t>月まで見られてきたが、</w:t>
      </w:r>
      <w:r w:rsidR="009033C6" w:rsidRPr="00A17843">
        <w:rPr>
          <w:rFonts w:ascii="Century" w:eastAsia="ＭＳ 明朝" w:hAnsi="Century" w:cs="Times New Roman" w:hint="eastAsia"/>
          <w:sz w:val="20"/>
          <w:szCs w:val="20"/>
        </w:rPr>
        <w:t>8</w:t>
      </w:r>
      <w:r w:rsidR="009033C6" w:rsidRPr="00A17843">
        <w:rPr>
          <w:rFonts w:ascii="Century" w:eastAsia="ＭＳ 明朝" w:hAnsi="Century" w:cs="Times New Roman" w:hint="eastAsia"/>
          <w:sz w:val="20"/>
          <w:szCs w:val="20"/>
        </w:rPr>
        <w:t>月に若干の低下が見られ、</w:t>
      </w:r>
      <w:r w:rsidR="009033C6" w:rsidRPr="00A17843">
        <w:rPr>
          <w:rFonts w:ascii="Century" w:eastAsia="ＭＳ 明朝" w:hAnsi="Century" w:cs="Times New Roman" w:hint="eastAsia"/>
          <w:sz w:val="20"/>
          <w:szCs w:val="20"/>
        </w:rPr>
        <w:t>8</w:t>
      </w:r>
      <w:r w:rsidR="009033C6" w:rsidRPr="00A17843">
        <w:rPr>
          <w:rFonts w:ascii="Century" w:eastAsia="ＭＳ 明朝" w:hAnsi="Century" w:cs="Times New Roman" w:hint="eastAsia"/>
          <w:sz w:val="20"/>
          <w:szCs w:val="20"/>
        </w:rPr>
        <w:t>月末時点では前月から</w:t>
      </w:r>
      <w:r w:rsidR="009033C6" w:rsidRPr="00A17843">
        <w:rPr>
          <w:rFonts w:ascii="Century" w:eastAsia="ＭＳ 明朝" w:hAnsi="Century" w:cs="Times New Roman" w:hint="eastAsia"/>
          <w:sz w:val="20"/>
          <w:szCs w:val="20"/>
        </w:rPr>
        <w:t>0.3</w:t>
      </w:r>
      <w:r w:rsidR="009033C6" w:rsidRPr="00A17843">
        <w:rPr>
          <w:rFonts w:ascii="Century" w:eastAsia="ＭＳ 明朝" w:hAnsi="Century" w:cs="Times New Roman" w:hint="eastAsia"/>
          <w:sz w:val="20"/>
          <w:szCs w:val="20"/>
        </w:rPr>
        <w:t>ポイント低い</w:t>
      </w:r>
      <w:r w:rsidR="009033C6" w:rsidRPr="00A17843">
        <w:rPr>
          <w:rFonts w:ascii="Century" w:eastAsia="ＭＳ 明朝" w:hAnsi="Century" w:cs="Times New Roman" w:hint="eastAsia"/>
          <w:sz w:val="20"/>
          <w:szCs w:val="20"/>
        </w:rPr>
        <w:t>15.83</w:t>
      </w:r>
      <w:r w:rsidR="009033C6" w:rsidRPr="00A17843">
        <w:rPr>
          <w:rFonts w:ascii="Century" w:eastAsia="ＭＳ 明朝" w:hAnsi="Century" w:cs="Times New Roman" w:hint="eastAsia"/>
          <w:sz w:val="20"/>
          <w:szCs w:val="20"/>
        </w:rPr>
        <w:t>％となった。</w:t>
      </w:r>
    </w:p>
    <w:p w:rsidR="00B43E7C" w:rsidRPr="007F13D8" w:rsidRDefault="00D62D3F">
      <w:pPr>
        <w:rPr>
          <w:sz w:val="20"/>
          <w:szCs w:val="20"/>
        </w:rPr>
      </w:pPr>
      <w:r w:rsidRPr="007F13D8">
        <w:rPr>
          <w:rFonts w:hint="eastAsia"/>
          <w:sz w:val="20"/>
          <w:szCs w:val="20"/>
        </w:rPr>
        <w:t>●現在インフレにともなう基本</w:t>
      </w:r>
      <w:r w:rsidR="00664BE1">
        <w:rPr>
          <w:rFonts w:hint="eastAsia"/>
          <w:sz w:val="20"/>
          <w:szCs w:val="20"/>
        </w:rPr>
        <w:t>預金</w:t>
      </w:r>
      <w:r w:rsidRPr="007F13D8">
        <w:rPr>
          <w:rFonts w:hint="eastAsia"/>
          <w:sz w:val="20"/>
          <w:szCs w:val="20"/>
        </w:rPr>
        <w:t>金利の上昇と、コロン建て</w:t>
      </w:r>
      <w:r w:rsidR="00024BCC" w:rsidRPr="007F13D8">
        <w:rPr>
          <w:rFonts w:hint="eastAsia"/>
          <w:sz w:val="20"/>
          <w:szCs w:val="20"/>
        </w:rPr>
        <w:t>貸付金利</w:t>
      </w:r>
      <w:r w:rsidRPr="007F13D8">
        <w:rPr>
          <w:rFonts w:hint="eastAsia"/>
          <w:sz w:val="20"/>
          <w:szCs w:val="20"/>
        </w:rPr>
        <w:t>低下が同時に起きており、</w:t>
      </w:r>
      <w:r w:rsidR="0022269F" w:rsidRPr="007F13D8">
        <w:rPr>
          <w:rFonts w:hint="eastAsia"/>
          <w:sz w:val="20"/>
          <w:szCs w:val="20"/>
        </w:rPr>
        <w:t>各銀行の</w:t>
      </w:r>
      <w:r w:rsidR="00664BE1">
        <w:rPr>
          <w:rFonts w:hint="eastAsia"/>
          <w:sz w:val="20"/>
          <w:szCs w:val="20"/>
        </w:rPr>
        <w:t>コロン</w:t>
      </w:r>
      <w:r w:rsidR="0022269F" w:rsidRPr="007F13D8">
        <w:rPr>
          <w:rFonts w:hint="eastAsia"/>
          <w:sz w:val="20"/>
          <w:szCs w:val="20"/>
        </w:rPr>
        <w:t>運用によって</w:t>
      </w:r>
      <w:r w:rsidRPr="007F13D8">
        <w:rPr>
          <w:rFonts w:hint="eastAsia"/>
          <w:sz w:val="20"/>
          <w:szCs w:val="20"/>
        </w:rPr>
        <w:t>得られる</w:t>
      </w:r>
      <w:r w:rsidR="00493D43" w:rsidRPr="007F13D8">
        <w:rPr>
          <w:rFonts w:hint="eastAsia"/>
          <w:sz w:val="20"/>
          <w:szCs w:val="20"/>
        </w:rPr>
        <w:t>利益</w:t>
      </w:r>
      <w:r w:rsidR="00794DBF" w:rsidRPr="007F13D8">
        <w:rPr>
          <w:rFonts w:hint="eastAsia"/>
          <w:sz w:val="20"/>
          <w:szCs w:val="20"/>
        </w:rPr>
        <w:t>は</w:t>
      </w:r>
      <w:r w:rsidRPr="007F13D8">
        <w:rPr>
          <w:rFonts w:hint="eastAsia"/>
          <w:sz w:val="20"/>
          <w:szCs w:val="20"/>
        </w:rPr>
        <w:t>小さくなっている。</w:t>
      </w:r>
    </w:p>
    <w:p w:rsidR="00485827" w:rsidRDefault="000E7A6E">
      <w:r w:rsidRPr="000E7A6E">
        <w:rPr>
          <w:noProof/>
        </w:rPr>
        <w:drawing>
          <wp:inline distT="0" distB="0" distL="0" distR="0">
            <wp:extent cx="5972175" cy="4381500"/>
            <wp:effectExtent l="0" t="0" r="0" b="0"/>
            <wp:docPr id="8" name="グラフ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B43E7C" w:rsidRPr="00CA02F1" w:rsidRDefault="00CA02F1" w:rsidP="00B43E7C">
      <w:pPr>
        <w:rPr>
          <w:rFonts w:ascii="Century" w:eastAsia="ＭＳ 明朝" w:hAnsi="Century" w:cs="Times New Roman"/>
          <w:color w:val="000000" w:themeColor="text1"/>
          <w:szCs w:val="21"/>
        </w:rPr>
      </w:pPr>
      <w:r w:rsidRPr="00CA02F1">
        <w:rPr>
          <w:rFonts w:ascii="Century" w:eastAsia="ＭＳ 明朝" w:hAnsi="Century" w:cs="Times New Roman" w:hint="eastAsia"/>
          <w:color w:val="000000" w:themeColor="text1"/>
          <w:szCs w:val="21"/>
        </w:rPr>
        <w:lastRenderedPageBreak/>
        <w:t xml:space="preserve">６　</w:t>
      </w:r>
      <w:r w:rsidR="00B43E7C" w:rsidRPr="00CA02F1">
        <w:rPr>
          <w:rFonts w:ascii="Century" w:eastAsia="ＭＳ 明朝" w:hAnsi="Century" w:cs="Times New Roman" w:hint="eastAsia"/>
          <w:color w:val="000000" w:themeColor="text1"/>
          <w:szCs w:val="21"/>
        </w:rPr>
        <w:t>外貨準備高</w:t>
      </w:r>
    </w:p>
    <w:p w:rsidR="00B43E7C" w:rsidRPr="005A0113" w:rsidRDefault="00B43E7C" w:rsidP="00B43E7C">
      <w:pPr>
        <w:jc w:val="left"/>
        <w:rPr>
          <w:rFonts w:ascii="Century" w:eastAsia="ＭＳ 明朝" w:hAnsi="Century" w:cs="Times New Roman"/>
          <w:color w:val="000000" w:themeColor="text1"/>
          <w:sz w:val="20"/>
          <w:szCs w:val="20"/>
        </w:rPr>
      </w:pPr>
      <w:r w:rsidRPr="005A0113">
        <w:rPr>
          <w:rFonts w:ascii="Century" w:eastAsia="ＭＳ 明朝" w:hAnsi="Century" w:cs="Times New Roman" w:hint="eastAsia"/>
          <w:color w:val="000000" w:themeColor="text1"/>
          <w:sz w:val="20"/>
          <w:szCs w:val="20"/>
        </w:rPr>
        <w:t>●</w:t>
      </w:r>
      <w:r w:rsidR="00761168" w:rsidRPr="005A0113">
        <w:rPr>
          <w:rFonts w:ascii="Century" w:eastAsia="ＭＳ 明朝" w:hAnsi="Century" w:cs="Times New Roman" w:hint="eastAsia"/>
          <w:color w:val="000000" w:themeColor="text1"/>
          <w:sz w:val="20"/>
          <w:szCs w:val="20"/>
        </w:rPr>
        <w:t>7</w:t>
      </w:r>
      <w:r w:rsidR="001F315D" w:rsidRPr="005A0113">
        <w:rPr>
          <w:rFonts w:ascii="Century" w:eastAsia="ＭＳ 明朝" w:hAnsi="Century" w:cs="Times New Roman" w:hint="eastAsia"/>
          <w:color w:val="000000" w:themeColor="text1"/>
          <w:sz w:val="20"/>
          <w:szCs w:val="20"/>
        </w:rPr>
        <w:t>月及び</w:t>
      </w:r>
      <w:r w:rsidR="00761168" w:rsidRPr="005A0113">
        <w:rPr>
          <w:rFonts w:ascii="Century" w:eastAsia="ＭＳ 明朝" w:hAnsi="Century" w:cs="Times New Roman" w:hint="eastAsia"/>
          <w:color w:val="000000" w:themeColor="text1"/>
          <w:sz w:val="20"/>
          <w:szCs w:val="20"/>
        </w:rPr>
        <w:t>8</w:t>
      </w:r>
      <w:r w:rsidRPr="005A0113">
        <w:rPr>
          <w:rFonts w:ascii="Century" w:eastAsia="ＭＳ 明朝" w:hAnsi="Century" w:cs="Times New Roman" w:hint="eastAsia"/>
          <w:color w:val="000000" w:themeColor="text1"/>
          <w:sz w:val="20"/>
          <w:szCs w:val="20"/>
        </w:rPr>
        <w:t>月末時点の米ドル準備高</w:t>
      </w:r>
      <w:r w:rsidRPr="005A0113">
        <w:rPr>
          <w:rFonts w:ascii="Century" w:eastAsia="ＭＳ 明朝" w:hAnsi="Century" w:cs="Times New Roman"/>
          <w:color w:val="000000" w:themeColor="text1"/>
          <w:sz w:val="20"/>
          <w:szCs w:val="20"/>
        </w:rPr>
        <w:t>(</w:t>
      </w:r>
      <w:r w:rsidRPr="005A0113">
        <w:rPr>
          <w:rFonts w:ascii="Century" w:eastAsia="ＭＳ 明朝" w:hAnsi="Century" w:cs="Times New Roman" w:hint="eastAsia"/>
          <w:color w:val="000000" w:themeColor="text1"/>
          <w:sz w:val="20"/>
          <w:szCs w:val="20"/>
        </w:rPr>
        <w:t>表</w:t>
      </w:r>
      <w:r w:rsidRPr="005A0113">
        <w:rPr>
          <w:rFonts w:ascii="Century" w:eastAsia="ＭＳ 明朝" w:hAnsi="Century" w:cs="Times New Roman"/>
          <w:color w:val="000000" w:themeColor="text1"/>
          <w:sz w:val="20"/>
          <w:szCs w:val="20"/>
        </w:rPr>
        <w:t>1</w:t>
      </w:r>
      <w:r w:rsidR="001F315D" w:rsidRPr="005A0113">
        <w:rPr>
          <w:rFonts w:ascii="Century" w:eastAsia="ＭＳ 明朝" w:hAnsi="Century" w:cs="Times New Roman" w:hint="eastAsia"/>
          <w:color w:val="000000" w:themeColor="text1"/>
          <w:sz w:val="20"/>
          <w:szCs w:val="20"/>
        </w:rPr>
        <w:t>2</w:t>
      </w:r>
      <w:r w:rsidRPr="005A0113">
        <w:rPr>
          <w:rFonts w:ascii="Century" w:eastAsia="ＭＳ 明朝" w:hAnsi="Century" w:cs="Times New Roman"/>
          <w:color w:val="000000" w:themeColor="text1"/>
          <w:sz w:val="20"/>
          <w:szCs w:val="20"/>
        </w:rPr>
        <w:t>)</w:t>
      </w:r>
      <w:r w:rsidR="005A29E7" w:rsidRPr="005A0113">
        <w:rPr>
          <w:rFonts w:ascii="Century" w:eastAsia="ＭＳ 明朝" w:hAnsi="Century" w:cs="Times New Roman" w:hint="eastAsia"/>
          <w:color w:val="000000" w:themeColor="text1"/>
          <w:sz w:val="20"/>
          <w:szCs w:val="20"/>
        </w:rPr>
        <w:t>は</w:t>
      </w:r>
      <w:r w:rsidR="001F315D" w:rsidRPr="005A0113">
        <w:rPr>
          <w:rFonts w:ascii="Century" w:eastAsia="ＭＳ 明朝" w:hAnsi="Century" w:cs="Times New Roman" w:hint="eastAsia"/>
          <w:color w:val="000000" w:themeColor="text1"/>
          <w:sz w:val="20"/>
          <w:szCs w:val="20"/>
        </w:rPr>
        <w:t>各</w:t>
      </w:r>
      <w:r w:rsidR="005A29E7" w:rsidRPr="005A0113">
        <w:rPr>
          <w:rFonts w:ascii="Century" w:eastAsia="ＭＳ 明朝" w:hAnsi="Century" w:cs="Times New Roman" w:hint="eastAsia"/>
          <w:color w:val="000000" w:themeColor="text1"/>
          <w:sz w:val="20"/>
          <w:szCs w:val="20"/>
        </w:rPr>
        <w:t>7,</w:t>
      </w:r>
      <w:r w:rsidR="00761168" w:rsidRPr="005A0113">
        <w:rPr>
          <w:rFonts w:ascii="Century" w:eastAsia="ＭＳ 明朝" w:hAnsi="Century" w:cs="Times New Roman" w:hint="eastAsia"/>
          <w:color w:val="000000" w:themeColor="text1"/>
          <w:sz w:val="20"/>
          <w:szCs w:val="20"/>
        </w:rPr>
        <w:t>338</w:t>
      </w:r>
      <w:r w:rsidR="005A29E7" w:rsidRPr="005A0113">
        <w:rPr>
          <w:rFonts w:ascii="Century" w:eastAsia="ＭＳ 明朝" w:hAnsi="Century" w:cs="Times New Roman" w:hint="eastAsia"/>
          <w:color w:val="000000" w:themeColor="text1"/>
          <w:sz w:val="20"/>
          <w:szCs w:val="20"/>
        </w:rPr>
        <w:t>.</w:t>
      </w:r>
      <w:r w:rsidR="00761168" w:rsidRPr="005A0113">
        <w:rPr>
          <w:rFonts w:ascii="Century" w:eastAsia="ＭＳ 明朝" w:hAnsi="Century" w:cs="Times New Roman" w:hint="eastAsia"/>
          <w:color w:val="000000" w:themeColor="text1"/>
          <w:sz w:val="20"/>
          <w:szCs w:val="20"/>
        </w:rPr>
        <w:t>3</w:t>
      </w:r>
      <w:r w:rsidRPr="005A0113">
        <w:rPr>
          <w:rFonts w:ascii="Century" w:eastAsia="ＭＳ 明朝" w:hAnsi="Century" w:cs="Times New Roman" w:hint="eastAsia"/>
          <w:color w:val="000000" w:themeColor="text1"/>
          <w:sz w:val="20"/>
          <w:szCs w:val="20"/>
        </w:rPr>
        <w:t>百万ドル</w:t>
      </w:r>
      <w:r w:rsidR="001F315D" w:rsidRPr="005A0113">
        <w:rPr>
          <w:rFonts w:ascii="Century" w:eastAsia="ＭＳ 明朝" w:hAnsi="Century" w:cs="Times New Roman" w:hint="eastAsia"/>
          <w:color w:val="000000" w:themeColor="text1"/>
          <w:sz w:val="20"/>
          <w:szCs w:val="20"/>
        </w:rPr>
        <w:t>、</w:t>
      </w:r>
      <w:r w:rsidR="00761168" w:rsidRPr="005A0113">
        <w:rPr>
          <w:rFonts w:ascii="Century" w:eastAsia="ＭＳ 明朝" w:hAnsi="Century" w:cs="Times New Roman" w:hint="eastAsia"/>
          <w:color w:val="000000" w:themeColor="text1"/>
          <w:sz w:val="20"/>
          <w:szCs w:val="20"/>
        </w:rPr>
        <w:t>7,342.9</w:t>
      </w:r>
      <w:r w:rsidR="001F315D" w:rsidRPr="005A0113">
        <w:rPr>
          <w:rFonts w:ascii="Century" w:eastAsia="ＭＳ 明朝" w:hAnsi="Century" w:cs="Times New Roman" w:hint="eastAsia"/>
          <w:color w:val="000000" w:themeColor="text1"/>
          <w:sz w:val="20"/>
          <w:szCs w:val="20"/>
        </w:rPr>
        <w:t>百万ドル</w:t>
      </w:r>
      <w:r w:rsidRPr="005A0113">
        <w:rPr>
          <w:rFonts w:ascii="Century" w:eastAsia="ＭＳ 明朝" w:hAnsi="Century" w:cs="Times New Roman" w:hint="eastAsia"/>
          <w:color w:val="000000" w:themeColor="text1"/>
          <w:sz w:val="20"/>
          <w:szCs w:val="20"/>
        </w:rPr>
        <w:t>となった。</w:t>
      </w:r>
    </w:p>
    <w:p w:rsidR="00B43E7C" w:rsidRPr="005A0113" w:rsidRDefault="00B43E7C" w:rsidP="00B43E7C">
      <w:pPr>
        <w:jc w:val="left"/>
        <w:rPr>
          <w:rFonts w:ascii="Century" w:eastAsia="ＭＳ 明朝" w:hAnsi="Century" w:cs="Times New Roman"/>
          <w:color w:val="000000" w:themeColor="text1"/>
          <w:sz w:val="20"/>
          <w:szCs w:val="20"/>
        </w:rPr>
      </w:pPr>
      <w:r w:rsidRPr="005A0113">
        <w:rPr>
          <w:rFonts w:ascii="Century" w:eastAsia="ＭＳ 明朝" w:hAnsi="Century" w:cs="Times New Roman" w:hint="eastAsia"/>
          <w:color w:val="000000" w:themeColor="text1"/>
          <w:sz w:val="20"/>
          <w:szCs w:val="20"/>
        </w:rPr>
        <w:t>●当面は</w:t>
      </w:r>
      <w:r w:rsidR="00554201">
        <w:rPr>
          <w:rFonts w:ascii="Century" w:eastAsia="ＭＳ 明朝" w:hAnsi="Century" w:cs="Times New Roman" w:hint="eastAsia"/>
          <w:color w:val="000000" w:themeColor="text1"/>
          <w:sz w:val="20"/>
          <w:szCs w:val="20"/>
        </w:rPr>
        <w:t>インテル社の製造</w:t>
      </w:r>
      <w:r w:rsidR="001F0388" w:rsidRPr="005A0113">
        <w:rPr>
          <w:rFonts w:ascii="Century" w:eastAsia="ＭＳ 明朝" w:hAnsi="Century" w:cs="Times New Roman" w:hint="eastAsia"/>
          <w:color w:val="000000" w:themeColor="text1"/>
          <w:sz w:val="20"/>
          <w:szCs w:val="20"/>
        </w:rPr>
        <w:t>部門撤退</w:t>
      </w:r>
      <w:r w:rsidR="00485827" w:rsidRPr="005A0113">
        <w:rPr>
          <w:rFonts w:ascii="Century" w:eastAsia="ＭＳ 明朝" w:hAnsi="Century" w:cs="Times New Roman" w:hint="eastAsia"/>
          <w:color w:val="000000" w:themeColor="text1"/>
          <w:sz w:val="20"/>
          <w:szCs w:val="20"/>
        </w:rPr>
        <w:t>などを要因とした</w:t>
      </w:r>
      <w:r w:rsidR="001F0388" w:rsidRPr="005A0113">
        <w:rPr>
          <w:rFonts w:ascii="Century" w:eastAsia="ＭＳ 明朝" w:hAnsi="Century" w:cs="Times New Roman" w:hint="eastAsia"/>
          <w:color w:val="000000" w:themeColor="text1"/>
          <w:sz w:val="20"/>
          <w:szCs w:val="20"/>
        </w:rPr>
        <w:t>輸出額の伸び悩みにより、</w:t>
      </w:r>
      <w:r w:rsidR="00BF712D">
        <w:rPr>
          <w:rFonts w:ascii="Century" w:eastAsia="ＭＳ 明朝" w:hAnsi="Century" w:cs="Times New Roman" w:hint="eastAsia"/>
          <w:color w:val="000000" w:themeColor="text1"/>
          <w:sz w:val="20"/>
          <w:szCs w:val="20"/>
        </w:rPr>
        <w:t>当面</w:t>
      </w:r>
      <w:r w:rsidR="00485827" w:rsidRPr="005A0113">
        <w:rPr>
          <w:rFonts w:ascii="Century" w:eastAsia="ＭＳ 明朝" w:hAnsi="Century" w:cs="Times New Roman" w:hint="eastAsia"/>
          <w:color w:val="000000" w:themeColor="text1"/>
          <w:sz w:val="20"/>
          <w:szCs w:val="20"/>
        </w:rPr>
        <w:t>外貨獲得量の</w:t>
      </w:r>
      <w:r w:rsidR="00C041A5">
        <w:rPr>
          <w:rFonts w:ascii="Century" w:eastAsia="ＭＳ 明朝" w:hAnsi="Century" w:cs="Times New Roman" w:hint="eastAsia"/>
          <w:color w:val="000000" w:themeColor="text1"/>
          <w:sz w:val="20"/>
          <w:szCs w:val="20"/>
        </w:rPr>
        <w:t>大幅な</w:t>
      </w:r>
      <w:r w:rsidR="00485827" w:rsidRPr="005A0113">
        <w:rPr>
          <w:rFonts w:ascii="Century" w:eastAsia="ＭＳ 明朝" w:hAnsi="Century" w:cs="Times New Roman" w:hint="eastAsia"/>
          <w:color w:val="000000" w:themeColor="text1"/>
          <w:sz w:val="20"/>
          <w:szCs w:val="20"/>
        </w:rPr>
        <w:t>増加</w:t>
      </w:r>
      <w:r w:rsidR="001F0388" w:rsidRPr="005A0113">
        <w:rPr>
          <w:rFonts w:ascii="Century" w:eastAsia="ＭＳ 明朝" w:hAnsi="Century" w:cs="Times New Roman" w:hint="eastAsia"/>
          <w:color w:val="000000" w:themeColor="text1"/>
          <w:sz w:val="20"/>
          <w:szCs w:val="20"/>
        </w:rPr>
        <w:t>が見込まれ</w:t>
      </w:r>
      <w:r w:rsidR="009F73A8" w:rsidRPr="005A0113">
        <w:rPr>
          <w:rFonts w:ascii="Century" w:eastAsia="ＭＳ 明朝" w:hAnsi="Century" w:cs="Times New Roman" w:hint="eastAsia"/>
          <w:color w:val="000000" w:themeColor="text1"/>
          <w:sz w:val="20"/>
          <w:szCs w:val="20"/>
        </w:rPr>
        <w:t>ないこ</w:t>
      </w:r>
      <w:r w:rsidR="008E2889" w:rsidRPr="005A0113">
        <w:rPr>
          <w:rFonts w:ascii="Century" w:eastAsia="ＭＳ 明朝" w:hAnsi="Century" w:cs="Times New Roman" w:hint="eastAsia"/>
          <w:color w:val="000000" w:themeColor="text1"/>
          <w:sz w:val="20"/>
          <w:szCs w:val="20"/>
        </w:rPr>
        <w:t>とから、</w:t>
      </w:r>
      <w:r w:rsidRPr="005A0113">
        <w:rPr>
          <w:rFonts w:ascii="Century" w:eastAsia="ＭＳ 明朝" w:hAnsi="Century" w:cs="Times New Roman" w:hint="eastAsia"/>
          <w:color w:val="000000" w:themeColor="text1"/>
          <w:sz w:val="20"/>
          <w:szCs w:val="20"/>
        </w:rPr>
        <w:t>外貨準備高</w:t>
      </w:r>
      <w:r w:rsidR="008E2889" w:rsidRPr="005A0113">
        <w:rPr>
          <w:rFonts w:ascii="Century" w:eastAsia="ＭＳ 明朝" w:hAnsi="Century" w:cs="Times New Roman" w:hint="eastAsia"/>
          <w:color w:val="000000" w:themeColor="text1"/>
          <w:sz w:val="20"/>
          <w:szCs w:val="20"/>
        </w:rPr>
        <w:t>は</w:t>
      </w:r>
      <w:r w:rsidR="00CC750E" w:rsidRPr="005A0113">
        <w:rPr>
          <w:rFonts w:ascii="Century" w:eastAsia="ＭＳ 明朝" w:hAnsi="Century" w:cs="Times New Roman" w:hint="eastAsia"/>
          <w:color w:val="000000" w:themeColor="text1"/>
          <w:sz w:val="20"/>
          <w:szCs w:val="20"/>
        </w:rPr>
        <w:t>昨年よりも早い</w:t>
      </w:r>
      <w:r w:rsidR="001F0388" w:rsidRPr="005A0113">
        <w:rPr>
          <w:rFonts w:ascii="Century" w:eastAsia="ＭＳ 明朝" w:hAnsi="Century" w:cs="Times New Roman" w:hint="eastAsia"/>
          <w:color w:val="000000" w:themeColor="text1"/>
          <w:sz w:val="20"/>
          <w:szCs w:val="20"/>
        </w:rPr>
        <w:t>ペースで</w:t>
      </w:r>
      <w:r w:rsidR="00CC750E" w:rsidRPr="005A0113">
        <w:rPr>
          <w:rFonts w:ascii="Century" w:eastAsia="ＭＳ 明朝" w:hAnsi="Century" w:cs="Times New Roman" w:hint="eastAsia"/>
          <w:color w:val="000000" w:themeColor="text1"/>
          <w:sz w:val="20"/>
          <w:szCs w:val="20"/>
        </w:rPr>
        <w:t>減少</w:t>
      </w:r>
      <w:r w:rsidR="001F0388" w:rsidRPr="005A0113">
        <w:rPr>
          <w:rFonts w:ascii="Century" w:eastAsia="ＭＳ 明朝" w:hAnsi="Century" w:cs="Times New Roman" w:hint="eastAsia"/>
          <w:color w:val="000000" w:themeColor="text1"/>
          <w:sz w:val="20"/>
          <w:szCs w:val="20"/>
        </w:rPr>
        <w:t>することが予想される</w:t>
      </w:r>
      <w:r w:rsidR="008E2889" w:rsidRPr="005A0113">
        <w:rPr>
          <w:rFonts w:ascii="Century" w:eastAsia="ＭＳ 明朝" w:hAnsi="Century" w:cs="Times New Roman" w:hint="eastAsia"/>
          <w:color w:val="000000" w:themeColor="text1"/>
          <w:sz w:val="20"/>
          <w:szCs w:val="20"/>
        </w:rPr>
        <w:t>。</w:t>
      </w:r>
    </w:p>
    <w:p w:rsidR="00B7315C" w:rsidRPr="00B43E7C" w:rsidRDefault="00B7315C" w:rsidP="00B7315C">
      <w:pPr>
        <w:rPr>
          <w:color w:val="FF0000"/>
        </w:rPr>
      </w:pPr>
    </w:p>
    <w:p w:rsidR="00B7315C" w:rsidRDefault="005636FA" w:rsidP="00B7315C">
      <w:pPr>
        <w:jc w:val="center"/>
      </w:pPr>
      <w:r>
        <w:rPr>
          <w:noProof/>
        </w:rPr>
        <w:drawing>
          <wp:inline distT="0" distB="0" distL="0" distR="0">
            <wp:extent cx="4676775" cy="3581400"/>
            <wp:effectExtent l="0" t="0" r="9525" b="19050"/>
            <wp:docPr id="12" name="グラフ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B7315C" w:rsidRDefault="00B7315C" w:rsidP="00B7315C">
      <w:pPr>
        <w:jc w:val="center"/>
      </w:pPr>
    </w:p>
    <w:p w:rsidR="00B7315C" w:rsidRDefault="00B7315C" w:rsidP="00B7315C">
      <w:pPr>
        <w:jc w:val="center"/>
      </w:pPr>
    </w:p>
    <w:p w:rsidR="00B7315C" w:rsidRDefault="00B7315C" w:rsidP="00B7315C">
      <w:pPr>
        <w:jc w:val="center"/>
      </w:pPr>
    </w:p>
    <w:p w:rsidR="00B7315C" w:rsidRDefault="00B7315C" w:rsidP="00B7315C">
      <w:pPr>
        <w:jc w:val="center"/>
      </w:pPr>
    </w:p>
    <w:p w:rsidR="004676C3" w:rsidRDefault="004676C3" w:rsidP="00B7315C">
      <w:pPr>
        <w:jc w:val="center"/>
      </w:pPr>
    </w:p>
    <w:p w:rsidR="004676C3" w:rsidRDefault="004676C3" w:rsidP="00B7315C">
      <w:pPr>
        <w:jc w:val="center"/>
      </w:pPr>
    </w:p>
    <w:p w:rsidR="004676C3" w:rsidRDefault="004676C3" w:rsidP="00B7315C">
      <w:pPr>
        <w:jc w:val="center"/>
      </w:pPr>
    </w:p>
    <w:p w:rsidR="004676C3" w:rsidRDefault="004676C3" w:rsidP="00B7315C">
      <w:pPr>
        <w:jc w:val="center"/>
      </w:pPr>
    </w:p>
    <w:p w:rsidR="004676C3" w:rsidRDefault="004676C3" w:rsidP="00B7315C">
      <w:pPr>
        <w:jc w:val="center"/>
      </w:pPr>
    </w:p>
    <w:p w:rsidR="004676C3" w:rsidRDefault="004676C3" w:rsidP="00B7315C">
      <w:pPr>
        <w:jc w:val="center"/>
      </w:pPr>
    </w:p>
    <w:p w:rsidR="004676C3" w:rsidRDefault="004676C3" w:rsidP="00B7315C">
      <w:pPr>
        <w:jc w:val="center"/>
      </w:pPr>
    </w:p>
    <w:p w:rsidR="004676C3" w:rsidRDefault="004676C3" w:rsidP="00B7315C">
      <w:pPr>
        <w:jc w:val="center"/>
      </w:pPr>
    </w:p>
    <w:p w:rsidR="004676C3" w:rsidRDefault="004676C3" w:rsidP="00B7315C">
      <w:pPr>
        <w:jc w:val="center"/>
      </w:pPr>
    </w:p>
    <w:p w:rsidR="004676C3" w:rsidRDefault="004676C3" w:rsidP="00B7315C">
      <w:pPr>
        <w:jc w:val="center"/>
      </w:pPr>
    </w:p>
    <w:p w:rsidR="00167B3D" w:rsidRPr="00201969" w:rsidRDefault="00201969" w:rsidP="007B5481">
      <w:pPr>
        <w:rPr>
          <w:szCs w:val="21"/>
        </w:rPr>
      </w:pPr>
      <w:r w:rsidRPr="00201969">
        <w:rPr>
          <w:rFonts w:hint="eastAsia"/>
          <w:szCs w:val="21"/>
        </w:rPr>
        <w:lastRenderedPageBreak/>
        <w:t xml:space="preserve">７　</w:t>
      </w:r>
      <w:r w:rsidR="00167B3D" w:rsidRPr="00201969">
        <w:rPr>
          <w:rFonts w:hint="eastAsia"/>
          <w:szCs w:val="21"/>
        </w:rPr>
        <w:t>主な出来事</w:t>
      </w:r>
      <w:r w:rsidR="003B6074">
        <w:rPr>
          <w:rFonts w:hint="eastAsia"/>
          <w:szCs w:val="21"/>
        </w:rPr>
        <w:t>(</w:t>
      </w:r>
      <w:r w:rsidR="003B6074">
        <w:rPr>
          <w:rFonts w:hint="eastAsia"/>
          <w:szCs w:val="21"/>
        </w:rPr>
        <w:t>出所：当地報道など</w:t>
      </w:r>
      <w:r w:rsidR="003B6074">
        <w:rPr>
          <w:rFonts w:hint="eastAsia"/>
          <w:szCs w:val="21"/>
        </w:rPr>
        <w:t>)</w:t>
      </w:r>
    </w:p>
    <w:p w:rsidR="00F1600E" w:rsidRPr="005A0113" w:rsidRDefault="00F1600E" w:rsidP="007B5481">
      <w:pPr>
        <w:rPr>
          <w:sz w:val="20"/>
          <w:szCs w:val="20"/>
        </w:rPr>
      </w:pPr>
      <w:r w:rsidRPr="005A0113">
        <w:rPr>
          <w:rFonts w:hint="eastAsia"/>
          <w:sz w:val="20"/>
          <w:szCs w:val="20"/>
        </w:rPr>
        <w:t>(</w:t>
      </w:r>
      <w:r w:rsidRPr="005A0113">
        <w:rPr>
          <w:rFonts w:hint="eastAsia"/>
          <w:sz w:val="20"/>
          <w:szCs w:val="20"/>
        </w:rPr>
        <w:t>１</w:t>
      </w:r>
      <w:r w:rsidRPr="005A0113">
        <w:rPr>
          <w:rFonts w:hint="eastAsia"/>
          <w:sz w:val="20"/>
          <w:szCs w:val="20"/>
        </w:rPr>
        <w:t>)</w:t>
      </w:r>
      <w:r w:rsidRPr="005A0113">
        <w:rPr>
          <w:rFonts w:hint="eastAsia"/>
          <w:sz w:val="20"/>
          <w:szCs w:val="20"/>
        </w:rPr>
        <w:t>国内経済</w:t>
      </w:r>
    </w:p>
    <w:p w:rsidR="00F1600E" w:rsidRPr="00201969" w:rsidRDefault="00F1600E" w:rsidP="007B5481">
      <w:pPr>
        <w:rPr>
          <w:sz w:val="20"/>
          <w:szCs w:val="20"/>
        </w:rPr>
      </w:pPr>
      <w:r w:rsidRPr="00201969">
        <w:rPr>
          <w:rFonts w:hint="eastAsia"/>
          <w:sz w:val="20"/>
          <w:szCs w:val="20"/>
        </w:rPr>
        <w:t>ア　財政</w:t>
      </w:r>
    </w:p>
    <w:p w:rsidR="00624C72" w:rsidRPr="00201969" w:rsidRDefault="004C5600" w:rsidP="00624C72">
      <w:pPr>
        <w:rPr>
          <w:sz w:val="20"/>
          <w:szCs w:val="20"/>
          <w:u w:val="single"/>
        </w:rPr>
      </w:pPr>
      <w:r w:rsidRPr="00201969">
        <w:rPr>
          <w:rFonts w:hint="eastAsia"/>
          <w:sz w:val="20"/>
          <w:szCs w:val="20"/>
          <w:u w:val="single"/>
        </w:rPr>
        <w:t>●コスタリカは</w:t>
      </w:r>
      <w:r w:rsidRPr="00201969">
        <w:rPr>
          <w:rFonts w:hint="eastAsia"/>
          <w:sz w:val="20"/>
          <w:szCs w:val="20"/>
          <w:u w:val="single"/>
        </w:rPr>
        <w:t>6,990</w:t>
      </w:r>
      <w:r w:rsidRPr="00201969">
        <w:rPr>
          <w:rFonts w:hint="eastAsia"/>
          <w:sz w:val="20"/>
          <w:szCs w:val="20"/>
          <w:u w:val="single"/>
        </w:rPr>
        <w:t>億コロンの負債を抱えている</w:t>
      </w:r>
      <w:r w:rsidRPr="00201969">
        <w:rPr>
          <w:rFonts w:hint="eastAsia"/>
          <w:sz w:val="20"/>
          <w:szCs w:val="20"/>
          <w:u w:val="single"/>
        </w:rPr>
        <w:t>(7</w:t>
      </w:r>
      <w:r w:rsidR="00CD4C85" w:rsidRPr="00201969">
        <w:rPr>
          <w:rFonts w:hint="eastAsia"/>
          <w:sz w:val="20"/>
          <w:szCs w:val="20"/>
          <w:u w:val="single"/>
        </w:rPr>
        <w:t>/</w:t>
      </w:r>
      <w:r w:rsidRPr="00201969">
        <w:rPr>
          <w:rFonts w:hint="eastAsia"/>
          <w:sz w:val="20"/>
          <w:szCs w:val="20"/>
          <w:u w:val="single"/>
        </w:rPr>
        <w:t>23)</w:t>
      </w:r>
    </w:p>
    <w:p w:rsidR="00624C72" w:rsidRPr="00201969" w:rsidRDefault="003B6074" w:rsidP="00624C72">
      <w:pPr>
        <w:rPr>
          <w:sz w:val="20"/>
          <w:szCs w:val="20"/>
        </w:rPr>
      </w:pPr>
      <w:r>
        <w:rPr>
          <w:rFonts w:hint="eastAsia"/>
          <w:sz w:val="20"/>
          <w:szCs w:val="20"/>
        </w:rPr>
        <w:t>本年上半期の</w:t>
      </w:r>
      <w:r w:rsidR="00624C72" w:rsidRPr="00201969">
        <w:rPr>
          <w:rFonts w:hint="eastAsia"/>
          <w:sz w:val="20"/>
          <w:szCs w:val="20"/>
        </w:rPr>
        <w:t>国の財政赤字額</w:t>
      </w:r>
      <w:r w:rsidR="00996986" w:rsidRPr="00201969">
        <w:rPr>
          <w:rFonts w:hint="eastAsia"/>
          <w:sz w:val="20"/>
          <w:szCs w:val="20"/>
        </w:rPr>
        <w:t>は</w:t>
      </w:r>
      <w:r w:rsidR="00624C72" w:rsidRPr="00201969">
        <w:rPr>
          <w:rFonts w:hint="eastAsia"/>
          <w:sz w:val="20"/>
          <w:szCs w:val="20"/>
        </w:rPr>
        <w:t>6,999</w:t>
      </w:r>
      <w:r w:rsidR="00996986" w:rsidRPr="00201969">
        <w:rPr>
          <w:rFonts w:hint="eastAsia"/>
          <w:sz w:val="20"/>
          <w:szCs w:val="20"/>
        </w:rPr>
        <w:t>億コロンとなった</w:t>
      </w:r>
      <w:r w:rsidR="00624C72" w:rsidRPr="00201969">
        <w:rPr>
          <w:rFonts w:hint="eastAsia"/>
          <w:sz w:val="20"/>
          <w:szCs w:val="20"/>
        </w:rPr>
        <w:t>。</w:t>
      </w:r>
      <w:r w:rsidR="00DA09C8" w:rsidRPr="00201969">
        <w:rPr>
          <w:rFonts w:hint="eastAsia"/>
          <w:sz w:val="20"/>
          <w:szCs w:val="20"/>
        </w:rPr>
        <w:t>これは対</w:t>
      </w:r>
      <w:r w:rsidR="00DA09C8" w:rsidRPr="00201969">
        <w:rPr>
          <w:rFonts w:hint="eastAsia"/>
          <w:sz w:val="20"/>
          <w:szCs w:val="20"/>
        </w:rPr>
        <w:t>GDP</w:t>
      </w:r>
      <w:r w:rsidR="00DA09C8" w:rsidRPr="00201969">
        <w:rPr>
          <w:rFonts w:hint="eastAsia"/>
          <w:sz w:val="20"/>
          <w:szCs w:val="20"/>
        </w:rPr>
        <w:t>比</w:t>
      </w:r>
      <w:r w:rsidR="00624C72" w:rsidRPr="00201969">
        <w:rPr>
          <w:rFonts w:hint="eastAsia"/>
          <w:sz w:val="20"/>
          <w:szCs w:val="20"/>
        </w:rPr>
        <w:t>約</w:t>
      </w:r>
      <w:r w:rsidR="00624C72" w:rsidRPr="00201969">
        <w:rPr>
          <w:rFonts w:hint="eastAsia"/>
          <w:sz w:val="20"/>
          <w:szCs w:val="20"/>
        </w:rPr>
        <w:t>2.6</w:t>
      </w:r>
      <w:r w:rsidR="00624C72" w:rsidRPr="00201969">
        <w:rPr>
          <w:rFonts w:hint="eastAsia"/>
          <w:sz w:val="20"/>
          <w:szCs w:val="20"/>
        </w:rPr>
        <w:t>％に相当</w:t>
      </w:r>
      <w:r w:rsidR="00DA09C8" w:rsidRPr="00201969">
        <w:rPr>
          <w:rFonts w:hint="eastAsia"/>
          <w:sz w:val="20"/>
          <w:szCs w:val="20"/>
        </w:rPr>
        <w:t>し、</w:t>
      </w:r>
      <w:r w:rsidR="00624C72" w:rsidRPr="00201969">
        <w:rPr>
          <w:rFonts w:hint="eastAsia"/>
          <w:sz w:val="20"/>
          <w:szCs w:val="20"/>
        </w:rPr>
        <w:t>基礎的財政収支</w:t>
      </w:r>
      <w:r w:rsidR="00DA09C8" w:rsidRPr="00201969">
        <w:rPr>
          <w:rFonts w:hint="eastAsia"/>
          <w:sz w:val="20"/>
          <w:szCs w:val="20"/>
        </w:rPr>
        <w:t>(</w:t>
      </w:r>
      <w:r w:rsidR="00DA09C8" w:rsidRPr="00201969">
        <w:rPr>
          <w:rFonts w:hint="eastAsia"/>
          <w:sz w:val="20"/>
          <w:szCs w:val="20"/>
        </w:rPr>
        <w:t>プライマリーバランス</w:t>
      </w:r>
      <w:r w:rsidR="00DA09C8" w:rsidRPr="00201969">
        <w:rPr>
          <w:rFonts w:hint="eastAsia"/>
          <w:sz w:val="20"/>
          <w:szCs w:val="20"/>
        </w:rPr>
        <w:t>)</w:t>
      </w:r>
      <w:r w:rsidR="008944A1">
        <w:rPr>
          <w:rFonts w:hint="eastAsia"/>
          <w:sz w:val="20"/>
          <w:szCs w:val="20"/>
        </w:rPr>
        <w:t>の赤字額は同じく対</w:t>
      </w:r>
      <w:r w:rsidR="008944A1">
        <w:rPr>
          <w:rFonts w:hint="eastAsia"/>
          <w:sz w:val="20"/>
          <w:szCs w:val="20"/>
        </w:rPr>
        <w:t>GDP</w:t>
      </w:r>
      <w:r w:rsidR="00586D97" w:rsidRPr="00201969">
        <w:rPr>
          <w:rFonts w:hint="eastAsia"/>
          <w:sz w:val="20"/>
          <w:szCs w:val="20"/>
        </w:rPr>
        <w:t>比</w:t>
      </w:r>
      <w:r w:rsidR="00DA09C8" w:rsidRPr="00201969">
        <w:rPr>
          <w:rFonts w:hint="eastAsia"/>
          <w:sz w:val="20"/>
          <w:szCs w:val="20"/>
        </w:rPr>
        <w:t>約</w:t>
      </w:r>
      <w:r w:rsidR="00624C72" w:rsidRPr="00201969">
        <w:rPr>
          <w:rFonts w:hint="eastAsia"/>
          <w:sz w:val="20"/>
          <w:szCs w:val="20"/>
        </w:rPr>
        <w:t>1.1</w:t>
      </w:r>
      <w:r w:rsidR="00624C72" w:rsidRPr="00201969">
        <w:rPr>
          <w:rFonts w:hint="eastAsia"/>
          <w:sz w:val="20"/>
          <w:szCs w:val="20"/>
        </w:rPr>
        <w:t>％に相当</w:t>
      </w:r>
      <w:r w:rsidR="00DA09C8" w:rsidRPr="00201969">
        <w:rPr>
          <w:rFonts w:hint="eastAsia"/>
          <w:sz w:val="20"/>
          <w:szCs w:val="20"/>
        </w:rPr>
        <w:t>する</w:t>
      </w:r>
      <w:r w:rsidR="00624C72" w:rsidRPr="00201969">
        <w:rPr>
          <w:rFonts w:hint="eastAsia"/>
          <w:sz w:val="20"/>
          <w:szCs w:val="20"/>
        </w:rPr>
        <w:t>。</w:t>
      </w:r>
      <w:r w:rsidR="00586D97" w:rsidRPr="00201969">
        <w:rPr>
          <w:rFonts w:hint="eastAsia"/>
          <w:sz w:val="20"/>
          <w:szCs w:val="20"/>
        </w:rPr>
        <w:t>ファジャス財務大臣は財政状況</w:t>
      </w:r>
      <w:r w:rsidR="00F77CF6" w:rsidRPr="00201969">
        <w:rPr>
          <w:rFonts w:hint="eastAsia"/>
          <w:sz w:val="20"/>
          <w:szCs w:val="20"/>
        </w:rPr>
        <w:t>悪化の要因として、経常移転への支出増加、</w:t>
      </w:r>
      <w:r w:rsidR="00624C72" w:rsidRPr="00201969">
        <w:rPr>
          <w:rFonts w:hint="eastAsia"/>
          <w:sz w:val="20"/>
          <w:szCs w:val="20"/>
        </w:rPr>
        <w:t>法人税などの税収減</w:t>
      </w:r>
      <w:r w:rsidR="00F77CF6" w:rsidRPr="00201969">
        <w:rPr>
          <w:rFonts w:hint="eastAsia"/>
          <w:sz w:val="20"/>
          <w:szCs w:val="20"/>
        </w:rPr>
        <w:t>をあげている。</w:t>
      </w:r>
      <w:r w:rsidR="00624C72" w:rsidRPr="00201969">
        <w:rPr>
          <w:rFonts w:hint="eastAsia"/>
          <w:sz w:val="20"/>
          <w:szCs w:val="20"/>
        </w:rPr>
        <w:t>しかし、年末にはこれまで</w:t>
      </w:r>
      <w:r w:rsidR="00F77CF6" w:rsidRPr="00201969">
        <w:rPr>
          <w:rFonts w:hint="eastAsia"/>
          <w:sz w:val="20"/>
          <w:szCs w:val="20"/>
        </w:rPr>
        <w:t>実施してきた</w:t>
      </w:r>
      <w:r w:rsidR="00624C72" w:rsidRPr="00201969">
        <w:rPr>
          <w:rFonts w:hint="eastAsia"/>
          <w:sz w:val="20"/>
          <w:szCs w:val="20"/>
        </w:rPr>
        <w:t>税収増加や支出減</w:t>
      </w:r>
      <w:r w:rsidR="00F77CF6" w:rsidRPr="00201969">
        <w:rPr>
          <w:rFonts w:hint="eastAsia"/>
          <w:sz w:val="20"/>
          <w:szCs w:val="20"/>
        </w:rPr>
        <w:t>策が効果を</w:t>
      </w:r>
      <w:r w:rsidR="00624C72" w:rsidRPr="00201969">
        <w:rPr>
          <w:rFonts w:hint="eastAsia"/>
          <w:sz w:val="20"/>
          <w:szCs w:val="20"/>
        </w:rPr>
        <w:t>現</w:t>
      </w:r>
      <w:r w:rsidR="00F77CF6" w:rsidRPr="00201969">
        <w:rPr>
          <w:rFonts w:hint="eastAsia"/>
          <w:sz w:val="20"/>
          <w:szCs w:val="20"/>
        </w:rPr>
        <w:t>すだろうとの見解も示した</w:t>
      </w:r>
      <w:r w:rsidR="00624C72" w:rsidRPr="00201969">
        <w:rPr>
          <w:rFonts w:hint="eastAsia"/>
          <w:sz w:val="20"/>
          <w:szCs w:val="20"/>
        </w:rPr>
        <w:t>。</w:t>
      </w:r>
      <w:r w:rsidR="00F77CF6" w:rsidRPr="00201969">
        <w:rPr>
          <w:rFonts w:hint="eastAsia"/>
          <w:sz w:val="20"/>
          <w:szCs w:val="20"/>
        </w:rPr>
        <w:t>これに対し</w:t>
      </w:r>
      <w:r w:rsidR="00DA09C8" w:rsidRPr="00201969">
        <w:rPr>
          <w:rFonts w:hint="eastAsia"/>
          <w:sz w:val="20"/>
          <w:szCs w:val="20"/>
        </w:rPr>
        <w:t>経済専門家</w:t>
      </w:r>
      <w:r w:rsidR="00F77CF6" w:rsidRPr="00201969">
        <w:rPr>
          <w:rFonts w:hint="eastAsia"/>
          <w:sz w:val="20"/>
          <w:szCs w:val="20"/>
        </w:rPr>
        <w:t>からは、</w:t>
      </w:r>
      <w:r w:rsidR="00DA09C8" w:rsidRPr="00201969">
        <w:rPr>
          <w:rFonts w:hint="eastAsia"/>
          <w:sz w:val="20"/>
          <w:szCs w:val="20"/>
        </w:rPr>
        <w:t>財政状況改善策は不十分</w:t>
      </w:r>
      <w:r w:rsidR="00624C72" w:rsidRPr="00201969">
        <w:rPr>
          <w:rFonts w:hint="eastAsia"/>
          <w:sz w:val="20"/>
          <w:szCs w:val="20"/>
        </w:rPr>
        <w:t>で</w:t>
      </w:r>
      <w:r w:rsidR="00DA09C8" w:rsidRPr="00201969">
        <w:rPr>
          <w:rFonts w:hint="eastAsia"/>
          <w:sz w:val="20"/>
          <w:szCs w:val="20"/>
        </w:rPr>
        <w:t>あるため、</w:t>
      </w:r>
      <w:r>
        <w:rPr>
          <w:rFonts w:hint="eastAsia"/>
          <w:sz w:val="20"/>
          <w:szCs w:val="20"/>
        </w:rPr>
        <w:t>財務</w:t>
      </w:r>
      <w:r w:rsidR="00624C72" w:rsidRPr="00201969">
        <w:rPr>
          <w:rFonts w:hint="eastAsia"/>
          <w:sz w:val="20"/>
          <w:szCs w:val="20"/>
        </w:rPr>
        <w:t>大臣が期待するほど早い時期に効果は出ない</w:t>
      </w:r>
      <w:r w:rsidR="00F77CF6" w:rsidRPr="00201969">
        <w:rPr>
          <w:rFonts w:hint="eastAsia"/>
          <w:sz w:val="20"/>
          <w:szCs w:val="20"/>
        </w:rPr>
        <w:t>との声も上がっている</w:t>
      </w:r>
      <w:r w:rsidR="00624C72" w:rsidRPr="00201969">
        <w:rPr>
          <w:rFonts w:hint="eastAsia"/>
          <w:sz w:val="20"/>
          <w:szCs w:val="20"/>
        </w:rPr>
        <w:t>。</w:t>
      </w:r>
    </w:p>
    <w:p w:rsidR="00624C72" w:rsidRPr="00201969" w:rsidRDefault="00624C72" w:rsidP="007B5481">
      <w:pPr>
        <w:rPr>
          <w:sz w:val="20"/>
          <w:szCs w:val="20"/>
        </w:rPr>
      </w:pPr>
    </w:p>
    <w:p w:rsidR="00474F71" w:rsidRPr="00201969" w:rsidRDefault="00474F71" w:rsidP="00474F71">
      <w:pPr>
        <w:rPr>
          <w:sz w:val="20"/>
          <w:szCs w:val="20"/>
        </w:rPr>
      </w:pPr>
      <w:r w:rsidRPr="00201969">
        <w:rPr>
          <w:rFonts w:hint="eastAsia"/>
          <w:sz w:val="20"/>
          <w:szCs w:val="20"/>
        </w:rPr>
        <w:t>イ　為替</w:t>
      </w:r>
    </w:p>
    <w:p w:rsidR="00474F71" w:rsidRPr="00201969" w:rsidRDefault="00474F71" w:rsidP="00474F71">
      <w:pPr>
        <w:rPr>
          <w:sz w:val="20"/>
          <w:szCs w:val="20"/>
          <w:u w:val="single"/>
        </w:rPr>
      </w:pPr>
      <w:r w:rsidRPr="00201969">
        <w:rPr>
          <w:rFonts w:hint="eastAsia"/>
          <w:sz w:val="20"/>
          <w:szCs w:val="20"/>
          <w:u w:val="single"/>
        </w:rPr>
        <w:t>●政権、為替の自由変動推進へ</w:t>
      </w:r>
      <w:r w:rsidRPr="00201969">
        <w:rPr>
          <w:rFonts w:hint="eastAsia"/>
          <w:sz w:val="20"/>
          <w:szCs w:val="20"/>
          <w:u w:val="single"/>
        </w:rPr>
        <w:t>(7/11)</w:t>
      </w:r>
    </w:p>
    <w:p w:rsidR="00474F71" w:rsidRPr="00201969" w:rsidRDefault="003B6074" w:rsidP="00474F71">
      <w:pPr>
        <w:rPr>
          <w:sz w:val="20"/>
          <w:szCs w:val="20"/>
        </w:rPr>
      </w:pPr>
      <w:r>
        <w:rPr>
          <w:rFonts w:hint="eastAsia"/>
          <w:sz w:val="20"/>
          <w:szCs w:val="20"/>
        </w:rPr>
        <w:t>カストロ中銀総裁は為替の自由変動制移行</w:t>
      </w:r>
      <w:r w:rsidR="00474F71" w:rsidRPr="00201969">
        <w:rPr>
          <w:rFonts w:hint="eastAsia"/>
          <w:sz w:val="20"/>
          <w:szCs w:val="20"/>
        </w:rPr>
        <w:t>について早い段階で結論を出したいとした。元々</w:t>
      </w:r>
      <w:r w:rsidR="00D32729">
        <w:rPr>
          <w:rFonts w:hint="eastAsia"/>
          <w:sz w:val="20"/>
          <w:szCs w:val="20"/>
        </w:rPr>
        <w:t>一時的な措置として想定されていた</w:t>
      </w:r>
      <w:r w:rsidR="00474F71" w:rsidRPr="00201969">
        <w:rPr>
          <w:rFonts w:hint="eastAsia"/>
          <w:sz w:val="20"/>
          <w:szCs w:val="20"/>
        </w:rPr>
        <w:t>クローリング・バンド制は</w:t>
      </w:r>
      <w:r w:rsidR="00D32729">
        <w:rPr>
          <w:rFonts w:hint="eastAsia"/>
          <w:sz w:val="20"/>
          <w:szCs w:val="20"/>
        </w:rPr>
        <w:t>、これまで</w:t>
      </w:r>
      <w:r w:rsidR="00474F71" w:rsidRPr="00201969">
        <w:rPr>
          <w:rFonts w:hint="eastAsia"/>
          <w:sz w:val="20"/>
          <w:szCs w:val="20"/>
        </w:rPr>
        <w:t>8</w:t>
      </w:r>
      <w:r w:rsidR="00474F71" w:rsidRPr="00201969">
        <w:rPr>
          <w:rFonts w:hint="eastAsia"/>
          <w:sz w:val="20"/>
          <w:szCs w:val="20"/>
        </w:rPr>
        <w:t>年間用いられてきた。</w:t>
      </w:r>
      <w:r w:rsidR="00D32729">
        <w:rPr>
          <w:rFonts w:hint="eastAsia"/>
          <w:sz w:val="20"/>
          <w:szCs w:val="20"/>
        </w:rPr>
        <w:t>自由変動制への移行は</w:t>
      </w:r>
      <w:r w:rsidR="00474F71" w:rsidRPr="00201969">
        <w:rPr>
          <w:rFonts w:hint="eastAsia"/>
          <w:sz w:val="20"/>
          <w:szCs w:val="20"/>
        </w:rPr>
        <w:t>政権発足時と方針が違うのではないかという問いに対し</w:t>
      </w:r>
      <w:r>
        <w:rPr>
          <w:rFonts w:hint="eastAsia"/>
          <w:sz w:val="20"/>
          <w:szCs w:val="20"/>
        </w:rPr>
        <w:t>、</w:t>
      </w:r>
      <w:r w:rsidR="00474F71" w:rsidRPr="00201969">
        <w:rPr>
          <w:rFonts w:hint="eastAsia"/>
          <w:sz w:val="20"/>
          <w:szCs w:val="20"/>
        </w:rPr>
        <w:t>同総裁は、「当時は為替変動が激しかったために、統制色が強かった。しかし現在は、銀行以外の公的機関の外貨需要を調整するなどの中銀の努力もあり、安定を見せているため、撤廃の条件がそろってきている。」と述べた。</w:t>
      </w:r>
    </w:p>
    <w:p w:rsidR="00474F71" w:rsidRPr="00201969" w:rsidRDefault="00474F71" w:rsidP="005A0113">
      <w:pPr>
        <w:ind w:left="100" w:hangingChars="50" w:hanging="100"/>
        <w:rPr>
          <w:sz w:val="20"/>
          <w:szCs w:val="20"/>
        </w:rPr>
      </w:pPr>
    </w:p>
    <w:p w:rsidR="0004216A" w:rsidRPr="00201969" w:rsidRDefault="0004216A" w:rsidP="0004216A">
      <w:pPr>
        <w:rPr>
          <w:sz w:val="20"/>
          <w:szCs w:val="20"/>
          <w:u w:val="single"/>
        </w:rPr>
      </w:pPr>
      <w:r w:rsidRPr="00201969">
        <w:rPr>
          <w:rFonts w:hint="eastAsia"/>
          <w:sz w:val="20"/>
          <w:szCs w:val="20"/>
          <w:u w:val="single"/>
        </w:rPr>
        <w:t>●</w:t>
      </w:r>
      <w:r w:rsidRPr="00201969">
        <w:rPr>
          <w:rFonts w:hint="eastAsia"/>
          <w:sz w:val="20"/>
          <w:szCs w:val="20"/>
          <w:u w:val="single"/>
        </w:rPr>
        <w:t>2014</w:t>
      </w:r>
      <w:r w:rsidRPr="00201969">
        <w:rPr>
          <w:rFonts w:hint="eastAsia"/>
          <w:sz w:val="20"/>
          <w:szCs w:val="20"/>
          <w:u w:val="single"/>
        </w:rPr>
        <w:t>－</w:t>
      </w:r>
      <w:r w:rsidRPr="00201969">
        <w:rPr>
          <w:rFonts w:hint="eastAsia"/>
          <w:sz w:val="20"/>
          <w:szCs w:val="20"/>
          <w:u w:val="single"/>
        </w:rPr>
        <w:t>2015</w:t>
      </w:r>
      <w:r w:rsidRPr="00201969">
        <w:rPr>
          <w:rFonts w:hint="eastAsia"/>
          <w:sz w:val="20"/>
          <w:szCs w:val="20"/>
          <w:u w:val="single"/>
        </w:rPr>
        <w:t>マクロ経済プログラム修正報告書の発表</w:t>
      </w:r>
      <w:r w:rsidRPr="00201969">
        <w:rPr>
          <w:rFonts w:hint="eastAsia"/>
          <w:sz w:val="20"/>
          <w:szCs w:val="20"/>
          <w:u w:val="single"/>
        </w:rPr>
        <w:t>(8/1)</w:t>
      </w:r>
    </w:p>
    <w:p w:rsidR="0004216A" w:rsidRPr="00201969" w:rsidRDefault="0004216A" w:rsidP="0004216A">
      <w:pPr>
        <w:ind w:firstLineChars="100" w:firstLine="200"/>
        <w:rPr>
          <w:sz w:val="20"/>
          <w:szCs w:val="20"/>
        </w:rPr>
      </w:pPr>
      <w:r w:rsidRPr="00201969">
        <w:rPr>
          <w:rFonts w:hint="eastAsia"/>
          <w:sz w:val="20"/>
          <w:szCs w:val="20"/>
        </w:rPr>
        <w:t>コスタリカ中央銀行は</w:t>
      </w:r>
      <w:r w:rsidRPr="00201969">
        <w:rPr>
          <w:rFonts w:hint="eastAsia"/>
          <w:sz w:val="20"/>
          <w:szCs w:val="20"/>
        </w:rPr>
        <w:t>7</w:t>
      </w:r>
      <w:r w:rsidRPr="00201969">
        <w:rPr>
          <w:rFonts w:hint="eastAsia"/>
          <w:sz w:val="20"/>
          <w:szCs w:val="20"/>
        </w:rPr>
        <w:t>月</w:t>
      </w:r>
      <w:r w:rsidRPr="00201969">
        <w:rPr>
          <w:rFonts w:hint="eastAsia"/>
          <w:sz w:val="20"/>
          <w:szCs w:val="20"/>
        </w:rPr>
        <w:t>31</w:t>
      </w:r>
      <w:r w:rsidRPr="00201969">
        <w:rPr>
          <w:rFonts w:hint="eastAsia"/>
          <w:sz w:val="20"/>
          <w:szCs w:val="20"/>
        </w:rPr>
        <w:t>日に</w:t>
      </w:r>
      <w:r w:rsidRPr="00201969">
        <w:rPr>
          <w:rFonts w:hint="eastAsia"/>
          <w:sz w:val="20"/>
          <w:szCs w:val="20"/>
        </w:rPr>
        <w:t>2014</w:t>
      </w:r>
      <w:r w:rsidRPr="00201969">
        <w:rPr>
          <w:rFonts w:hint="eastAsia"/>
          <w:sz w:val="20"/>
          <w:szCs w:val="20"/>
        </w:rPr>
        <w:t>－</w:t>
      </w:r>
      <w:r w:rsidRPr="00201969">
        <w:rPr>
          <w:rFonts w:hint="eastAsia"/>
          <w:sz w:val="20"/>
          <w:szCs w:val="20"/>
        </w:rPr>
        <w:t>2015</w:t>
      </w:r>
      <w:r w:rsidRPr="00201969">
        <w:rPr>
          <w:rFonts w:hint="eastAsia"/>
          <w:sz w:val="20"/>
          <w:szCs w:val="20"/>
        </w:rPr>
        <w:t>マクロ経済プログラム修正報告書を発表し、年始以降のインテル社の生産部門撤退、公共投資の伸び悩みなどに伴う経済の低迷から、今年</w:t>
      </w:r>
      <w:r w:rsidRPr="00201969">
        <w:rPr>
          <w:rFonts w:hint="eastAsia"/>
          <w:sz w:val="20"/>
          <w:szCs w:val="20"/>
        </w:rPr>
        <w:t>1</w:t>
      </w:r>
      <w:r w:rsidRPr="00201969">
        <w:rPr>
          <w:rFonts w:hint="eastAsia"/>
          <w:sz w:val="20"/>
          <w:szCs w:val="20"/>
        </w:rPr>
        <w:t>月に目標に掲げた</w:t>
      </w:r>
      <w:r w:rsidRPr="00201969">
        <w:rPr>
          <w:rFonts w:hint="eastAsia"/>
          <w:sz w:val="20"/>
          <w:szCs w:val="20"/>
        </w:rPr>
        <w:t>2014</w:t>
      </w:r>
      <w:r w:rsidRPr="00201969">
        <w:rPr>
          <w:rFonts w:hint="eastAsia"/>
          <w:sz w:val="20"/>
          <w:szCs w:val="20"/>
        </w:rPr>
        <w:t>年の</w:t>
      </w:r>
      <w:r w:rsidRPr="00201969">
        <w:rPr>
          <w:rFonts w:hint="eastAsia"/>
          <w:sz w:val="20"/>
          <w:szCs w:val="20"/>
        </w:rPr>
        <w:t>GDP</w:t>
      </w:r>
      <w:r w:rsidRPr="00201969">
        <w:rPr>
          <w:rFonts w:hint="eastAsia"/>
          <w:sz w:val="20"/>
          <w:szCs w:val="20"/>
        </w:rPr>
        <w:t>年間成長率</w:t>
      </w:r>
      <w:r w:rsidRPr="00201969">
        <w:rPr>
          <w:rFonts w:hint="eastAsia"/>
          <w:sz w:val="20"/>
          <w:szCs w:val="20"/>
        </w:rPr>
        <w:t>3.8</w:t>
      </w:r>
      <w:r w:rsidRPr="00201969">
        <w:rPr>
          <w:rFonts w:hint="eastAsia"/>
          <w:sz w:val="20"/>
          <w:szCs w:val="20"/>
        </w:rPr>
        <w:t>％から</w:t>
      </w:r>
      <w:r w:rsidRPr="00201969">
        <w:rPr>
          <w:rFonts w:hint="eastAsia"/>
          <w:sz w:val="20"/>
          <w:szCs w:val="20"/>
        </w:rPr>
        <w:t>3.6</w:t>
      </w:r>
      <w:r w:rsidRPr="00201969">
        <w:rPr>
          <w:rFonts w:hint="eastAsia"/>
          <w:sz w:val="20"/>
          <w:szCs w:val="20"/>
        </w:rPr>
        <w:t>％に、また</w:t>
      </w:r>
      <w:r w:rsidRPr="00201969">
        <w:rPr>
          <w:rFonts w:hint="eastAsia"/>
          <w:sz w:val="20"/>
          <w:szCs w:val="20"/>
        </w:rPr>
        <w:t>2015</w:t>
      </w:r>
      <w:r w:rsidR="002D6F3F">
        <w:rPr>
          <w:rFonts w:hint="eastAsia"/>
          <w:sz w:val="20"/>
          <w:szCs w:val="20"/>
        </w:rPr>
        <w:t>年</w:t>
      </w:r>
      <w:r w:rsidRPr="00201969">
        <w:rPr>
          <w:rFonts w:hint="eastAsia"/>
          <w:sz w:val="20"/>
          <w:szCs w:val="20"/>
        </w:rPr>
        <w:t>に関しては</w:t>
      </w:r>
      <w:r w:rsidRPr="00201969">
        <w:rPr>
          <w:rFonts w:hint="eastAsia"/>
          <w:sz w:val="20"/>
          <w:szCs w:val="20"/>
        </w:rPr>
        <w:t>4.1</w:t>
      </w:r>
      <w:r w:rsidRPr="00201969">
        <w:rPr>
          <w:rFonts w:hint="eastAsia"/>
          <w:sz w:val="20"/>
          <w:szCs w:val="20"/>
        </w:rPr>
        <w:t>％から</w:t>
      </w:r>
      <w:r w:rsidRPr="00201969">
        <w:rPr>
          <w:rFonts w:hint="eastAsia"/>
          <w:sz w:val="20"/>
          <w:szCs w:val="20"/>
        </w:rPr>
        <w:t>3.4</w:t>
      </w:r>
      <w:r w:rsidRPr="00201969">
        <w:rPr>
          <w:rFonts w:hint="eastAsia"/>
          <w:sz w:val="20"/>
          <w:szCs w:val="20"/>
        </w:rPr>
        <w:t>％へ下方修正した。インフレ・ターゲットに関しては、年始以降のドル高に伴う物価上昇が落ち着きを見せてきたことから、現状の</w:t>
      </w:r>
      <w:r w:rsidRPr="00201969">
        <w:rPr>
          <w:rFonts w:hint="eastAsia"/>
          <w:sz w:val="20"/>
          <w:szCs w:val="20"/>
        </w:rPr>
        <w:t>3</w:t>
      </w:r>
      <w:r w:rsidRPr="00201969">
        <w:rPr>
          <w:rFonts w:hint="eastAsia"/>
          <w:sz w:val="20"/>
          <w:szCs w:val="20"/>
        </w:rPr>
        <w:t>－</w:t>
      </w:r>
      <w:r w:rsidRPr="00201969">
        <w:rPr>
          <w:rFonts w:hint="eastAsia"/>
          <w:sz w:val="20"/>
          <w:szCs w:val="20"/>
        </w:rPr>
        <w:t>5</w:t>
      </w:r>
      <w:r w:rsidRPr="00201969">
        <w:rPr>
          <w:rFonts w:hint="eastAsia"/>
          <w:sz w:val="20"/>
          <w:szCs w:val="20"/>
        </w:rPr>
        <w:t>％の目標値を維持する方針が示された。カストロ総裁は、本年の下半期には目標値を超える可能性がある</w:t>
      </w:r>
      <w:r w:rsidR="002D6F3F">
        <w:rPr>
          <w:rFonts w:hint="eastAsia"/>
          <w:sz w:val="20"/>
          <w:szCs w:val="20"/>
        </w:rPr>
        <w:t>としつつも</w:t>
      </w:r>
      <w:r w:rsidRPr="00201969">
        <w:rPr>
          <w:rFonts w:hint="eastAsia"/>
          <w:sz w:val="20"/>
          <w:szCs w:val="20"/>
        </w:rPr>
        <w:t>、それは時間の経過と共に収束し</w:t>
      </w:r>
      <w:r w:rsidR="002D6F3F">
        <w:rPr>
          <w:rFonts w:hint="eastAsia"/>
          <w:sz w:val="20"/>
          <w:szCs w:val="20"/>
        </w:rPr>
        <w:t>、目標値内に収まるとの見方を示した。為替制度に関しては、現在のクローリング・バンド制を早期には</w:t>
      </w:r>
      <w:r w:rsidRPr="00201969">
        <w:rPr>
          <w:rFonts w:hint="eastAsia"/>
          <w:sz w:val="20"/>
          <w:szCs w:val="20"/>
        </w:rPr>
        <w:t>変更せず、また、今後為替変動の安定化のために</w:t>
      </w:r>
      <w:r w:rsidRPr="00201969">
        <w:rPr>
          <w:rFonts w:hint="eastAsia"/>
          <w:sz w:val="20"/>
          <w:szCs w:val="20"/>
        </w:rPr>
        <w:t>2014</w:t>
      </w:r>
      <w:r w:rsidRPr="00201969">
        <w:rPr>
          <w:rFonts w:hint="eastAsia"/>
          <w:sz w:val="20"/>
          <w:szCs w:val="20"/>
        </w:rPr>
        <w:t>年</w:t>
      </w:r>
      <w:r w:rsidRPr="00201969">
        <w:rPr>
          <w:rFonts w:hint="eastAsia"/>
          <w:sz w:val="20"/>
          <w:szCs w:val="20"/>
        </w:rPr>
        <w:t>8</w:t>
      </w:r>
      <w:r w:rsidRPr="00201969">
        <w:rPr>
          <w:rFonts w:hint="eastAsia"/>
          <w:sz w:val="20"/>
          <w:szCs w:val="20"/>
        </w:rPr>
        <w:t>月から</w:t>
      </w:r>
      <w:r w:rsidRPr="00201969">
        <w:rPr>
          <w:rFonts w:hint="eastAsia"/>
          <w:sz w:val="20"/>
          <w:szCs w:val="20"/>
        </w:rPr>
        <w:t>2015</w:t>
      </w:r>
      <w:r w:rsidRPr="00201969">
        <w:rPr>
          <w:rFonts w:hint="eastAsia"/>
          <w:sz w:val="20"/>
          <w:szCs w:val="20"/>
        </w:rPr>
        <w:t>年</w:t>
      </w:r>
      <w:r w:rsidRPr="00201969">
        <w:rPr>
          <w:rFonts w:hint="eastAsia"/>
          <w:sz w:val="20"/>
          <w:szCs w:val="20"/>
        </w:rPr>
        <w:t>12</w:t>
      </w:r>
      <w:r w:rsidRPr="00201969">
        <w:rPr>
          <w:rFonts w:hint="eastAsia"/>
          <w:sz w:val="20"/>
          <w:szCs w:val="20"/>
        </w:rPr>
        <w:t>月にかけて最大</w:t>
      </w:r>
      <w:r w:rsidRPr="00201969">
        <w:rPr>
          <w:rFonts w:hint="eastAsia"/>
          <w:sz w:val="20"/>
          <w:szCs w:val="20"/>
        </w:rPr>
        <w:t>2</w:t>
      </w:r>
      <w:r w:rsidRPr="00201969">
        <w:rPr>
          <w:rFonts w:hint="eastAsia"/>
          <w:sz w:val="20"/>
          <w:szCs w:val="20"/>
        </w:rPr>
        <w:t>億</w:t>
      </w:r>
      <w:r w:rsidRPr="00201969">
        <w:rPr>
          <w:rFonts w:hint="eastAsia"/>
          <w:sz w:val="20"/>
          <w:szCs w:val="20"/>
        </w:rPr>
        <w:t>5</w:t>
      </w:r>
      <w:r w:rsidRPr="00201969">
        <w:rPr>
          <w:rFonts w:hint="eastAsia"/>
          <w:sz w:val="20"/>
          <w:szCs w:val="20"/>
        </w:rPr>
        <w:t>千万ドル規模の外貨確保を実施することが発表された。</w:t>
      </w:r>
    </w:p>
    <w:p w:rsidR="00474F71" w:rsidRPr="00201969" w:rsidRDefault="00474F71" w:rsidP="00474F71">
      <w:pPr>
        <w:rPr>
          <w:sz w:val="20"/>
          <w:szCs w:val="20"/>
        </w:rPr>
      </w:pPr>
    </w:p>
    <w:p w:rsidR="00474F71" w:rsidRPr="00201969" w:rsidRDefault="00474F71" w:rsidP="00474F71">
      <w:pPr>
        <w:rPr>
          <w:sz w:val="20"/>
          <w:szCs w:val="20"/>
        </w:rPr>
      </w:pPr>
      <w:r w:rsidRPr="00201969">
        <w:rPr>
          <w:rFonts w:hint="eastAsia"/>
          <w:sz w:val="20"/>
          <w:szCs w:val="20"/>
        </w:rPr>
        <w:t>ウ　その他</w:t>
      </w:r>
    </w:p>
    <w:p w:rsidR="003803BA" w:rsidRPr="00201969" w:rsidRDefault="003803BA" w:rsidP="003803BA">
      <w:pPr>
        <w:rPr>
          <w:sz w:val="20"/>
          <w:szCs w:val="20"/>
          <w:u w:val="single"/>
        </w:rPr>
      </w:pPr>
      <w:r w:rsidRPr="00201969">
        <w:rPr>
          <w:rFonts w:hint="eastAsia"/>
          <w:sz w:val="20"/>
          <w:szCs w:val="20"/>
          <w:u w:val="single"/>
        </w:rPr>
        <w:t>●入国管理局　外国人雇用者の合法化手続き</w:t>
      </w:r>
      <w:r w:rsidR="0088587F" w:rsidRPr="00201969">
        <w:rPr>
          <w:rFonts w:hint="eastAsia"/>
          <w:sz w:val="20"/>
          <w:szCs w:val="20"/>
          <w:u w:val="single"/>
        </w:rPr>
        <w:t>の</w:t>
      </w:r>
      <w:r w:rsidRPr="00201969">
        <w:rPr>
          <w:rFonts w:hint="eastAsia"/>
          <w:sz w:val="20"/>
          <w:szCs w:val="20"/>
          <w:u w:val="single"/>
        </w:rPr>
        <w:t>申請が山積</w:t>
      </w:r>
      <w:r w:rsidRPr="00201969">
        <w:rPr>
          <w:rFonts w:hint="eastAsia"/>
          <w:sz w:val="20"/>
          <w:szCs w:val="20"/>
          <w:u w:val="single"/>
        </w:rPr>
        <w:t>(8</w:t>
      </w:r>
      <w:r w:rsidR="00CD4C85" w:rsidRPr="00201969">
        <w:rPr>
          <w:rFonts w:hint="eastAsia"/>
          <w:sz w:val="20"/>
          <w:szCs w:val="20"/>
          <w:u w:val="single"/>
        </w:rPr>
        <w:t>/</w:t>
      </w:r>
      <w:r w:rsidRPr="00201969">
        <w:rPr>
          <w:rFonts w:hint="eastAsia"/>
          <w:sz w:val="20"/>
          <w:szCs w:val="20"/>
          <w:u w:val="single"/>
        </w:rPr>
        <w:t>8)</w:t>
      </w:r>
    </w:p>
    <w:p w:rsidR="003803BA" w:rsidRPr="00201969" w:rsidRDefault="00A76034" w:rsidP="003803BA">
      <w:pPr>
        <w:rPr>
          <w:sz w:val="20"/>
          <w:szCs w:val="20"/>
        </w:rPr>
      </w:pPr>
      <w:r w:rsidRPr="00201969">
        <w:rPr>
          <w:rFonts w:hint="eastAsia"/>
          <w:sz w:val="20"/>
          <w:szCs w:val="20"/>
        </w:rPr>
        <w:t>8</w:t>
      </w:r>
      <w:r w:rsidRPr="00201969">
        <w:rPr>
          <w:rFonts w:hint="eastAsia"/>
          <w:sz w:val="20"/>
          <w:szCs w:val="20"/>
        </w:rPr>
        <w:t>月</w:t>
      </w:r>
      <w:r w:rsidRPr="00201969">
        <w:rPr>
          <w:rFonts w:hint="eastAsia"/>
          <w:sz w:val="20"/>
          <w:szCs w:val="20"/>
        </w:rPr>
        <w:t>1</w:t>
      </w:r>
      <w:r w:rsidRPr="00201969">
        <w:rPr>
          <w:rFonts w:hint="eastAsia"/>
          <w:sz w:val="20"/>
          <w:szCs w:val="20"/>
        </w:rPr>
        <w:t>日時点で不法外国人労働者を雇用している雇用主への罰金制度が適用されて以降、</w:t>
      </w:r>
      <w:r w:rsidR="003803BA" w:rsidRPr="00201969">
        <w:rPr>
          <w:rFonts w:hint="eastAsia"/>
          <w:sz w:val="20"/>
          <w:szCs w:val="20"/>
        </w:rPr>
        <w:t>入国管理局に毎日</w:t>
      </w:r>
      <w:r w:rsidR="002D6F3F">
        <w:rPr>
          <w:rFonts w:hint="eastAsia"/>
          <w:sz w:val="20"/>
          <w:szCs w:val="20"/>
        </w:rPr>
        <w:t>130</w:t>
      </w:r>
      <w:r w:rsidR="003803BA" w:rsidRPr="00201969">
        <w:rPr>
          <w:rFonts w:hint="eastAsia"/>
          <w:sz w:val="20"/>
          <w:szCs w:val="20"/>
        </w:rPr>
        <w:t>0</w:t>
      </w:r>
      <w:r w:rsidR="003803BA" w:rsidRPr="00201969">
        <w:rPr>
          <w:rFonts w:hint="eastAsia"/>
          <w:sz w:val="20"/>
          <w:szCs w:val="20"/>
        </w:rPr>
        <w:t>件近く申請</w:t>
      </w:r>
      <w:r w:rsidRPr="00201969">
        <w:rPr>
          <w:rFonts w:hint="eastAsia"/>
          <w:sz w:val="20"/>
          <w:szCs w:val="20"/>
        </w:rPr>
        <w:t>が出されている</w:t>
      </w:r>
      <w:r w:rsidR="003803BA" w:rsidRPr="00201969">
        <w:rPr>
          <w:rFonts w:hint="eastAsia"/>
          <w:sz w:val="20"/>
          <w:szCs w:val="20"/>
        </w:rPr>
        <w:t>。</w:t>
      </w:r>
      <w:r w:rsidRPr="00201969">
        <w:rPr>
          <w:rFonts w:hint="eastAsia"/>
          <w:sz w:val="20"/>
          <w:szCs w:val="20"/>
        </w:rPr>
        <w:t>その</w:t>
      </w:r>
      <w:r w:rsidR="003803BA" w:rsidRPr="00201969">
        <w:rPr>
          <w:rFonts w:hint="eastAsia"/>
          <w:sz w:val="20"/>
          <w:szCs w:val="20"/>
        </w:rPr>
        <w:t>うち当局が処理できるのは</w:t>
      </w:r>
      <w:r w:rsidR="003803BA" w:rsidRPr="00201969">
        <w:rPr>
          <w:rFonts w:hint="eastAsia"/>
          <w:sz w:val="20"/>
          <w:szCs w:val="20"/>
        </w:rPr>
        <w:t>1</w:t>
      </w:r>
      <w:r w:rsidR="003803BA" w:rsidRPr="00201969">
        <w:rPr>
          <w:rFonts w:hint="eastAsia"/>
          <w:sz w:val="20"/>
          <w:szCs w:val="20"/>
        </w:rPr>
        <w:t>日</w:t>
      </w:r>
      <w:r w:rsidR="003803BA" w:rsidRPr="00201969">
        <w:rPr>
          <w:rFonts w:hint="eastAsia"/>
          <w:sz w:val="20"/>
          <w:szCs w:val="20"/>
        </w:rPr>
        <w:t>120</w:t>
      </w:r>
      <w:r w:rsidR="003803BA" w:rsidRPr="00201969">
        <w:rPr>
          <w:rFonts w:hint="eastAsia"/>
          <w:sz w:val="20"/>
          <w:szCs w:val="20"/>
        </w:rPr>
        <w:t>件ほど</w:t>
      </w:r>
      <w:r w:rsidRPr="00201969">
        <w:rPr>
          <w:rFonts w:hint="eastAsia"/>
          <w:sz w:val="20"/>
          <w:szCs w:val="20"/>
        </w:rPr>
        <w:t>となっているため、</w:t>
      </w:r>
      <w:r w:rsidR="003803BA" w:rsidRPr="00201969">
        <w:rPr>
          <w:rFonts w:hint="eastAsia"/>
          <w:sz w:val="20"/>
          <w:szCs w:val="20"/>
        </w:rPr>
        <w:t>場合によっては</w:t>
      </w:r>
      <w:r w:rsidRPr="00201969">
        <w:rPr>
          <w:rFonts w:hint="eastAsia"/>
          <w:sz w:val="20"/>
          <w:szCs w:val="20"/>
        </w:rPr>
        <w:t>手続きに</w:t>
      </w:r>
      <w:r w:rsidR="003803BA" w:rsidRPr="00201969">
        <w:rPr>
          <w:rFonts w:hint="eastAsia"/>
          <w:sz w:val="20"/>
          <w:szCs w:val="20"/>
        </w:rPr>
        <w:t>9</w:t>
      </w:r>
      <w:r w:rsidR="003803BA" w:rsidRPr="00201969">
        <w:rPr>
          <w:rFonts w:hint="eastAsia"/>
          <w:sz w:val="20"/>
          <w:szCs w:val="20"/>
        </w:rPr>
        <w:t>－</w:t>
      </w:r>
      <w:r w:rsidR="003803BA" w:rsidRPr="00201969">
        <w:rPr>
          <w:rFonts w:hint="eastAsia"/>
          <w:sz w:val="20"/>
          <w:szCs w:val="20"/>
        </w:rPr>
        <w:t>12</w:t>
      </w:r>
      <w:r w:rsidR="003803BA" w:rsidRPr="00201969">
        <w:rPr>
          <w:rFonts w:hint="eastAsia"/>
          <w:sz w:val="20"/>
          <w:szCs w:val="20"/>
        </w:rPr>
        <w:t>ヶ月</w:t>
      </w:r>
      <w:r w:rsidRPr="00201969">
        <w:rPr>
          <w:rFonts w:hint="eastAsia"/>
          <w:sz w:val="20"/>
          <w:szCs w:val="20"/>
        </w:rPr>
        <w:t>ほど</w:t>
      </w:r>
      <w:r w:rsidR="003803BA" w:rsidRPr="00201969">
        <w:rPr>
          <w:rFonts w:hint="eastAsia"/>
          <w:sz w:val="20"/>
          <w:szCs w:val="20"/>
        </w:rPr>
        <w:t>かかる場合</w:t>
      </w:r>
      <w:r w:rsidRPr="00201969">
        <w:rPr>
          <w:rFonts w:hint="eastAsia"/>
          <w:sz w:val="20"/>
          <w:szCs w:val="20"/>
        </w:rPr>
        <w:t>も想定されている</w:t>
      </w:r>
      <w:r w:rsidR="00BB3EEC" w:rsidRPr="00201969">
        <w:rPr>
          <w:rFonts w:hint="eastAsia"/>
          <w:sz w:val="20"/>
          <w:szCs w:val="20"/>
        </w:rPr>
        <w:t>。</w:t>
      </w:r>
      <w:r w:rsidR="002D6F3F">
        <w:rPr>
          <w:rFonts w:hint="eastAsia"/>
          <w:sz w:val="20"/>
          <w:szCs w:val="20"/>
        </w:rPr>
        <w:t>最高</w:t>
      </w:r>
      <w:r w:rsidR="002D6F3F">
        <w:rPr>
          <w:rFonts w:hint="eastAsia"/>
          <w:sz w:val="20"/>
          <w:szCs w:val="20"/>
        </w:rPr>
        <w:lastRenderedPageBreak/>
        <w:t>裁</w:t>
      </w:r>
      <w:r w:rsidR="00BB3EEC" w:rsidRPr="00201969">
        <w:rPr>
          <w:rFonts w:hint="eastAsia"/>
          <w:sz w:val="20"/>
          <w:szCs w:val="20"/>
        </w:rPr>
        <w:t>第</w:t>
      </w:r>
      <w:r w:rsidR="00BB3EEC" w:rsidRPr="00201969">
        <w:rPr>
          <w:rFonts w:hint="eastAsia"/>
          <w:sz w:val="20"/>
          <w:szCs w:val="20"/>
        </w:rPr>
        <w:t>4</w:t>
      </w:r>
      <w:r w:rsidR="003803BA" w:rsidRPr="00201969">
        <w:rPr>
          <w:rFonts w:hint="eastAsia"/>
          <w:sz w:val="20"/>
          <w:szCs w:val="20"/>
        </w:rPr>
        <w:t>法廷で</w:t>
      </w:r>
      <w:r w:rsidR="004D6E14">
        <w:rPr>
          <w:rFonts w:hint="eastAsia"/>
          <w:sz w:val="20"/>
          <w:szCs w:val="20"/>
        </w:rPr>
        <w:t>は、</w:t>
      </w:r>
      <w:r w:rsidR="003803BA" w:rsidRPr="00201969">
        <w:rPr>
          <w:rFonts w:hint="eastAsia"/>
          <w:sz w:val="20"/>
          <w:szCs w:val="20"/>
        </w:rPr>
        <w:t>全ての申請を受け付けなくてはならないという判断が降りているため、</w:t>
      </w:r>
      <w:r w:rsidR="003803BA" w:rsidRPr="00201969">
        <w:rPr>
          <w:rFonts w:hint="eastAsia"/>
          <w:sz w:val="20"/>
          <w:szCs w:val="20"/>
        </w:rPr>
        <w:t>1</w:t>
      </w:r>
      <w:r w:rsidR="003803BA" w:rsidRPr="00201969">
        <w:rPr>
          <w:rFonts w:hint="eastAsia"/>
          <w:sz w:val="20"/>
          <w:szCs w:val="20"/>
        </w:rPr>
        <w:t>日に受け付ける件数を制限できない。</w:t>
      </w:r>
      <w:r w:rsidR="002D6F3F">
        <w:rPr>
          <w:rFonts w:hint="eastAsia"/>
          <w:sz w:val="20"/>
          <w:szCs w:val="20"/>
        </w:rPr>
        <w:t>申請が審査中であれば、罰金が課されることがないため、</w:t>
      </w:r>
      <w:r w:rsidR="003803BA" w:rsidRPr="00201969">
        <w:rPr>
          <w:rFonts w:hint="eastAsia"/>
          <w:sz w:val="20"/>
          <w:szCs w:val="20"/>
        </w:rPr>
        <w:t>受付だけ</w:t>
      </w:r>
      <w:r w:rsidR="002D6F3F">
        <w:rPr>
          <w:rFonts w:hint="eastAsia"/>
          <w:sz w:val="20"/>
          <w:szCs w:val="20"/>
        </w:rPr>
        <w:t>でも済ませようと不完全な書類を</w:t>
      </w:r>
      <w:r w:rsidR="003803BA" w:rsidRPr="00201969">
        <w:rPr>
          <w:rFonts w:hint="eastAsia"/>
          <w:sz w:val="20"/>
          <w:szCs w:val="20"/>
        </w:rPr>
        <w:t>提出するケースが</w:t>
      </w:r>
      <w:r w:rsidR="003803BA" w:rsidRPr="00201969">
        <w:rPr>
          <w:rFonts w:hint="eastAsia"/>
          <w:sz w:val="20"/>
          <w:szCs w:val="20"/>
        </w:rPr>
        <w:t>10</w:t>
      </w:r>
      <w:r w:rsidR="003803BA" w:rsidRPr="00201969">
        <w:rPr>
          <w:rFonts w:hint="eastAsia"/>
          <w:sz w:val="20"/>
          <w:szCs w:val="20"/>
        </w:rPr>
        <w:t>％近くある。雇用主からは手続きにかかる時間と、それに伴い生じうる経費に懸念を示す声が上がっている</w:t>
      </w:r>
      <w:r w:rsidR="003803BA" w:rsidRPr="00201969">
        <w:rPr>
          <w:rFonts w:hint="eastAsia"/>
          <w:sz w:val="20"/>
          <w:szCs w:val="20"/>
        </w:rPr>
        <w:t>(8</w:t>
      </w:r>
      <w:r w:rsidR="003803BA" w:rsidRPr="00201969">
        <w:rPr>
          <w:rFonts w:hint="eastAsia"/>
          <w:sz w:val="20"/>
          <w:szCs w:val="20"/>
        </w:rPr>
        <w:t>月</w:t>
      </w:r>
      <w:r w:rsidR="003803BA" w:rsidRPr="00201969">
        <w:rPr>
          <w:rFonts w:hint="eastAsia"/>
          <w:sz w:val="20"/>
          <w:szCs w:val="20"/>
        </w:rPr>
        <w:t>1</w:t>
      </w:r>
      <w:r w:rsidR="003803BA" w:rsidRPr="00201969">
        <w:rPr>
          <w:rFonts w:hint="eastAsia"/>
          <w:sz w:val="20"/>
          <w:szCs w:val="20"/>
        </w:rPr>
        <w:t>日以降、不法外国人労働者猶予措置が終了。あらゆる不法滞在者に一ヶ月超過ごとに</w:t>
      </w:r>
      <w:r w:rsidR="003803BA" w:rsidRPr="00201969">
        <w:rPr>
          <w:rFonts w:hint="eastAsia"/>
          <w:sz w:val="20"/>
          <w:szCs w:val="20"/>
        </w:rPr>
        <w:t>100</w:t>
      </w:r>
      <w:r w:rsidR="003803BA" w:rsidRPr="00201969">
        <w:rPr>
          <w:rFonts w:hint="eastAsia"/>
          <w:sz w:val="20"/>
          <w:szCs w:val="20"/>
        </w:rPr>
        <w:t>ドルの罰金</w:t>
      </w:r>
      <w:r w:rsidR="003803BA" w:rsidRPr="00201969">
        <w:rPr>
          <w:rFonts w:hint="eastAsia"/>
          <w:sz w:val="20"/>
          <w:szCs w:val="20"/>
        </w:rPr>
        <w:t>)</w:t>
      </w:r>
      <w:r w:rsidR="0088587F" w:rsidRPr="00201969">
        <w:rPr>
          <w:rFonts w:hint="eastAsia"/>
          <w:sz w:val="20"/>
          <w:szCs w:val="20"/>
        </w:rPr>
        <w:t>。雇用主は今から</w:t>
      </w:r>
      <w:r w:rsidR="0088587F" w:rsidRPr="00201969">
        <w:rPr>
          <w:rFonts w:hint="eastAsia"/>
          <w:sz w:val="20"/>
          <w:szCs w:val="20"/>
        </w:rPr>
        <w:t>2015</w:t>
      </w:r>
      <w:r w:rsidR="0088587F" w:rsidRPr="00201969">
        <w:rPr>
          <w:rFonts w:hint="eastAsia"/>
          <w:sz w:val="20"/>
          <w:szCs w:val="20"/>
        </w:rPr>
        <w:t>年</w:t>
      </w:r>
      <w:r w:rsidR="0088587F" w:rsidRPr="00201969">
        <w:rPr>
          <w:rFonts w:hint="eastAsia"/>
          <w:sz w:val="20"/>
          <w:szCs w:val="20"/>
        </w:rPr>
        <w:t>1</w:t>
      </w:r>
      <w:r w:rsidR="0088587F" w:rsidRPr="00201969">
        <w:rPr>
          <w:rFonts w:hint="eastAsia"/>
          <w:sz w:val="20"/>
          <w:szCs w:val="20"/>
        </w:rPr>
        <w:t>月</w:t>
      </w:r>
      <w:r w:rsidR="0088587F" w:rsidRPr="00201969">
        <w:rPr>
          <w:rFonts w:hint="eastAsia"/>
          <w:sz w:val="20"/>
          <w:szCs w:val="20"/>
        </w:rPr>
        <w:t>31</w:t>
      </w:r>
      <w:r w:rsidR="002D6F3F">
        <w:rPr>
          <w:rFonts w:hint="eastAsia"/>
          <w:sz w:val="20"/>
          <w:szCs w:val="20"/>
        </w:rPr>
        <w:t>日までに、不法労働者を</w:t>
      </w:r>
      <w:r w:rsidR="0088587F" w:rsidRPr="00201969">
        <w:rPr>
          <w:rFonts w:hint="eastAsia"/>
          <w:sz w:val="20"/>
          <w:szCs w:val="20"/>
        </w:rPr>
        <w:t>特別登録し、その後さらに</w:t>
      </w:r>
      <w:r w:rsidR="0088587F" w:rsidRPr="00201969">
        <w:rPr>
          <w:rFonts w:hint="eastAsia"/>
          <w:sz w:val="20"/>
          <w:szCs w:val="20"/>
        </w:rPr>
        <w:t>1</w:t>
      </w:r>
      <w:r w:rsidR="0088587F" w:rsidRPr="00201969">
        <w:rPr>
          <w:rFonts w:hint="eastAsia"/>
          <w:sz w:val="20"/>
          <w:szCs w:val="20"/>
        </w:rPr>
        <w:t>年をかけて完全合法化の手続きをする予定。合法化の対象は、移住者としての一定の身分と、有効</w:t>
      </w:r>
      <w:r w:rsidR="002D6F3F">
        <w:rPr>
          <w:rFonts w:hint="eastAsia"/>
          <w:sz w:val="20"/>
          <w:szCs w:val="20"/>
        </w:rPr>
        <w:t>な</w:t>
      </w:r>
      <w:r w:rsidR="0088587F" w:rsidRPr="00201969">
        <w:rPr>
          <w:rFonts w:hint="eastAsia"/>
          <w:sz w:val="20"/>
          <w:szCs w:val="20"/>
        </w:rPr>
        <w:t>パスポートを</w:t>
      </w:r>
      <w:r w:rsidR="002D6F3F">
        <w:rPr>
          <w:rFonts w:hint="eastAsia"/>
          <w:sz w:val="20"/>
          <w:szCs w:val="20"/>
        </w:rPr>
        <w:t>所持しているもの</w:t>
      </w:r>
      <w:r w:rsidR="0088587F" w:rsidRPr="00201969">
        <w:rPr>
          <w:rFonts w:hint="eastAsia"/>
          <w:sz w:val="20"/>
          <w:szCs w:val="20"/>
        </w:rPr>
        <w:t>のみとなっている。</w:t>
      </w:r>
    </w:p>
    <w:p w:rsidR="008464BC" w:rsidRPr="00201969" w:rsidRDefault="008464BC" w:rsidP="008464BC">
      <w:pPr>
        <w:rPr>
          <w:sz w:val="20"/>
          <w:szCs w:val="20"/>
          <w:bdr w:val="single" w:sz="4" w:space="0" w:color="auto"/>
        </w:rPr>
      </w:pPr>
    </w:p>
    <w:p w:rsidR="008464BC" w:rsidRPr="00201969" w:rsidRDefault="001E3DBA" w:rsidP="008464BC">
      <w:pPr>
        <w:rPr>
          <w:sz w:val="20"/>
          <w:szCs w:val="20"/>
          <w:u w:val="single"/>
        </w:rPr>
      </w:pPr>
      <w:r w:rsidRPr="00201969">
        <w:rPr>
          <w:rFonts w:hint="eastAsia"/>
          <w:sz w:val="20"/>
          <w:szCs w:val="20"/>
          <w:u w:val="single"/>
        </w:rPr>
        <w:t>●観光業界、課税と管轄省庁の変更に反対</w:t>
      </w:r>
      <w:r w:rsidRPr="00201969">
        <w:rPr>
          <w:rFonts w:hint="eastAsia"/>
          <w:sz w:val="20"/>
          <w:szCs w:val="20"/>
          <w:u w:val="single"/>
        </w:rPr>
        <w:t>(8</w:t>
      </w:r>
      <w:r w:rsidR="00CD4C85" w:rsidRPr="00201969">
        <w:rPr>
          <w:rFonts w:hint="eastAsia"/>
          <w:sz w:val="20"/>
          <w:szCs w:val="20"/>
          <w:u w:val="single"/>
        </w:rPr>
        <w:t>/</w:t>
      </w:r>
      <w:r w:rsidRPr="00201969">
        <w:rPr>
          <w:rFonts w:hint="eastAsia"/>
          <w:sz w:val="20"/>
          <w:szCs w:val="20"/>
          <w:u w:val="single"/>
        </w:rPr>
        <w:t>29)</w:t>
      </w:r>
    </w:p>
    <w:p w:rsidR="008464BC" w:rsidRPr="00201969" w:rsidRDefault="00F21C88" w:rsidP="008464BC">
      <w:pPr>
        <w:rPr>
          <w:sz w:val="20"/>
          <w:szCs w:val="20"/>
        </w:rPr>
      </w:pPr>
      <w:r w:rsidRPr="00201969">
        <w:rPr>
          <w:rFonts w:hint="eastAsia"/>
          <w:sz w:val="20"/>
          <w:szCs w:val="20"/>
        </w:rPr>
        <w:t>ソリス政権が観光分野を観光庁から、経済産業</w:t>
      </w:r>
      <w:r w:rsidR="008464BC" w:rsidRPr="00201969">
        <w:rPr>
          <w:rFonts w:hint="eastAsia"/>
          <w:sz w:val="20"/>
          <w:szCs w:val="20"/>
        </w:rPr>
        <w:t>通商省の管轄に変更する政令に署名したことが反発を呼んでいる。法的な扱いが変わることによる先行きの不透明さが不安を</w:t>
      </w:r>
      <w:r w:rsidR="004D6E14">
        <w:rPr>
          <w:rFonts w:hint="eastAsia"/>
          <w:sz w:val="20"/>
          <w:szCs w:val="20"/>
        </w:rPr>
        <w:t>増大させ</w:t>
      </w:r>
      <w:r w:rsidR="008464BC" w:rsidRPr="00201969">
        <w:rPr>
          <w:rFonts w:hint="eastAsia"/>
          <w:sz w:val="20"/>
          <w:szCs w:val="20"/>
        </w:rPr>
        <w:t>ている。同時に観光活動が娯楽活動の</w:t>
      </w:r>
      <w:r w:rsidR="008464BC" w:rsidRPr="00201969">
        <w:rPr>
          <w:rFonts w:hint="eastAsia"/>
          <w:sz w:val="20"/>
          <w:szCs w:val="20"/>
        </w:rPr>
        <w:t>1</w:t>
      </w:r>
      <w:r w:rsidR="008464BC" w:rsidRPr="00201969">
        <w:rPr>
          <w:rFonts w:hint="eastAsia"/>
          <w:sz w:val="20"/>
          <w:szCs w:val="20"/>
        </w:rPr>
        <w:t>つとされ</w:t>
      </w:r>
      <w:r w:rsidR="008464BC" w:rsidRPr="00201969">
        <w:rPr>
          <w:rFonts w:hint="eastAsia"/>
          <w:sz w:val="20"/>
          <w:szCs w:val="20"/>
        </w:rPr>
        <w:t>13</w:t>
      </w:r>
      <w:r w:rsidR="008464BC" w:rsidRPr="00201969">
        <w:rPr>
          <w:rFonts w:hint="eastAsia"/>
          <w:sz w:val="20"/>
          <w:szCs w:val="20"/>
        </w:rPr>
        <w:t>％の課税対象に</w:t>
      </w:r>
      <w:r w:rsidRPr="00201969">
        <w:rPr>
          <w:rFonts w:hint="eastAsia"/>
          <w:sz w:val="20"/>
          <w:szCs w:val="20"/>
        </w:rPr>
        <w:t>なる</w:t>
      </w:r>
      <w:r w:rsidR="004D6E14">
        <w:rPr>
          <w:rFonts w:hint="eastAsia"/>
          <w:sz w:val="20"/>
          <w:szCs w:val="20"/>
        </w:rPr>
        <w:t>。観光協会は政府関係者と話し合う</w:t>
      </w:r>
      <w:r w:rsidR="008464BC" w:rsidRPr="00201969">
        <w:rPr>
          <w:rFonts w:hint="eastAsia"/>
          <w:sz w:val="20"/>
          <w:szCs w:val="20"/>
        </w:rPr>
        <w:t>場を設ける予定</w:t>
      </w:r>
      <w:r w:rsidR="0088587F" w:rsidRPr="00201969">
        <w:rPr>
          <w:rFonts w:hint="eastAsia"/>
          <w:sz w:val="20"/>
          <w:szCs w:val="20"/>
        </w:rPr>
        <w:t>となっている</w:t>
      </w:r>
      <w:r w:rsidR="008464BC" w:rsidRPr="00201969">
        <w:rPr>
          <w:rFonts w:hint="eastAsia"/>
          <w:sz w:val="20"/>
          <w:szCs w:val="20"/>
        </w:rPr>
        <w:t>。</w:t>
      </w:r>
    </w:p>
    <w:p w:rsidR="0099658D" w:rsidRPr="00201969" w:rsidRDefault="0099658D" w:rsidP="00F1600E">
      <w:pPr>
        <w:rPr>
          <w:sz w:val="20"/>
          <w:szCs w:val="20"/>
        </w:rPr>
      </w:pPr>
    </w:p>
    <w:p w:rsidR="00581CEE" w:rsidRPr="00201969" w:rsidRDefault="000109D4" w:rsidP="00581CEE">
      <w:pPr>
        <w:rPr>
          <w:sz w:val="20"/>
          <w:szCs w:val="20"/>
          <w:u w:val="single"/>
        </w:rPr>
      </w:pPr>
      <w:r w:rsidRPr="00201969">
        <w:rPr>
          <w:rFonts w:hint="eastAsia"/>
          <w:sz w:val="20"/>
          <w:szCs w:val="20"/>
          <w:u w:val="single"/>
        </w:rPr>
        <w:t>●</w:t>
      </w:r>
      <w:r w:rsidR="00D16A03" w:rsidRPr="00201969">
        <w:rPr>
          <w:rFonts w:hint="eastAsia"/>
          <w:sz w:val="20"/>
          <w:szCs w:val="20"/>
          <w:u w:val="single"/>
        </w:rPr>
        <w:t>エル・ニーニョ</w:t>
      </w:r>
      <w:r w:rsidRPr="00201969">
        <w:rPr>
          <w:rFonts w:hint="eastAsia"/>
          <w:sz w:val="20"/>
          <w:szCs w:val="20"/>
          <w:u w:val="single"/>
        </w:rPr>
        <w:t>現象　農牧業に</w:t>
      </w:r>
      <w:r w:rsidRPr="00201969">
        <w:rPr>
          <w:rFonts w:hint="eastAsia"/>
          <w:sz w:val="20"/>
          <w:szCs w:val="20"/>
          <w:u w:val="single"/>
        </w:rPr>
        <w:t>105</w:t>
      </w:r>
      <w:r w:rsidRPr="00201969">
        <w:rPr>
          <w:rFonts w:hint="eastAsia"/>
          <w:sz w:val="20"/>
          <w:szCs w:val="20"/>
          <w:u w:val="single"/>
        </w:rPr>
        <w:t>億コロンの損害を与えている</w:t>
      </w:r>
      <w:r w:rsidR="00CD4C85" w:rsidRPr="00201969">
        <w:rPr>
          <w:rFonts w:hint="eastAsia"/>
          <w:sz w:val="20"/>
          <w:szCs w:val="20"/>
          <w:u w:val="single"/>
        </w:rPr>
        <w:t>(</w:t>
      </w:r>
      <w:r w:rsidR="00C03B4E" w:rsidRPr="00201969">
        <w:rPr>
          <w:rFonts w:hint="eastAsia"/>
          <w:sz w:val="20"/>
          <w:szCs w:val="20"/>
          <w:u w:val="single"/>
        </w:rPr>
        <w:t>7</w:t>
      </w:r>
      <w:r w:rsidR="00CD4C85" w:rsidRPr="00201969">
        <w:rPr>
          <w:rFonts w:hint="eastAsia"/>
          <w:sz w:val="20"/>
          <w:szCs w:val="20"/>
          <w:u w:val="single"/>
        </w:rPr>
        <w:t>/</w:t>
      </w:r>
      <w:r w:rsidR="00C03B4E" w:rsidRPr="00201969">
        <w:rPr>
          <w:rFonts w:hint="eastAsia"/>
          <w:sz w:val="20"/>
          <w:szCs w:val="20"/>
          <w:u w:val="single"/>
        </w:rPr>
        <w:t>23</w:t>
      </w:r>
      <w:r w:rsidR="00CD4C85" w:rsidRPr="00201969">
        <w:rPr>
          <w:rFonts w:hint="eastAsia"/>
          <w:sz w:val="20"/>
          <w:szCs w:val="20"/>
          <w:u w:val="single"/>
        </w:rPr>
        <w:t>)</w:t>
      </w:r>
    </w:p>
    <w:p w:rsidR="00581CEE" w:rsidRPr="00201969" w:rsidRDefault="00474F71" w:rsidP="00581CEE">
      <w:pPr>
        <w:rPr>
          <w:sz w:val="20"/>
          <w:szCs w:val="20"/>
        </w:rPr>
      </w:pPr>
      <w:r w:rsidRPr="00201969">
        <w:rPr>
          <w:rFonts w:hint="eastAsia"/>
          <w:sz w:val="20"/>
          <w:szCs w:val="20"/>
        </w:rPr>
        <w:t>農牧省の調べでは太平洋沿岸地域で、</w:t>
      </w:r>
      <w:r w:rsidR="00D16A03" w:rsidRPr="00201969">
        <w:rPr>
          <w:rFonts w:hint="eastAsia"/>
          <w:sz w:val="20"/>
          <w:szCs w:val="20"/>
        </w:rPr>
        <w:t>エル・ニーニョ</w:t>
      </w:r>
      <w:r w:rsidR="00581CEE" w:rsidRPr="00201969">
        <w:rPr>
          <w:rFonts w:hint="eastAsia"/>
          <w:sz w:val="20"/>
          <w:szCs w:val="20"/>
        </w:rPr>
        <w:t>現象による干ばつの影響で約</w:t>
      </w:r>
      <w:r w:rsidR="00581CEE" w:rsidRPr="00201969">
        <w:rPr>
          <w:rFonts w:hint="eastAsia"/>
          <w:sz w:val="20"/>
          <w:szCs w:val="20"/>
        </w:rPr>
        <w:t>105</w:t>
      </w:r>
      <w:r w:rsidR="00581CEE" w:rsidRPr="00201969">
        <w:rPr>
          <w:rFonts w:hint="eastAsia"/>
          <w:sz w:val="20"/>
          <w:szCs w:val="20"/>
        </w:rPr>
        <w:t>億コロンの損失が出ている。同地域北部では例年の約</w:t>
      </w:r>
      <w:r w:rsidR="00581CEE" w:rsidRPr="00201969">
        <w:rPr>
          <w:rFonts w:hint="eastAsia"/>
          <w:sz w:val="20"/>
          <w:szCs w:val="20"/>
        </w:rPr>
        <w:t>50</w:t>
      </w:r>
      <w:r w:rsidR="00581CEE" w:rsidRPr="00201969">
        <w:rPr>
          <w:rFonts w:hint="eastAsia"/>
          <w:sz w:val="20"/>
          <w:szCs w:val="20"/>
        </w:rPr>
        <w:t>％程度の</w:t>
      </w:r>
      <w:r w:rsidRPr="00201969">
        <w:rPr>
          <w:rFonts w:hint="eastAsia"/>
          <w:sz w:val="20"/>
          <w:szCs w:val="20"/>
        </w:rPr>
        <w:t>降雨量となっており、グアナ</w:t>
      </w:r>
      <w:r w:rsidR="00581CEE" w:rsidRPr="00201969">
        <w:rPr>
          <w:rFonts w:hint="eastAsia"/>
          <w:sz w:val="20"/>
          <w:szCs w:val="20"/>
        </w:rPr>
        <w:t>カステ</w:t>
      </w:r>
      <w:r w:rsidR="0076384F" w:rsidRPr="00201969">
        <w:rPr>
          <w:rFonts w:hint="eastAsia"/>
          <w:sz w:val="20"/>
          <w:szCs w:val="20"/>
        </w:rPr>
        <w:t>県</w:t>
      </w:r>
      <w:r w:rsidR="00581CEE" w:rsidRPr="00201969">
        <w:rPr>
          <w:rFonts w:hint="eastAsia"/>
          <w:sz w:val="20"/>
          <w:szCs w:val="20"/>
        </w:rPr>
        <w:t>では</w:t>
      </w:r>
      <w:r w:rsidR="00581CEE" w:rsidRPr="00201969">
        <w:rPr>
          <w:rFonts w:hint="eastAsia"/>
          <w:sz w:val="20"/>
          <w:szCs w:val="20"/>
        </w:rPr>
        <w:t>6</w:t>
      </w:r>
      <w:r w:rsidR="00581CEE" w:rsidRPr="00201969">
        <w:rPr>
          <w:rFonts w:hint="eastAsia"/>
          <w:sz w:val="20"/>
          <w:szCs w:val="20"/>
        </w:rPr>
        <w:t>月以来</w:t>
      </w:r>
      <w:r w:rsidR="00581CEE" w:rsidRPr="00201969">
        <w:rPr>
          <w:rFonts w:hint="eastAsia"/>
          <w:sz w:val="20"/>
          <w:szCs w:val="20"/>
        </w:rPr>
        <w:t>1</w:t>
      </w:r>
      <w:r w:rsidR="00581CEE" w:rsidRPr="00201969">
        <w:rPr>
          <w:rFonts w:hint="eastAsia"/>
          <w:sz w:val="20"/>
          <w:szCs w:val="20"/>
        </w:rPr>
        <w:t>平方メートル当たり</w:t>
      </w:r>
      <w:r w:rsidR="00581CEE" w:rsidRPr="00201969">
        <w:rPr>
          <w:rFonts w:hint="eastAsia"/>
          <w:sz w:val="20"/>
          <w:szCs w:val="20"/>
        </w:rPr>
        <w:t>2</w:t>
      </w:r>
      <w:r w:rsidR="00581CEE" w:rsidRPr="00201969">
        <w:rPr>
          <w:rFonts w:hint="eastAsia"/>
          <w:sz w:val="20"/>
          <w:szCs w:val="20"/>
        </w:rPr>
        <w:t>リットルの雨しか降っていない</w:t>
      </w:r>
      <w:r w:rsidR="00581CEE" w:rsidRPr="00201969">
        <w:rPr>
          <w:rFonts w:hint="eastAsia"/>
          <w:sz w:val="20"/>
          <w:szCs w:val="20"/>
        </w:rPr>
        <w:t>(</w:t>
      </w:r>
      <w:r w:rsidR="00581CEE" w:rsidRPr="00201969">
        <w:rPr>
          <w:rFonts w:hint="eastAsia"/>
          <w:sz w:val="20"/>
          <w:szCs w:val="20"/>
        </w:rPr>
        <w:t>通常は</w:t>
      </w:r>
      <w:r w:rsidR="00581CEE" w:rsidRPr="00201969">
        <w:rPr>
          <w:rFonts w:hint="eastAsia"/>
          <w:sz w:val="20"/>
          <w:szCs w:val="20"/>
        </w:rPr>
        <w:t>155</w:t>
      </w:r>
      <w:r w:rsidR="00581CEE" w:rsidRPr="00201969">
        <w:rPr>
          <w:rFonts w:hint="eastAsia"/>
          <w:sz w:val="20"/>
          <w:szCs w:val="20"/>
        </w:rPr>
        <w:t>リットル</w:t>
      </w:r>
      <w:r w:rsidR="00581CEE" w:rsidRPr="00201969">
        <w:rPr>
          <w:rFonts w:hint="eastAsia"/>
          <w:sz w:val="20"/>
          <w:szCs w:val="20"/>
        </w:rPr>
        <w:t>)</w:t>
      </w:r>
      <w:r w:rsidRPr="00201969">
        <w:rPr>
          <w:rFonts w:hint="eastAsia"/>
          <w:sz w:val="20"/>
          <w:szCs w:val="20"/>
        </w:rPr>
        <w:t>。損害額の内訳は、農業が約</w:t>
      </w:r>
      <w:r w:rsidR="00581CEE" w:rsidRPr="00201969">
        <w:rPr>
          <w:rFonts w:hint="eastAsia"/>
          <w:sz w:val="20"/>
          <w:szCs w:val="20"/>
        </w:rPr>
        <w:t>70</w:t>
      </w:r>
      <w:r w:rsidR="00581CEE" w:rsidRPr="00201969">
        <w:rPr>
          <w:rFonts w:hint="eastAsia"/>
          <w:sz w:val="20"/>
          <w:szCs w:val="20"/>
        </w:rPr>
        <w:t>億</w:t>
      </w:r>
      <w:r w:rsidRPr="00201969">
        <w:rPr>
          <w:rFonts w:hint="eastAsia"/>
          <w:sz w:val="20"/>
          <w:szCs w:val="20"/>
        </w:rPr>
        <w:t>コロン</w:t>
      </w:r>
      <w:r w:rsidR="00581CEE" w:rsidRPr="00201969">
        <w:rPr>
          <w:rFonts w:hint="eastAsia"/>
          <w:sz w:val="20"/>
          <w:szCs w:val="20"/>
        </w:rPr>
        <w:t>、牧畜業が</w:t>
      </w:r>
      <w:r w:rsidRPr="00201969">
        <w:rPr>
          <w:rFonts w:hint="eastAsia"/>
          <w:sz w:val="20"/>
          <w:szCs w:val="20"/>
        </w:rPr>
        <w:t>約</w:t>
      </w:r>
      <w:r w:rsidR="00581CEE" w:rsidRPr="00201969">
        <w:rPr>
          <w:rFonts w:hint="eastAsia"/>
          <w:sz w:val="20"/>
          <w:szCs w:val="20"/>
        </w:rPr>
        <w:t>35</w:t>
      </w:r>
      <w:r w:rsidR="00581CEE" w:rsidRPr="00201969">
        <w:rPr>
          <w:rFonts w:hint="eastAsia"/>
          <w:sz w:val="20"/>
          <w:szCs w:val="20"/>
        </w:rPr>
        <w:t>億コロン</w:t>
      </w:r>
      <w:r w:rsidRPr="00201969">
        <w:rPr>
          <w:rFonts w:hint="eastAsia"/>
          <w:sz w:val="20"/>
          <w:szCs w:val="20"/>
        </w:rPr>
        <w:t>とされている。生活用水の不足も</w:t>
      </w:r>
      <w:r w:rsidR="00581CEE" w:rsidRPr="00201969">
        <w:rPr>
          <w:rFonts w:hint="eastAsia"/>
          <w:sz w:val="20"/>
          <w:szCs w:val="20"/>
        </w:rPr>
        <w:t>深刻化しており、</w:t>
      </w:r>
      <w:r w:rsidRPr="00201969">
        <w:rPr>
          <w:rFonts w:hint="eastAsia"/>
          <w:sz w:val="20"/>
          <w:szCs w:val="20"/>
        </w:rPr>
        <w:t>上下水道公社</w:t>
      </w:r>
      <w:r w:rsidRPr="00201969">
        <w:rPr>
          <w:rFonts w:hint="eastAsia"/>
          <w:sz w:val="20"/>
          <w:szCs w:val="20"/>
        </w:rPr>
        <w:t>(</w:t>
      </w:r>
      <w:r w:rsidR="00581CEE" w:rsidRPr="00201969">
        <w:rPr>
          <w:rFonts w:hint="eastAsia"/>
          <w:sz w:val="20"/>
          <w:szCs w:val="20"/>
        </w:rPr>
        <w:t>AYA</w:t>
      </w:r>
      <w:r w:rsidRPr="00201969">
        <w:rPr>
          <w:rFonts w:hint="eastAsia"/>
          <w:sz w:val="20"/>
          <w:szCs w:val="20"/>
        </w:rPr>
        <w:t>)</w:t>
      </w:r>
      <w:r w:rsidR="00581CEE" w:rsidRPr="00201969">
        <w:rPr>
          <w:rFonts w:hint="eastAsia"/>
          <w:sz w:val="20"/>
          <w:szCs w:val="20"/>
        </w:rPr>
        <w:t>は</w:t>
      </w:r>
      <w:r w:rsidR="00CC625D" w:rsidRPr="00201969">
        <w:rPr>
          <w:rFonts w:hint="eastAsia"/>
          <w:sz w:val="20"/>
          <w:szCs w:val="20"/>
        </w:rPr>
        <w:t>事態の詳細を調査</w:t>
      </w:r>
      <w:r w:rsidR="00581CEE" w:rsidRPr="00201969">
        <w:rPr>
          <w:rFonts w:hint="eastAsia"/>
          <w:sz w:val="20"/>
          <w:szCs w:val="20"/>
        </w:rPr>
        <w:t>中。この事態を受け、国家緊急事態委員会</w:t>
      </w:r>
      <w:r w:rsidR="00CC625D" w:rsidRPr="00201969">
        <w:rPr>
          <w:rFonts w:hint="eastAsia"/>
          <w:sz w:val="20"/>
          <w:szCs w:val="20"/>
        </w:rPr>
        <w:t>(CNE</w:t>
      </w:r>
      <w:r w:rsidR="00581CEE" w:rsidRPr="00201969">
        <w:rPr>
          <w:rFonts w:hint="eastAsia"/>
          <w:sz w:val="20"/>
          <w:szCs w:val="20"/>
        </w:rPr>
        <w:t>)</w:t>
      </w:r>
      <w:r w:rsidR="00941304" w:rsidRPr="00201969">
        <w:rPr>
          <w:rFonts w:hint="eastAsia"/>
          <w:sz w:val="20"/>
          <w:szCs w:val="20"/>
        </w:rPr>
        <w:t>は太平洋岸北部と中部に</w:t>
      </w:r>
      <w:r w:rsidR="005D0D3F">
        <w:rPr>
          <w:rFonts w:hint="eastAsia"/>
          <w:sz w:val="20"/>
          <w:szCs w:val="20"/>
        </w:rPr>
        <w:t>水不足</w:t>
      </w:r>
      <w:r w:rsidR="00941304" w:rsidRPr="00201969">
        <w:rPr>
          <w:rFonts w:hint="eastAsia"/>
          <w:sz w:val="20"/>
          <w:szCs w:val="20"/>
        </w:rPr>
        <w:t>警報を出した。これにより</w:t>
      </w:r>
      <w:r w:rsidR="00CC625D" w:rsidRPr="00201969">
        <w:rPr>
          <w:rFonts w:hint="eastAsia"/>
          <w:sz w:val="20"/>
          <w:szCs w:val="20"/>
        </w:rPr>
        <w:t>、様々な機関の</w:t>
      </w:r>
      <w:r w:rsidR="00941304" w:rsidRPr="00201969">
        <w:rPr>
          <w:rFonts w:hint="eastAsia"/>
          <w:sz w:val="20"/>
          <w:szCs w:val="20"/>
        </w:rPr>
        <w:t>非常時用の資金</w:t>
      </w:r>
      <w:r w:rsidR="00581CEE" w:rsidRPr="00201969">
        <w:rPr>
          <w:rFonts w:hint="eastAsia"/>
          <w:sz w:val="20"/>
          <w:szCs w:val="20"/>
        </w:rPr>
        <w:t>利用</w:t>
      </w:r>
      <w:r w:rsidR="00941304" w:rsidRPr="00201969">
        <w:rPr>
          <w:rFonts w:hint="eastAsia"/>
          <w:sz w:val="20"/>
          <w:szCs w:val="20"/>
        </w:rPr>
        <w:t>が可能になり、</w:t>
      </w:r>
      <w:r w:rsidR="00581CEE" w:rsidRPr="00201969">
        <w:rPr>
          <w:rFonts w:hint="eastAsia"/>
          <w:sz w:val="20"/>
          <w:szCs w:val="20"/>
        </w:rPr>
        <w:t>農業支援や井戸の掘り下げなど</w:t>
      </w:r>
      <w:r w:rsidR="00941304" w:rsidRPr="00201969">
        <w:rPr>
          <w:rFonts w:hint="eastAsia"/>
          <w:sz w:val="20"/>
          <w:szCs w:val="20"/>
        </w:rPr>
        <w:t>が実施できる</w:t>
      </w:r>
      <w:r w:rsidR="00581CEE" w:rsidRPr="00201969">
        <w:rPr>
          <w:rFonts w:hint="eastAsia"/>
          <w:sz w:val="20"/>
          <w:szCs w:val="20"/>
        </w:rPr>
        <w:t>。</w:t>
      </w:r>
      <w:r w:rsidR="00941304" w:rsidRPr="00201969">
        <w:rPr>
          <w:rFonts w:hint="eastAsia"/>
          <w:sz w:val="20"/>
          <w:szCs w:val="20"/>
        </w:rPr>
        <w:t>今後の</w:t>
      </w:r>
      <w:r w:rsidR="00CC625D" w:rsidRPr="00201969">
        <w:rPr>
          <w:rFonts w:hint="eastAsia"/>
          <w:sz w:val="20"/>
          <w:szCs w:val="20"/>
        </w:rPr>
        <w:t>事態の動向</w:t>
      </w:r>
      <w:r w:rsidR="000D7DB6" w:rsidRPr="00201969">
        <w:rPr>
          <w:rFonts w:hint="eastAsia"/>
          <w:sz w:val="20"/>
          <w:szCs w:val="20"/>
        </w:rPr>
        <w:t>次第では、</w:t>
      </w:r>
      <w:r w:rsidR="005D0D3F">
        <w:rPr>
          <w:rFonts w:hint="eastAsia"/>
          <w:sz w:val="20"/>
          <w:szCs w:val="20"/>
        </w:rPr>
        <w:t>水不足に対する</w:t>
      </w:r>
      <w:r w:rsidR="000D7DB6" w:rsidRPr="00201969">
        <w:rPr>
          <w:rFonts w:hint="eastAsia"/>
          <w:sz w:val="20"/>
          <w:szCs w:val="20"/>
        </w:rPr>
        <w:t>非常事態宣言</w:t>
      </w:r>
      <w:r w:rsidR="00232C31">
        <w:rPr>
          <w:rFonts w:hint="eastAsia"/>
          <w:sz w:val="20"/>
          <w:szCs w:val="20"/>
        </w:rPr>
        <w:t>が出される可能性もあ</w:t>
      </w:r>
      <w:r w:rsidR="00581CEE" w:rsidRPr="00201969">
        <w:rPr>
          <w:rFonts w:hint="eastAsia"/>
          <w:sz w:val="20"/>
          <w:szCs w:val="20"/>
        </w:rPr>
        <w:t>る。</w:t>
      </w:r>
    </w:p>
    <w:p w:rsidR="0076484A" w:rsidRPr="00201969" w:rsidRDefault="0076484A" w:rsidP="0076484A">
      <w:pPr>
        <w:rPr>
          <w:sz w:val="20"/>
          <w:szCs w:val="20"/>
        </w:rPr>
      </w:pPr>
    </w:p>
    <w:p w:rsidR="001679B7" w:rsidRPr="00201969" w:rsidRDefault="001679B7" w:rsidP="0076484A">
      <w:pPr>
        <w:rPr>
          <w:sz w:val="20"/>
          <w:szCs w:val="20"/>
          <w:lang w:val="es-ES"/>
        </w:rPr>
      </w:pPr>
      <w:r w:rsidRPr="00201969">
        <w:rPr>
          <w:rFonts w:hint="eastAsia"/>
          <w:sz w:val="20"/>
          <w:szCs w:val="20"/>
          <w:lang w:val="es-ES"/>
        </w:rPr>
        <w:t>(</w:t>
      </w:r>
      <w:r w:rsidRPr="00201969">
        <w:rPr>
          <w:rFonts w:hint="eastAsia"/>
          <w:sz w:val="20"/>
          <w:szCs w:val="20"/>
          <w:lang w:val="es-ES"/>
        </w:rPr>
        <w:t>２</w:t>
      </w:r>
      <w:r w:rsidRPr="00201969">
        <w:rPr>
          <w:rFonts w:hint="eastAsia"/>
          <w:sz w:val="20"/>
          <w:szCs w:val="20"/>
          <w:lang w:val="es-ES"/>
        </w:rPr>
        <w:t>)</w:t>
      </w:r>
      <w:r w:rsidRPr="00201969">
        <w:rPr>
          <w:rFonts w:hint="eastAsia"/>
          <w:sz w:val="20"/>
          <w:szCs w:val="20"/>
          <w:lang w:val="es-ES"/>
        </w:rPr>
        <w:t>対外経済</w:t>
      </w:r>
    </w:p>
    <w:p w:rsidR="000E4CBC" w:rsidRPr="00201969" w:rsidRDefault="000E4CBC" w:rsidP="0076484A">
      <w:pPr>
        <w:rPr>
          <w:sz w:val="20"/>
          <w:szCs w:val="20"/>
          <w:lang w:val="es-ES"/>
        </w:rPr>
      </w:pPr>
      <w:r w:rsidRPr="00201969">
        <w:rPr>
          <w:rFonts w:hint="eastAsia"/>
          <w:sz w:val="20"/>
          <w:szCs w:val="20"/>
          <w:lang w:val="es-ES"/>
        </w:rPr>
        <w:t>ア　自由貿易協定・貿易</w:t>
      </w:r>
    </w:p>
    <w:p w:rsidR="0048473C" w:rsidRPr="00201969" w:rsidRDefault="006D7400" w:rsidP="0076484A">
      <w:pPr>
        <w:rPr>
          <w:sz w:val="20"/>
          <w:szCs w:val="20"/>
          <w:u w:val="single"/>
        </w:rPr>
      </w:pPr>
      <w:r w:rsidRPr="00201969">
        <w:rPr>
          <w:rFonts w:hint="eastAsia"/>
          <w:sz w:val="20"/>
          <w:szCs w:val="20"/>
          <w:u w:val="single"/>
        </w:rPr>
        <w:t>●コスタリカ及びパナマとＥＦＴＡ</w:t>
      </w:r>
      <w:r w:rsidR="00011117" w:rsidRPr="00201969">
        <w:rPr>
          <w:rFonts w:hint="eastAsia"/>
          <w:sz w:val="20"/>
          <w:szCs w:val="20"/>
          <w:u w:val="single"/>
        </w:rPr>
        <w:t>(</w:t>
      </w:r>
      <w:r w:rsidR="00011117" w:rsidRPr="00201969">
        <w:rPr>
          <w:rFonts w:hint="eastAsia"/>
          <w:sz w:val="20"/>
          <w:szCs w:val="20"/>
          <w:u w:val="single"/>
        </w:rPr>
        <w:t>欧州自由貿易連合</w:t>
      </w:r>
      <w:r w:rsidR="00011117" w:rsidRPr="00201969">
        <w:rPr>
          <w:rFonts w:hint="eastAsia"/>
          <w:sz w:val="20"/>
          <w:szCs w:val="20"/>
          <w:u w:val="single"/>
        </w:rPr>
        <w:t>)</w:t>
      </w:r>
      <w:r w:rsidRPr="00201969">
        <w:rPr>
          <w:rFonts w:hint="eastAsia"/>
          <w:sz w:val="20"/>
          <w:szCs w:val="20"/>
          <w:u w:val="single"/>
        </w:rPr>
        <w:t>とのＦＴＡがノルウェーとの間で発効</w:t>
      </w:r>
      <w:r w:rsidRPr="00201969">
        <w:rPr>
          <w:rFonts w:hint="eastAsia"/>
          <w:sz w:val="20"/>
          <w:szCs w:val="20"/>
          <w:u w:val="single"/>
        </w:rPr>
        <w:t>(8</w:t>
      </w:r>
      <w:r w:rsidR="00CD4C85" w:rsidRPr="00201969">
        <w:rPr>
          <w:rFonts w:hint="eastAsia"/>
          <w:sz w:val="20"/>
          <w:szCs w:val="20"/>
          <w:u w:val="single"/>
        </w:rPr>
        <w:t>/</w:t>
      </w:r>
      <w:r w:rsidRPr="00201969">
        <w:rPr>
          <w:rFonts w:hint="eastAsia"/>
          <w:sz w:val="20"/>
          <w:szCs w:val="20"/>
          <w:u w:val="single"/>
        </w:rPr>
        <w:t>19</w:t>
      </w:r>
      <w:r w:rsidRPr="00201969">
        <w:rPr>
          <w:rFonts w:hint="eastAsia"/>
          <w:sz w:val="20"/>
          <w:szCs w:val="20"/>
          <w:u w:val="single"/>
        </w:rPr>
        <w:t>、</w:t>
      </w:r>
      <w:r w:rsidRPr="00201969">
        <w:rPr>
          <w:rFonts w:hint="eastAsia"/>
          <w:sz w:val="20"/>
          <w:szCs w:val="20"/>
          <w:u w:val="single"/>
        </w:rPr>
        <w:t>8</w:t>
      </w:r>
      <w:r w:rsidR="00CD4C85" w:rsidRPr="00201969">
        <w:rPr>
          <w:rFonts w:hint="eastAsia"/>
          <w:sz w:val="20"/>
          <w:szCs w:val="20"/>
          <w:u w:val="single"/>
        </w:rPr>
        <w:t>/</w:t>
      </w:r>
      <w:r w:rsidRPr="00201969">
        <w:rPr>
          <w:rFonts w:hint="eastAsia"/>
          <w:sz w:val="20"/>
          <w:szCs w:val="20"/>
          <w:u w:val="single"/>
        </w:rPr>
        <w:t>20)</w:t>
      </w:r>
      <w:r w:rsidRPr="00201969">
        <w:rPr>
          <w:sz w:val="20"/>
          <w:szCs w:val="20"/>
          <w:u w:val="single"/>
        </w:rPr>
        <w:t xml:space="preserve"> </w:t>
      </w:r>
    </w:p>
    <w:p w:rsidR="0048473C" w:rsidRDefault="0048473C" w:rsidP="0048473C">
      <w:pPr>
        <w:rPr>
          <w:sz w:val="20"/>
          <w:szCs w:val="20"/>
        </w:rPr>
      </w:pPr>
      <w:r w:rsidRPr="00201969">
        <w:rPr>
          <w:rFonts w:hint="eastAsia"/>
          <w:sz w:val="20"/>
          <w:szCs w:val="20"/>
        </w:rPr>
        <w:t>8</w:t>
      </w:r>
      <w:r w:rsidRPr="00201969">
        <w:rPr>
          <w:rFonts w:hint="eastAsia"/>
          <w:sz w:val="20"/>
          <w:szCs w:val="20"/>
        </w:rPr>
        <w:t>月</w:t>
      </w:r>
      <w:r w:rsidRPr="00201969">
        <w:rPr>
          <w:rFonts w:hint="eastAsia"/>
          <w:sz w:val="20"/>
          <w:szCs w:val="20"/>
        </w:rPr>
        <w:t>19</w:t>
      </w:r>
      <w:r w:rsidRPr="00201969">
        <w:rPr>
          <w:rFonts w:hint="eastAsia"/>
          <w:sz w:val="20"/>
          <w:szCs w:val="20"/>
        </w:rPr>
        <w:t>日、コスタリカ及びパナマとＥＦＴＡとのＦＴＡ</w:t>
      </w:r>
      <w:r w:rsidR="00CE3F24" w:rsidRPr="00201969">
        <w:rPr>
          <w:rFonts w:hint="eastAsia"/>
          <w:sz w:val="20"/>
          <w:szCs w:val="20"/>
        </w:rPr>
        <w:t>がノルウェーとの間で発効した。スイス及びリヒテンシュタインとは</w:t>
      </w:r>
      <w:r w:rsidR="00CE3F24" w:rsidRPr="00201969">
        <w:rPr>
          <w:rFonts w:hint="eastAsia"/>
          <w:sz w:val="20"/>
          <w:szCs w:val="20"/>
        </w:rPr>
        <w:t>29</w:t>
      </w:r>
      <w:r w:rsidR="00CE3F24" w:rsidRPr="00201969">
        <w:rPr>
          <w:rFonts w:hint="eastAsia"/>
          <w:sz w:val="20"/>
          <w:szCs w:val="20"/>
        </w:rPr>
        <w:t>日に、アイスランドとは</w:t>
      </w:r>
      <w:r w:rsidR="00CE3F24" w:rsidRPr="00201969">
        <w:rPr>
          <w:rFonts w:hint="eastAsia"/>
          <w:sz w:val="20"/>
          <w:szCs w:val="20"/>
        </w:rPr>
        <w:t>9</w:t>
      </w:r>
      <w:r w:rsidR="00CE3F24" w:rsidRPr="00201969">
        <w:rPr>
          <w:rFonts w:hint="eastAsia"/>
          <w:sz w:val="20"/>
          <w:szCs w:val="20"/>
        </w:rPr>
        <w:t>月</w:t>
      </w:r>
      <w:r w:rsidR="00CE3F24" w:rsidRPr="00201969">
        <w:rPr>
          <w:rFonts w:hint="eastAsia"/>
          <w:sz w:val="20"/>
          <w:szCs w:val="20"/>
        </w:rPr>
        <w:t>5</w:t>
      </w:r>
      <w:r w:rsidRPr="00201969">
        <w:rPr>
          <w:rFonts w:hint="eastAsia"/>
          <w:sz w:val="20"/>
          <w:szCs w:val="20"/>
        </w:rPr>
        <w:t>日に発効する。同協定は、</w:t>
      </w:r>
      <w:r w:rsidR="00CE3F24" w:rsidRPr="00201969">
        <w:rPr>
          <w:rFonts w:hint="eastAsia"/>
          <w:sz w:val="20"/>
          <w:szCs w:val="20"/>
        </w:rPr>
        <w:t>2013</w:t>
      </w:r>
      <w:r w:rsidR="00CE3F24" w:rsidRPr="00201969">
        <w:rPr>
          <w:rFonts w:hint="eastAsia"/>
          <w:sz w:val="20"/>
          <w:szCs w:val="20"/>
        </w:rPr>
        <w:t>年</w:t>
      </w:r>
      <w:r w:rsidR="00CE3F24" w:rsidRPr="00201969">
        <w:rPr>
          <w:rFonts w:hint="eastAsia"/>
          <w:sz w:val="20"/>
          <w:szCs w:val="20"/>
        </w:rPr>
        <w:t>6</w:t>
      </w:r>
      <w:r w:rsidR="00CE3F24" w:rsidRPr="00201969">
        <w:rPr>
          <w:rFonts w:hint="eastAsia"/>
          <w:sz w:val="20"/>
          <w:szCs w:val="20"/>
        </w:rPr>
        <w:t>月</w:t>
      </w:r>
      <w:r w:rsidR="00CE3F24" w:rsidRPr="00201969">
        <w:rPr>
          <w:rFonts w:hint="eastAsia"/>
          <w:sz w:val="20"/>
          <w:szCs w:val="20"/>
        </w:rPr>
        <w:t>24</w:t>
      </w:r>
      <w:r w:rsidRPr="00201969">
        <w:rPr>
          <w:rFonts w:hint="eastAsia"/>
          <w:sz w:val="20"/>
          <w:szCs w:val="20"/>
        </w:rPr>
        <w:t>日に、ノルウェーで署名された。モラ貿易大臣は、「このＦＴＡは当国の輸出を欧州市場で拡大せしめ、当国の生産業界に対して新たな機会を提供するものである。また、</w:t>
      </w:r>
      <w:r w:rsidR="00CE3F24" w:rsidRPr="00201969">
        <w:rPr>
          <w:rFonts w:hint="eastAsia"/>
          <w:sz w:val="20"/>
          <w:szCs w:val="20"/>
        </w:rPr>
        <w:t>当国への外国直接投資を誘致する重要なツールである。」と述べた。同協定により、当国の輸出の</w:t>
      </w:r>
      <w:r w:rsidR="00CE3F24" w:rsidRPr="00201969">
        <w:rPr>
          <w:rFonts w:hint="eastAsia"/>
          <w:sz w:val="20"/>
          <w:szCs w:val="20"/>
        </w:rPr>
        <w:t>98.7</w:t>
      </w:r>
      <w:r w:rsidR="00620AEE" w:rsidRPr="00201969">
        <w:rPr>
          <w:rFonts w:hint="eastAsia"/>
          <w:sz w:val="20"/>
          <w:szCs w:val="20"/>
        </w:rPr>
        <w:t>％は関税なしでＥＦＴＡの市場に入ることに</w:t>
      </w:r>
      <w:r w:rsidRPr="00201969">
        <w:rPr>
          <w:rFonts w:hint="eastAsia"/>
          <w:sz w:val="20"/>
          <w:szCs w:val="20"/>
        </w:rPr>
        <w:t>なる。</w:t>
      </w:r>
      <w:r w:rsidR="00CE3F24" w:rsidRPr="00201969">
        <w:rPr>
          <w:rFonts w:hint="eastAsia"/>
          <w:sz w:val="20"/>
          <w:szCs w:val="20"/>
        </w:rPr>
        <w:t>また、ＥＦＴＡからの輸出の</w:t>
      </w:r>
      <w:r w:rsidR="00CE3F24" w:rsidRPr="00201969">
        <w:rPr>
          <w:rFonts w:hint="eastAsia"/>
          <w:sz w:val="20"/>
          <w:szCs w:val="20"/>
        </w:rPr>
        <w:t>93.3</w:t>
      </w:r>
      <w:r w:rsidRPr="00201969">
        <w:rPr>
          <w:rFonts w:hint="eastAsia"/>
          <w:sz w:val="20"/>
          <w:szCs w:val="20"/>
        </w:rPr>
        <w:t>％は関税な</w:t>
      </w:r>
      <w:r w:rsidR="00703525" w:rsidRPr="00201969">
        <w:rPr>
          <w:rFonts w:hint="eastAsia"/>
          <w:sz w:val="20"/>
          <w:szCs w:val="20"/>
        </w:rPr>
        <w:t>しでコスタリカ</w:t>
      </w:r>
      <w:r w:rsidRPr="00201969">
        <w:rPr>
          <w:rFonts w:hint="eastAsia"/>
          <w:sz w:val="20"/>
          <w:szCs w:val="20"/>
        </w:rPr>
        <w:t>に入ることになる。</w:t>
      </w:r>
    </w:p>
    <w:p w:rsidR="00734F44" w:rsidRPr="00201969" w:rsidRDefault="00AF2B4D" w:rsidP="00734F44">
      <w:pPr>
        <w:rPr>
          <w:sz w:val="20"/>
          <w:szCs w:val="20"/>
          <w:u w:val="single"/>
        </w:rPr>
      </w:pPr>
      <w:r w:rsidRPr="00201969">
        <w:rPr>
          <w:rFonts w:hint="eastAsia"/>
          <w:sz w:val="20"/>
          <w:szCs w:val="20"/>
          <w:u w:val="single"/>
        </w:rPr>
        <w:lastRenderedPageBreak/>
        <w:t>●</w:t>
      </w:r>
      <w:r w:rsidRPr="00201969">
        <w:rPr>
          <w:rFonts w:hint="eastAsia"/>
          <w:sz w:val="20"/>
          <w:szCs w:val="20"/>
          <w:u w:val="single"/>
        </w:rPr>
        <w:t>5</w:t>
      </w:r>
      <w:r w:rsidRPr="00201969">
        <w:rPr>
          <w:rFonts w:hint="eastAsia"/>
          <w:sz w:val="20"/>
          <w:szCs w:val="20"/>
          <w:u w:val="single"/>
        </w:rPr>
        <w:t>月までのパイナップルの輸出額はバナナを上回る</w:t>
      </w:r>
      <w:r w:rsidRPr="00201969">
        <w:rPr>
          <w:rFonts w:hint="eastAsia"/>
          <w:sz w:val="20"/>
          <w:szCs w:val="20"/>
          <w:u w:val="single"/>
        </w:rPr>
        <w:t>(7</w:t>
      </w:r>
      <w:r w:rsidR="00A366A3">
        <w:rPr>
          <w:rFonts w:hint="eastAsia"/>
          <w:sz w:val="20"/>
          <w:szCs w:val="20"/>
          <w:u w:val="single"/>
        </w:rPr>
        <w:t>/</w:t>
      </w:r>
      <w:r w:rsidRPr="00201969">
        <w:rPr>
          <w:rFonts w:hint="eastAsia"/>
          <w:sz w:val="20"/>
          <w:szCs w:val="20"/>
          <w:u w:val="single"/>
        </w:rPr>
        <w:t>17)</w:t>
      </w:r>
    </w:p>
    <w:p w:rsidR="00734F44" w:rsidRPr="00201969" w:rsidRDefault="004C5600" w:rsidP="00734F44">
      <w:pPr>
        <w:rPr>
          <w:sz w:val="20"/>
          <w:szCs w:val="20"/>
        </w:rPr>
      </w:pPr>
      <w:r w:rsidRPr="00201969">
        <w:rPr>
          <w:rFonts w:hint="eastAsia"/>
          <w:sz w:val="20"/>
          <w:szCs w:val="20"/>
        </w:rPr>
        <w:t>貿易振興</w:t>
      </w:r>
      <w:r w:rsidR="00734F44" w:rsidRPr="00201969">
        <w:rPr>
          <w:rFonts w:hint="eastAsia"/>
          <w:sz w:val="20"/>
          <w:szCs w:val="20"/>
        </w:rPr>
        <w:t>機構</w:t>
      </w:r>
      <w:r w:rsidR="00734F44" w:rsidRPr="00201969">
        <w:rPr>
          <w:rFonts w:hint="eastAsia"/>
          <w:sz w:val="20"/>
          <w:szCs w:val="20"/>
        </w:rPr>
        <w:t>(PROCOMER)</w:t>
      </w:r>
      <w:r w:rsidR="00481122">
        <w:rPr>
          <w:rFonts w:hint="eastAsia"/>
          <w:sz w:val="20"/>
          <w:szCs w:val="20"/>
        </w:rPr>
        <w:t>の統計によると、</w:t>
      </w:r>
      <w:r w:rsidR="00734F44" w:rsidRPr="00201969">
        <w:rPr>
          <w:rFonts w:hint="eastAsia"/>
          <w:sz w:val="20"/>
          <w:szCs w:val="20"/>
        </w:rPr>
        <w:t>今年</w:t>
      </w:r>
      <w:r w:rsidR="00734F44" w:rsidRPr="00201969">
        <w:rPr>
          <w:rFonts w:hint="eastAsia"/>
          <w:sz w:val="20"/>
          <w:szCs w:val="20"/>
        </w:rPr>
        <w:t>5</w:t>
      </w:r>
      <w:r w:rsidR="00734F44" w:rsidRPr="00201969">
        <w:rPr>
          <w:rFonts w:hint="eastAsia"/>
          <w:sz w:val="20"/>
          <w:szCs w:val="20"/>
        </w:rPr>
        <w:t>月までのバナナ</w:t>
      </w:r>
      <w:r w:rsidR="00481122">
        <w:rPr>
          <w:rFonts w:hint="eastAsia"/>
          <w:sz w:val="20"/>
          <w:szCs w:val="20"/>
        </w:rPr>
        <w:t>の輸出額は</w:t>
      </w:r>
      <w:r w:rsidR="00734F44" w:rsidRPr="00201969">
        <w:rPr>
          <w:rFonts w:hint="eastAsia"/>
          <w:sz w:val="20"/>
          <w:szCs w:val="20"/>
        </w:rPr>
        <w:t>3.65</w:t>
      </w:r>
      <w:r w:rsidR="00734F44" w:rsidRPr="00201969">
        <w:rPr>
          <w:rFonts w:hint="eastAsia"/>
          <w:sz w:val="20"/>
          <w:szCs w:val="20"/>
        </w:rPr>
        <w:t>億ドル、</w:t>
      </w:r>
      <w:r w:rsidR="00481122">
        <w:rPr>
          <w:rFonts w:hint="eastAsia"/>
          <w:sz w:val="20"/>
          <w:szCs w:val="20"/>
        </w:rPr>
        <w:t>同</w:t>
      </w:r>
      <w:r w:rsidR="00734F44" w:rsidRPr="00201969">
        <w:rPr>
          <w:rFonts w:hint="eastAsia"/>
          <w:sz w:val="20"/>
          <w:szCs w:val="20"/>
        </w:rPr>
        <w:t>パイナップル</w:t>
      </w:r>
      <w:r w:rsidR="00481122">
        <w:rPr>
          <w:rFonts w:hint="eastAsia"/>
          <w:sz w:val="20"/>
          <w:szCs w:val="20"/>
        </w:rPr>
        <w:t>は</w:t>
      </w:r>
      <w:r w:rsidR="00734F44" w:rsidRPr="00201969">
        <w:rPr>
          <w:rFonts w:hint="eastAsia"/>
          <w:sz w:val="20"/>
          <w:szCs w:val="20"/>
        </w:rPr>
        <w:t>3.82</w:t>
      </w:r>
      <w:r w:rsidR="00734F44" w:rsidRPr="00201969">
        <w:rPr>
          <w:rFonts w:hint="eastAsia"/>
          <w:sz w:val="20"/>
          <w:szCs w:val="20"/>
        </w:rPr>
        <w:t>億ドル</w:t>
      </w:r>
      <w:r w:rsidR="00481122">
        <w:rPr>
          <w:rFonts w:hint="eastAsia"/>
          <w:sz w:val="20"/>
          <w:szCs w:val="20"/>
        </w:rPr>
        <w:t>となり、</w:t>
      </w:r>
      <w:r w:rsidR="00734F44" w:rsidRPr="00201969">
        <w:rPr>
          <w:rFonts w:hint="eastAsia"/>
          <w:sz w:val="20"/>
          <w:szCs w:val="20"/>
        </w:rPr>
        <w:t>2004</w:t>
      </w:r>
      <w:r w:rsidR="00734F44" w:rsidRPr="00201969">
        <w:rPr>
          <w:rFonts w:hint="eastAsia"/>
          <w:sz w:val="20"/>
          <w:szCs w:val="20"/>
        </w:rPr>
        <w:t>年は輸出額ではバナナの約</w:t>
      </w:r>
      <w:r w:rsidR="00E45BE6">
        <w:rPr>
          <w:rFonts w:hint="eastAsia"/>
          <w:sz w:val="20"/>
          <w:szCs w:val="20"/>
        </w:rPr>
        <w:t>半分</w:t>
      </w:r>
      <w:r w:rsidR="00481122">
        <w:rPr>
          <w:rFonts w:hint="eastAsia"/>
          <w:sz w:val="20"/>
          <w:szCs w:val="20"/>
        </w:rPr>
        <w:t>に過ぎなかったのが</w:t>
      </w:r>
      <w:r w:rsidR="00734F44" w:rsidRPr="00201969">
        <w:rPr>
          <w:rFonts w:hint="eastAsia"/>
          <w:sz w:val="20"/>
          <w:szCs w:val="20"/>
        </w:rPr>
        <w:t>10</w:t>
      </w:r>
      <w:r w:rsidR="00734F44" w:rsidRPr="00201969">
        <w:rPr>
          <w:rFonts w:hint="eastAsia"/>
          <w:sz w:val="20"/>
          <w:szCs w:val="20"/>
        </w:rPr>
        <w:t>年で追い抜いた形</w:t>
      </w:r>
      <w:r w:rsidR="00481122">
        <w:rPr>
          <w:rFonts w:hint="eastAsia"/>
          <w:sz w:val="20"/>
          <w:szCs w:val="20"/>
        </w:rPr>
        <w:t>となった</w:t>
      </w:r>
      <w:r w:rsidR="00734F44" w:rsidRPr="00201969">
        <w:rPr>
          <w:rFonts w:hint="eastAsia"/>
          <w:sz w:val="20"/>
          <w:szCs w:val="20"/>
        </w:rPr>
        <w:t>。</w:t>
      </w:r>
      <w:r w:rsidR="00481122">
        <w:rPr>
          <w:rFonts w:hint="eastAsia"/>
          <w:sz w:val="20"/>
          <w:szCs w:val="20"/>
        </w:rPr>
        <w:t>農業輸出品の</w:t>
      </w:r>
      <w:r w:rsidR="00734F44" w:rsidRPr="00201969">
        <w:rPr>
          <w:rFonts w:hint="eastAsia"/>
          <w:sz w:val="20"/>
          <w:szCs w:val="20"/>
        </w:rPr>
        <w:t>多様化ともいえるがこの</w:t>
      </w:r>
      <w:r w:rsidR="00E45BE6">
        <w:rPr>
          <w:rFonts w:hint="eastAsia"/>
          <w:sz w:val="20"/>
          <w:szCs w:val="20"/>
        </w:rPr>
        <w:t>二</w:t>
      </w:r>
      <w:r w:rsidR="00734F44" w:rsidRPr="00201969">
        <w:rPr>
          <w:rFonts w:hint="eastAsia"/>
          <w:sz w:val="20"/>
          <w:szCs w:val="20"/>
        </w:rPr>
        <w:t>作物</w:t>
      </w:r>
      <w:r w:rsidR="00E45BE6">
        <w:rPr>
          <w:rFonts w:hint="eastAsia"/>
          <w:sz w:val="20"/>
          <w:szCs w:val="20"/>
        </w:rPr>
        <w:t>への</w:t>
      </w:r>
      <w:r w:rsidR="00734F44" w:rsidRPr="00201969">
        <w:rPr>
          <w:rFonts w:hint="eastAsia"/>
          <w:sz w:val="20"/>
          <w:szCs w:val="20"/>
        </w:rPr>
        <w:t>偏重</w:t>
      </w:r>
      <w:r w:rsidR="00481122">
        <w:rPr>
          <w:rFonts w:hint="eastAsia"/>
          <w:sz w:val="20"/>
          <w:szCs w:val="20"/>
        </w:rPr>
        <w:t>状態</w:t>
      </w:r>
      <w:r w:rsidR="00734F44" w:rsidRPr="00201969">
        <w:rPr>
          <w:rFonts w:hint="eastAsia"/>
          <w:sz w:val="20"/>
          <w:szCs w:val="20"/>
        </w:rPr>
        <w:t>ともいえる。</w:t>
      </w:r>
      <w:r w:rsidR="00481122">
        <w:rPr>
          <w:rFonts w:hint="eastAsia"/>
          <w:sz w:val="20"/>
          <w:szCs w:val="20"/>
        </w:rPr>
        <w:t>これまでの</w:t>
      </w:r>
      <w:r w:rsidR="00734F44" w:rsidRPr="00201969">
        <w:rPr>
          <w:rFonts w:hint="eastAsia"/>
          <w:sz w:val="20"/>
          <w:szCs w:val="20"/>
        </w:rPr>
        <w:t>果物の輸出</w:t>
      </w:r>
      <w:r w:rsidR="00481122">
        <w:rPr>
          <w:rFonts w:hint="eastAsia"/>
          <w:sz w:val="20"/>
          <w:szCs w:val="20"/>
        </w:rPr>
        <w:t>先</w:t>
      </w:r>
      <w:r w:rsidR="00734F44" w:rsidRPr="00201969">
        <w:rPr>
          <w:rFonts w:hint="eastAsia"/>
          <w:sz w:val="20"/>
          <w:szCs w:val="20"/>
        </w:rPr>
        <w:t>は北米と</w:t>
      </w:r>
      <w:r w:rsidR="00734F44" w:rsidRPr="00201969">
        <w:rPr>
          <w:rFonts w:hint="eastAsia"/>
          <w:sz w:val="20"/>
          <w:szCs w:val="20"/>
        </w:rPr>
        <w:t>EU</w:t>
      </w:r>
      <w:r w:rsidR="00E45BE6">
        <w:rPr>
          <w:rFonts w:hint="eastAsia"/>
          <w:sz w:val="20"/>
          <w:szCs w:val="20"/>
        </w:rPr>
        <w:t>が中心であ</w:t>
      </w:r>
      <w:r w:rsidR="00481122">
        <w:rPr>
          <w:rFonts w:hint="eastAsia"/>
          <w:sz w:val="20"/>
          <w:szCs w:val="20"/>
        </w:rPr>
        <w:t>ったが、</w:t>
      </w:r>
      <w:r w:rsidR="00734F44" w:rsidRPr="00201969">
        <w:rPr>
          <w:rFonts w:hint="eastAsia"/>
          <w:sz w:val="20"/>
          <w:szCs w:val="20"/>
        </w:rPr>
        <w:t>近年は北欧やロシアでの市場拡大が期待されている。ただ</w:t>
      </w:r>
      <w:r w:rsidR="00ED6996" w:rsidRPr="00201969">
        <w:rPr>
          <w:rFonts w:hint="eastAsia"/>
          <w:sz w:val="20"/>
          <w:szCs w:val="20"/>
        </w:rPr>
        <w:t>し</w:t>
      </w:r>
      <w:r w:rsidR="00734F44" w:rsidRPr="00201969">
        <w:rPr>
          <w:rFonts w:hint="eastAsia"/>
          <w:sz w:val="20"/>
          <w:szCs w:val="20"/>
        </w:rPr>
        <w:t>、果物生産から販売までの流通プロセスは多国籍企業によって運営されているために、</w:t>
      </w:r>
      <w:r w:rsidR="00CE3F24" w:rsidRPr="00201969">
        <w:rPr>
          <w:rFonts w:hint="eastAsia"/>
          <w:sz w:val="20"/>
          <w:szCs w:val="20"/>
        </w:rPr>
        <w:t>どこまでコスタリカ経済に裨益しているかは明確ではない</w:t>
      </w:r>
      <w:r w:rsidR="00734F44" w:rsidRPr="00201969">
        <w:rPr>
          <w:rFonts w:hint="eastAsia"/>
          <w:sz w:val="20"/>
          <w:szCs w:val="20"/>
        </w:rPr>
        <w:t>。</w:t>
      </w:r>
    </w:p>
    <w:p w:rsidR="00EE6F7E" w:rsidRPr="00201969" w:rsidRDefault="00EE6F7E" w:rsidP="00734F44">
      <w:pPr>
        <w:rPr>
          <w:sz w:val="20"/>
          <w:szCs w:val="20"/>
        </w:rPr>
      </w:pPr>
    </w:p>
    <w:p w:rsidR="00EE6F7E" w:rsidRPr="00201969" w:rsidRDefault="00EE6F7E" w:rsidP="00EE6F7E">
      <w:pPr>
        <w:rPr>
          <w:sz w:val="20"/>
          <w:szCs w:val="20"/>
          <w:u w:val="single"/>
        </w:rPr>
      </w:pPr>
      <w:r w:rsidRPr="00201969">
        <w:rPr>
          <w:rFonts w:hint="eastAsia"/>
          <w:sz w:val="20"/>
          <w:szCs w:val="20"/>
          <w:u w:val="single"/>
        </w:rPr>
        <w:t>●コスタリカとメキシコ、</w:t>
      </w:r>
      <w:r w:rsidRPr="00201969">
        <w:rPr>
          <w:rFonts w:hint="eastAsia"/>
          <w:sz w:val="20"/>
          <w:szCs w:val="20"/>
          <w:u w:val="single"/>
        </w:rPr>
        <w:t>2013</w:t>
      </w:r>
      <w:r w:rsidR="00874D48">
        <w:rPr>
          <w:rFonts w:hint="eastAsia"/>
          <w:sz w:val="20"/>
          <w:szCs w:val="20"/>
          <w:u w:val="single"/>
        </w:rPr>
        <w:t>年に不振だった貿易</w:t>
      </w:r>
      <w:r w:rsidRPr="00201969">
        <w:rPr>
          <w:rFonts w:hint="eastAsia"/>
          <w:sz w:val="20"/>
          <w:szCs w:val="20"/>
          <w:u w:val="single"/>
        </w:rPr>
        <w:t>関係を再強化へ</w:t>
      </w:r>
      <w:r w:rsidRPr="00201969">
        <w:rPr>
          <w:rFonts w:hint="eastAsia"/>
          <w:sz w:val="20"/>
          <w:szCs w:val="20"/>
          <w:u w:val="single"/>
        </w:rPr>
        <w:t>(7/24)</w:t>
      </w:r>
    </w:p>
    <w:p w:rsidR="00EE6F7E" w:rsidRPr="00201969" w:rsidRDefault="00EE6F7E" w:rsidP="00EE6F7E">
      <w:pPr>
        <w:rPr>
          <w:sz w:val="20"/>
          <w:szCs w:val="20"/>
        </w:rPr>
      </w:pPr>
      <w:r w:rsidRPr="00201969">
        <w:rPr>
          <w:rFonts w:hint="eastAsia"/>
          <w:sz w:val="20"/>
          <w:szCs w:val="20"/>
        </w:rPr>
        <w:t>貿易振興機構</w:t>
      </w:r>
      <w:r w:rsidRPr="00201969">
        <w:rPr>
          <w:rFonts w:hint="eastAsia"/>
          <w:sz w:val="20"/>
          <w:szCs w:val="20"/>
        </w:rPr>
        <w:t>(PROCOMER)</w:t>
      </w:r>
      <w:r w:rsidRPr="00201969">
        <w:rPr>
          <w:rFonts w:hint="eastAsia"/>
          <w:sz w:val="20"/>
          <w:szCs w:val="20"/>
        </w:rPr>
        <w:t>の調べによると、</w:t>
      </w:r>
      <w:r w:rsidRPr="00201969">
        <w:rPr>
          <w:rFonts w:hint="eastAsia"/>
          <w:sz w:val="20"/>
          <w:szCs w:val="20"/>
        </w:rPr>
        <w:t>2009</w:t>
      </w:r>
      <w:r w:rsidRPr="00201969">
        <w:rPr>
          <w:rFonts w:hint="eastAsia"/>
          <w:sz w:val="20"/>
          <w:szCs w:val="20"/>
        </w:rPr>
        <w:t>年以降順調に推移していたコスタリカとメキシコ間の貿易額が、</w:t>
      </w:r>
      <w:r w:rsidRPr="00201969">
        <w:rPr>
          <w:rFonts w:hint="eastAsia"/>
          <w:sz w:val="20"/>
          <w:szCs w:val="20"/>
        </w:rPr>
        <w:t>2013</w:t>
      </w:r>
      <w:r w:rsidRPr="00201969">
        <w:rPr>
          <w:rFonts w:hint="eastAsia"/>
          <w:sz w:val="20"/>
          <w:szCs w:val="20"/>
        </w:rPr>
        <w:t>年にコスタリカからの輸出が前年比約</w:t>
      </w:r>
      <w:r w:rsidRPr="00201969">
        <w:rPr>
          <w:rFonts w:hint="eastAsia"/>
          <w:sz w:val="20"/>
          <w:szCs w:val="20"/>
        </w:rPr>
        <w:t>23</w:t>
      </w:r>
      <w:r w:rsidRPr="00201969">
        <w:rPr>
          <w:rFonts w:hint="eastAsia"/>
          <w:sz w:val="20"/>
          <w:szCs w:val="20"/>
        </w:rPr>
        <w:t>％減少し、同様にメキシコからの輸入額が前年かは約</w:t>
      </w:r>
      <w:r w:rsidRPr="00201969">
        <w:rPr>
          <w:rFonts w:hint="eastAsia"/>
          <w:sz w:val="20"/>
          <w:szCs w:val="20"/>
        </w:rPr>
        <w:t>4.3</w:t>
      </w:r>
      <w:r w:rsidRPr="00201969">
        <w:rPr>
          <w:rFonts w:hint="eastAsia"/>
          <w:sz w:val="20"/>
          <w:szCs w:val="20"/>
        </w:rPr>
        <w:t>％減少したことがわかった。現在のコスタリカからの輸出は主にヤシ油と加工食品の</w:t>
      </w:r>
      <w:r w:rsidRPr="00201969">
        <w:rPr>
          <w:rFonts w:hint="eastAsia"/>
          <w:sz w:val="20"/>
          <w:szCs w:val="20"/>
        </w:rPr>
        <w:t>2</w:t>
      </w:r>
      <w:r w:rsidRPr="00201969">
        <w:rPr>
          <w:rFonts w:hint="eastAsia"/>
          <w:sz w:val="20"/>
          <w:szCs w:val="20"/>
        </w:rPr>
        <w:t>品目の集中しており、輸出企業も</w:t>
      </w:r>
      <w:r w:rsidRPr="00201969">
        <w:rPr>
          <w:rFonts w:hint="eastAsia"/>
          <w:sz w:val="20"/>
          <w:szCs w:val="20"/>
        </w:rPr>
        <w:t>5</w:t>
      </w:r>
      <w:r w:rsidR="00733C43">
        <w:rPr>
          <w:rFonts w:hint="eastAsia"/>
          <w:sz w:val="20"/>
          <w:szCs w:val="20"/>
        </w:rPr>
        <w:t>社</w:t>
      </w:r>
      <w:r w:rsidRPr="00201969">
        <w:rPr>
          <w:rFonts w:hint="eastAsia"/>
          <w:sz w:val="20"/>
          <w:szCs w:val="20"/>
        </w:rPr>
        <w:t>に集中している。貿易振興機構と貿易省は、今後メキシコへの輸出品目の多様化、完成製品ではなく中間材料の輸出の増加、メキシコの</w:t>
      </w:r>
      <w:r w:rsidR="00733C43">
        <w:rPr>
          <w:rFonts w:hint="eastAsia"/>
          <w:sz w:val="20"/>
          <w:szCs w:val="20"/>
        </w:rPr>
        <w:t>地方</w:t>
      </w:r>
      <w:r w:rsidRPr="00201969">
        <w:rPr>
          <w:rFonts w:hint="eastAsia"/>
          <w:sz w:val="20"/>
          <w:szCs w:val="20"/>
        </w:rPr>
        <w:t>への流通を目指すことにしている。</w:t>
      </w:r>
    </w:p>
    <w:p w:rsidR="00EE6F7E" w:rsidRPr="00201969" w:rsidRDefault="00EE6F7E" w:rsidP="00EE6F7E">
      <w:pPr>
        <w:rPr>
          <w:sz w:val="20"/>
          <w:szCs w:val="20"/>
        </w:rPr>
      </w:pPr>
    </w:p>
    <w:p w:rsidR="000E4CBC" w:rsidRPr="00201969" w:rsidRDefault="000E4CBC" w:rsidP="0076484A">
      <w:pPr>
        <w:rPr>
          <w:sz w:val="20"/>
          <w:szCs w:val="20"/>
          <w:lang w:val="es-ES"/>
        </w:rPr>
      </w:pPr>
      <w:r w:rsidRPr="00201969">
        <w:rPr>
          <w:rFonts w:hint="eastAsia"/>
          <w:sz w:val="20"/>
          <w:szCs w:val="20"/>
          <w:lang w:val="es-ES"/>
        </w:rPr>
        <w:t>イ　外国直接投資</w:t>
      </w:r>
    </w:p>
    <w:p w:rsidR="006300DC" w:rsidRPr="00201969" w:rsidRDefault="006921BA" w:rsidP="006300DC">
      <w:pPr>
        <w:rPr>
          <w:sz w:val="20"/>
          <w:szCs w:val="20"/>
          <w:u w:val="single"/>
        </w:rPr>
      </w:pPr>
      <w:r w:rsidRPr="00201969">
        <w:rPr>
          <w:rFonts w:hint="eastAsia"/>
          <w:sz w:val="20"/>
          <w:szCs w:val="20"/>
          <w:u w:val="single"/>
        </w:rPr>
        <w:t>●経済成長における</w:t>
      </w:r>
      <w:r w:rsidR="00B742CA" w:rsidRPr="00201969">
        <w:rPr>
          <w:rFonts w:hint="eastAsia"/>
          <w:sz w:val="20"/>
          <w:szCs w:val="20"/>
          <w:u w:val="single"/>
        </w:rPr>
        <w:t>フリーゾーン</w:t>
      </w:r>
      <w:r w:rsidR="00DF11A4" w:rsidRPr="00201969">
        <w:rPr>
          <w:rFonts w:hint="eastAsia"/>
          <w:sz w:val="20"/>
          <w:szCs w:val="20"/>
          <w:u w:val="single"/>
        </w:rPr>
        <w:t>企業</w:t>
      </w:r>
      <w:r w:rsidR="00B742CA" w:rsidRPr="00201969">
        <w:rPr>
          <w:rFonts w:hint="eastAsia"/>
          <w:sz w:val="20"/>
          <w:szCs w:val="20"/>
          <w:u w:val="single"/>
        </w:rPr>
        <w:t>の</w:t>
      </w:r>
      <w:r w:rsidRPr="00201969">
        <w:rPr>
          <w:rFonts w:hint="eastAsia"/>
          <w:sz w:val="20"/>
          <w:szCs w:val="20"/>
          <w:u w:val="single"/>
        </w:rPr>
        <w:t>比重が縮小</w:t>
      </w:r>
      <w:r w:rsidR="00184DBE" w:rsidRPr="00201969">
        <w:rPr>
          <w:rFonts w:hint="eastAsia"/>
          <w:sz w:val="20"/>
          <w:szCs w:val="20"/>
          <w:u w:val="single"/>
        </w:rPr>
        <w:t>(7/10)</w:t>
      </w:r>
    </w:p>
    <w:p w:rsidR="006300DC" w:rsidRPr="00201969" w:rsidRDefault="00AD3517" w:rsidP="006300DC">
      <w:pPr>
        <w:rPr>
          <w:sz w:val="20"/>
          <w:szCs w:val="20"/>
        </w:rPr>
      </w:pPr>
      <w:r>
        <w:rPr>
          <w:rFonts w:hint="eastAsia"/>
          <w:sz w:val="20"/>
          <w:szCs w:val="20"/>
        </w:rPr>
        <w:t>過去数ヶ月間</w:t>
      </w:r>
      <w:r w:rsidR="000A7E9B">
        <w:rPr>
          <w:rFonts w:hint="eastAsia"/>
          <w:sz w:val="20"/>
          <w:szCs w:val="20"/>
        </w:rPr>
        <w:t>に渡ってフリーゾーン企業の業績</w:t>
      </w:r>
      <w:r>
        <w:rPr>
          <w:rFonts w:hint="eastAsia"/>
          <w:sz w:val="20"/>
          <w:szCs w:val="20"/>
        </w:rPr>
        <w:t>が伸び悩む</w:t>
      </w:r>
      <w:r w:rsidR="000A7E9B">
        <w:rPr>
          <w:rFonts w:hint="eastAsia"/>
          <w:sz w:val="20"/>
          <w:szCs w:val="20"/>
        </w:rPr>
        <w:t>一方で</w:t>
      </w:r>
      <w:r>
        <w:rPr>
          <w:rFonts w:hint="eastAsia"/>
          <w:sz w:val="20"/>
          <w:szCs w:val="20"/>
        </w:rPr>
        <w:t>、中銀発表の本年</w:t>
      </w:r>
      <w:r>
        <w:rPr>
          <w:rFonts w:hint="eastAsia"/>
          <w:sz w:val="20"/>
          <w:szCs w:val="20"/>
        </w:rPr>
        <w:t>5</w:t>
      </w:r>
      <w:r>
        <w:rPr>
          <w:rFonts w:hint="eastAsia"/>
          <w:sz w:val="20"/>
          <w:szCs w:val="20"/>
        </w:rPr>
        <w:t>月までの</w:t>
      </w:r>
      <w:r w:rsidR="0033204F" w:rsidRPr="00201969">
        <w:rPr>
          <w:rFonts w:hint="eastAsia"/>
          <w:sz w:val="20"/>
          <w:szCs w:val="20"/>
        </w:rPr>
        <w:t>フリーゾーンを除いた</w:t>
      </w:r>
      <w:r w:rsidR="00874D48">
        <w:rPr>
          <w:rFonts w:hint="eastAsia"/>
          <w:sz w:val="20"/>
          <w:szCs w:val="20"/>
        </w:rPr>
        <w:t>経済活動</w:t>
      </w:r>
      <w:r>
        <w:rPr>
          <w:rFonts w:hint="eastAsia"/>
          <w:sz w:val="20"/>
          <w:szCs w:val="20"/>
        </w:rPr>
        <w:t>の</w:t>
      </w:r>
      <w:r w:rsidR="0033204F" w:rsidRPr="00201969">
        <w:rPr>
          <w:rFonts w:hint="eastAsia"/>
          <w:sz w:val="20"/>
          <w:szCs w:val="20"/>
        </w:rPr>
        <w:t>成長率は</w:t>
      </w:r>
      <w:r w:rsidR="00730BC1" w:rsidRPr="00201969">
        <w:rPr>
          <w:rFonts w:hint="eastAsia"/>
          <w:sz w:val="20"/>
          <w:szCs w:val="20"/>
        </w:rPr>
        <w:t>前年</w:t>
      </w:r>
      <w:r w:rsidR="0033204F" w:rsidRPr="00201969">
        <w:rPr>
          <w:rFonts w:hint="eastAsia"/>
          <w:sz w:val="20"/>
          <w:szCs w:val="20"/>
        </w:rPr>
        <w:t>の数値</w:t>
      </w:r>
      <w:r w:rsidR="00730BC1" w:rsidRPr="00201969">
        <w:rPr>
          <w:rFonts w:hint="eastAsia"/>
          <w:sz w:val="20"/>
          <w:szCs w:val="20"/>
        </w:rPr>
        <w:t>を上回</w:t>
      </w:r>
      <w:r w:rsidR="000A7E9B">
        <w:rPr>
          <w:rFonts w:hint="eastAsia"/>
          <w:sz w:val="20"/>
          <w:szCs w:val="20"/>
        </w:rPr>
        <w:t>ってい</w:t>
      </w:r>
      <w:r w:rsidR="0033204F" w:rsidRPr="00201969">
        <w:rPr>
          <w:rFonts w:hint="eastAsia"/>
          <w:sz w:val="20"/>
          <w:szCs w:val="20"/>
        </w:rPr>
        <w:t>る。</w:t>
      </w:r>
      <w:r>
        <w:rPr>
          <w:rFonts w:hint="eastAsia"/>
          <w:sz w:val="20"/>
          <w:szCs w:val="20"/>
        </w:rPr>
        <w:t>このことから、</w:t>
      </w:r>
      <w:r w:rsidRPr="00AD3517">
        <w:rPr>
          <w:rFonts w:hint="eastAsia"/>
          <w:sz w:val="20"/>
          <w:szCs w:val="20"/>
        </w:rPr>
        <w:t>コスタリカの経済成長におけるフリーゾーン企業の比重が小さくなってきている</w:t>
      </w:r>
      <w:r>
        <w:rPr>
          <w:rFonts w:hint="eastAsia"/>
          <w:sz w:val="20"/>
          <w:szCs w:val="20"/>
        </w:rPr>
        <w:t>ことがわかる</w:t>
      </w:r>
      <w:r w:rsidRPr="00AD3517">
        <w:rPr>
          <w:rFonts w:hint="eastAsia"/>
          <w:sz w:val="20"/>
          <w:szCs w:val="20"/>
        </w:rPr>
        <w:t>。</w:t>
      </w:r>
      <w:r w:rsidR="0033204F" w:rsidRPr="00201969">
        <w:rPr>
          <w:rFonts w:hint="eastAsia"/>
          <w:sz w:val="20"/>
          <w:szCs w:val="20"/>
        </w:rPr>
        <w:t>フリーゾーンの低迷は輸出にも現れており、</w:t>
      </w:r>
      <w:r>
        <w:rPr>
          <w:rFonts w:hint="eastAsia"/>
          <w:sz w:val="20"/>
          <w:szCs w:val="20"/>
        </w:rPr>
        <w:t>その</w:t>
      </w:r>
      <w:r w:rsidR="0033204F" w:rsidRPr="00201969">
        <w:rPr>
          <w:rFonts w:hint="eastAsia"/>
          <w:sz w:val="20"/>
          <w:szCs w:val="20"/>
        </w:rPr>
        <w:t>主な原因はインテル社の製造部門の</w:t>
      </w:r>
      <w:r w:rsidR="006300DC" w:rsidRPr="00201969">
        <w:rPr>
          <w:rFonts w:hint="eastAsia"/>
          <w:sz w:val="20"/>
          <w:szCs w:val="20"/>
        </w:rPr>
        <w:t>撤退</w:t>
      </w:r>
      <w:r w:rsidR="0033204F" w:rsidRPr="00201969">
        <w:rPr>
          <w:rFonts w:hint="eastAsia"/>
          <w:sz w:val="20"/>
          <w:szCs w:val="20"/>
        </w:rPr>
        <w:t>だとされている。貿易振興</w:t>
      </w:r>
      <w:r w:rsidR="006300DC" w:rsidRPr="00201969">
        <w:rPr>
          <w:rFonts w:hint="eastAsia"/>
          <w:sz w:val="20"/>
          <w:szCs w:val="20"/>
        </w:rPr>
        <w:t>機構</w:t>
      </w:r>
      <w:r w:rsidR="0033204F" w:rsidRPr="00201969">
        <w:rPr>
          <w:rFonts w:hint="eastAsia"/>
          <w:sz w:val="20"/>
          <w:szCs w:val="20"/>
        </w:rPr>
        <w:t>(PROCOMER)</w:t>
      </w:r>
      <w:r w:rsidR="008C5E86">
        <w:rPr>
          <w:rFonts w:hint="eastAsia"/>
          <w:sz w:val="20"/>
          <w:szCs w:val="20"/>
        </w:rPr>
        <w:t>の調査</w:t>
      </w:r>
      <w:r w:rsidR="0033204F" w:rsidRPr="00201969">
        <w:rPr>
          <w:rFonts w:hint="eastAsia"/>
          <w:sz w:val="20"/>
          <w:szCs w:val="20"/>
        </w:rPr>
        <w:t>によると、今年のこれまでの</w:t>
      </w:r>
      <w:r w:rsidR="006300DC" w:rsidRPr="00201969">
        <w:rPr>
          <w:rFonts w:hint="eastAsia"/>
          <w:sz w:val="20"/>
          <w:szCs w:val="20"/>
        </w:rPr>
        <w:t>電子回路</w:t>
      </w:r>
      <w:r w:rsidR="0033204F" w:rsidRPr="00201969">
        <w:rPr>
          <w:rFonts w:hint="eastAsia"/>
          <w:sz w:val="20"/>
          <w:szCs w:val="20"/>
        </w:rPr>
        <w:t>部品の輸出額は昨年同時期から</w:t>
      </w:r>
      <w:r w:rsidR="006300DC" w:rsidRPr="00201969">
        <w:rPr>
          <w:rFonts w:hint="eastAsia"/>
          <w:sz w:val="20"/>
          <w:szCs w:val="20"/>
        </w:rPr>
        <w:t>約</w:t>
      </w:r>
      <w:r w:rsidR="006300DC" w:rsidRPr="00201969">
        <w:rPr>
          <w:rFonts w:hint="eastAsia"/>
          <w:sz w:val="20"/>
          <w:szCs w:val="20"/>
        </w:rPr>
        <w:t>7</w:t>
      </w:r>
      <w:r w:rsidR="006300DC" w:rsidRPr="00201969">
        <w:rPr>
          <w:rFonts w:hint="eastAsia"/>
          <w:sz w:val="20"/>
          <w:szCs w:val="20"/>
        </w:rPr>
        <w:t>千万ドル少ない</w:t>
      </w:r>
      <w:r w:rsidR="006300DC" w:rsidRPr="00201969">
        <w:rPr>
          <w:rFonts w:hint="eastAsia"/>
          <w:sz w:val="20"/>
          <w:szCs w:val="20"/>
        </w:rPr>
        <w:t>6</w:t>
      </w:r>
      <w:r w:rsidR="006300DC" w:rsidRPr="00201969">
        <w:rPr>
          <w:rFonts w:hint="eastAsia"/>
          <w:sz w:val="20"/>
          <w:szCs w:val="20"/>
        </w:rPr>
        <w:t>億</w:t>
      </w:r>
      <w:r w:rsidR="006300DC" w:rsidRPr="00201969">
        <w:rPr>
          <w:rFonts w:hint="eastAsia"/>
          <w:sz w:val="20"/>
          <w:szCs w:val="20"/>
        </w:rPr>
        <w:t>8</w:t>
      </w:r>
      <w:r w:rsidR="006300DC" w:rsidRPr="00201969">
        <w:rPr>
          <w:rFonts w:hint="eastAsia"/>
          <w:sz w:val="20"/>
          <w:szCs w:val="20"/>
        </w:rPr>
        <w:t>千万ドル</w:t>
      </w:r>
      <w:r w:rsidR="0033204F" w:rsidRPr="00201969">
        <w:rPr>
          <w:rFonts w:hint="eastAsia"/>
          <w:sz w:val="20"/>
          <w:szCs w:val="20"/>
        </w:rPr>
        <w:t>となっている</w:t>
      </w:r>
      <w:r w:rsidR="006300DC" w:rsidRPr="00201969">
        <w:rPr>
          <w:rFonts w:hint="eastAsia"/>
          <w:sz w:val="20"/>
          <w:szCs w:val="20"/>
        </w:rPr>
        <w:t>。</w:t>
      </w:r>
      <w:r w:rsidR="0033204F" w:rsidRPr="00201969">
        <w:rPr>
          <w:rFonts w:hint="eastAsia"/>
          <w:sz w:val="20"/>
          <w:szCs w:val="20"/>
        </w:rPr>
        <w:t>フリーゾーン企業協会</w:t>
      </w:r>
      <w:r w:rsidR="00AC3C16" w:rsidRPr="00201969">
        <w:rPr>
          <w:rFonts w:hint="eastAsia"/>
          <w:sz w:val="20"/>
          <w:szCs w:val="20"/>
        </w:rPr>
        <w:t>は、</w:t>
      </w:r>
      <w:r w:rsidR="006300DC" w:rsidRPr="00201969">
        <w:rPr>
          <w:rFonts w:hint="eastAsia"/>
          <w:sz w:val="20"/>
          <w:szCs w:val="20"/>
        </w:rPr>
        <w:t>インテル</w:t>
      </w:r>
      <w:r w:rsidR="0033204F" w:rsidRPr="00201969">
        <w:rPr>
          <w:rFonts w:hint="eastAsia"/>
          <w:sz w:val="20"/>
          <w:szCs w:val="20"/>
        </w:rPr>
        <w:t>社の影響はあるが</w:t>
      </w:r>
      <w:r w:rsidR="006300DC" w:rsidRPr="00201969">
        <w:rPr>
          <w:rFonts w:hint="eastAsia"/>
          <w:sz w:val="20"/>
          <w:szCs w:val="20"/>
        </w:rPr>
        <w:t>同時に医療器具メーカーの台頭もあ</w:t>
      </w:r>
      <w:r w:rsidR="0033204F" w:rsidRPr="00201969">
        <w:rPr>
          <w:rFonts w:hint="eastAsia"/>
          <w:sz w:val="20"/>
          <w:szCs w:val="20"/>
        </w:rPr>
        <w:t>り、現在コスタリカ経済は過渡期にあるとしている</w:t>
      </w:r>
      <w:r w:rsidR="006300DC" w:rsidRPr="00201969">
        <w:rPr>
          <w:rFonts w:hint="eastAsia"/>
          <w:sz w:val="20"/>
          <w:szCs w:val="20"/>
        </w:rPr>
        <w:t>。</w:t>
      </w:r>
    </w:p>
    <w:p w:rsidR="00730BC1" w:rsidRPr="00201969" w:rsidRDefault="00730BC1" w:rsidP="006300DC">
      <w:pPr>
        <w:rPr>
          <w:sz w:val="20"/>
          <w:szCs w:val="20"/>
        </w:rPr>
      </w:pPr>
    </w:p>
    <w:p w:rsidR="00734F44" w:rsidRPr="00201969" w:rsidRDefault="00101549" w:rsidP="00734F44">
      <w:pPr>
        <w:rPr>
          <w:sz w:val="20"/>
          <w:szCs w:val="20"/>
          <w:u w:val="single"/>
        </w:rPr>
      </w:pPr>
      <w:r w:rsidRPr="00201969">
        <w:rPr>
          <w:rFonts w:hint="eastAsia"/>
          <w:sz w:val="20"/>
          <w:szCs w:val="20"/>
          <w:u w:val="single"/>
        </w:rPr>
        <w:t>●従来のコールセンターの撤退</w:t>
      </w:r>
      <w:r w:rsidRPr="00201969">
        <w:rPr>
          <w:rFonts w:hint="eastAsia"/>
          <w:sz w:val="20"/>
          <w:szCs w:val="20"/>
          <w:u w:val="single"/>
        </w:rPr>
        <w:t>(7</w:t>
      </w:r>
      <w:r w:rsidR="00611BC9" w:rsidRPr="00201969">
        <w:rPr>
          <w:rFonts w:hint="eastAsia"/>
          <w:sz w:val="20"/>
          <w:szCs w:val="20"/>
          <w:u w:val="single"/>
        </w:rPr>
        <w:t>/</w:t>
      </w:r>
      <w:r w:rsidRPr="00201969">
        <w:rPr>
          <w:rFonts w:hint="eastAsia"/>
          <w:sz w:val="20"/>
          <w:szCs w:val="20"/>
          <w:u w:val="single"/>
        </w:rPr>
        <w:t>14)</w:t>
      </w:r>
    </w:p>
    <w:p w:rsidR="00734F44" w:rsidRPr="00201969" w:rsidRDefault="00734F44" w:rsidP="00734F44">
      <w:pPr>
        <w:rPr>
          <w:sz w:val="20"/>
          <w:szCs w:val="20"/>
        </w:rPr>
      </w:pPr>
      <w:r w:rsidRPr="00201969">
        <w:rPr>
          <w:rFonts w:hint="eastAsia"/>
          <w:sz w:val="20"/>
          <w:szCs w:val="20"/>
        </w:rPr>
        <w:t>今年に</w:t>
      </w:r>
      <w:r w:rsidRPr="00201969">
        <w:rPr>
          <w:rFonts w:hint="eastAsia"/>
          <w:sz w:val="20"/>
          <w:szCs w:val="20"/>
        </w:rPr>
        <w:t>4</w:t>
      </w:r>
      <w:r w:rsidRPr="00201969">
        <w:rPr>
          <w:rFonts w:hint="eastAsia"/>
          <w:sz w:val="20"/>
          <w:szCs w:val="20"/>
        </w:rPr>
        <w:t>月に</w:t>
      </w:r>
      <w:r w:rsidR="00AC3C16" w:rsidRPr="00201969">
        <w:rPr>
          <w:rFonts w:hint="eastAsia"/>
          <w:sz w:val="20"/>
          <w:szCs w:val="20"/>
        </w:rPr>
        <w:t>バンク・オブ・アメリカ</w:t>
      </w:r>
      <w:r w:rsidRPr="00201969">
        <w:rPr>
          <w:rFonts w:hint="eastAsia"/>
          <w:sz w:val="20"/>
          <w:szCs w:val="20"/>
        </w:rPr>
        <w:t>、</w:t>
      </w:r>
      <w:r w:rsidRPr="00201969">
        <w:rPr>
          <w:rFonts w:hint="eastAsia"/>
          <w:sz w:val="20"/>
          <w:szCs w:val="20"/>
        </w:rPr>
        <w:t>8</w:t>
      </w:r>
      <w:r w:rsidRPr="00201969">
        <w:rPr>
          <w:rFonts w:hint="eastAsia"/>
          <w:sz w:val="20"/>
          <w:szCs w:val="20"/>
        </w:rPr>
        <w:t>月</w:t>
      </w:r>
      <w:r w:rsidR="00AC3C16" w:rsidRPr="00201969">
        <w:rPr>
          <w:rFonts w:hint="eastAsia"/>
          <w:sz w:val="20"/>
          <w:szCs w:val="20"/>
        </w:rPr>
        <w:t>末</w:t>
      </w:r>
      <w:r w:rsidRPr="00201969">
        <w:rPr>
          <w:rFonts w:hint="eastAsia"/>
          <w:sz w:val="20"/>
          <w:szCs w:val="20"/>
        </w:rPr>
        <w:t>に</w:t>
      </w:r>
      <w:r w:rsidR="00AC3C16" w:rsidRPr="00201969">
        <w:rPr>
          <w:rFonts w:hint="eastAsia"/>
          <w:sz w:val="20"/>
          <w:szCs w:val="20"/>
        </w:rPr>
        <w:t>は</w:t>
      </w:r>
      <w:r w:rsidRPr="00201969">
        <w:rPr>
          <w:rFonts w:hint="eastAsia"/>
          <w:sz w:val="20"/>
          <w:szCs w:val="20"/>
        </w:rPr>
        <w:t xml:space="preserve">Star </w:t>
      </w:r>
      <w:proofErr w:type="spellStart"/>
      <w:r w:rsidRPr="00201969">
        <w:rPr>
          <w:rFonts w:hint="eastAsia"/>
          <w:sz w:val="20"/>
          <w:szCs w:val="20"/>
        </w:rPr>
        <w:t>Tek</w:t>
      </w:r>
      <w:proofErr w:type="spellEnd"/>
      <w:r w:rsidRPr="00201969">
        <w:rPr>
          <w:rFonts w:hint="eastAsia"/>
          <w:sz w:val="20"/>
          <w:szCs w:val="20"/>
        </w:rPr>
        <w:t>社が</w:t>
      </w:r>
      <w:r w:rsidR="00AC3C16" w:rsidRPr="00201969">
        <w:rPr>
          <w:rFonts w:hint="eastAsia"/>
          <w:sz w:val="20"/>
          <w:szCs w:val="20"/>
        </w:rPr>
        <w:t>コールセンター部門を閉鎖し</w:t>
      </w:r>
      <w:r w:rsidRPr="00201969">
        <w:rPr>
          <w:rFonts w:hint="eastAsia"/>
          <w:sz w:val="20"/>
          <w:szCs w:val="20"/>
        </w:rPr>
        <w:t>、後者はホンジュラスに拠点を移す予定</w:t>
      </w:r>
      <w:r w:rsidR="00AC3C16" w:rsidRPr="00201969">
        <w:rPr>
          <w:rFonts w:hint="eastAsia"/>
          <w:sz w:val="20"/>
          <w:szCs w:val="20"/>
        </w:rPr>
        <w:t>となっている</w:t>
      </w:r>
      <w:r w:rsidRPr="00201969">
        <w:rPr>
          <w:rFonts w:hint="eastAsia"/>
          <w:sz w:val="20"/>
          <w:szCs w:val="20"/>
        </w:rPr>
        <w:t>。</w:t>
      </w:r>
      <w:r w:rsidR="00AC3C16" w:rsidRPr="00201969">
        <w:rPr>
          <w:rFonts w:hint="eastAsia"/>
          <w:sz w:val="20"/>
          <w:szCs w:val="20"/>
        </w:rPr>
        <w:t>コールセンター業は</w:t>
      </w:r>
      <w:r w:rsidRPr="00201969">
        <w:rPr>
          <w:rFonts w:hint="eastAsia"/>
          <w:sz w:val="20"/>
          <w:szCs w:val="20"/>
        </w:rPr>
        <w:t>2006</w:t>
      </w:r>
      <w:r w:rsidRPr="00201969">
        <w:rPr>
          <w:rFonts w:hint="eastAsia"/>
          <w:sz w:val="20"/>
          <w:szCs w:val="20"/>
        </w:rPr>
        <w:t>年</w:t>
      </w:r>
      <w:r w:rsidR="00AC3C16" w:rsidRPr="00201969">
        <w:rPr>
          <w:rFonts w:hint="eastAsia"/>
          <w:sz w:val="20"/>
          <w:szCs w:val="20"/>
        </w:rPr>
        <w:t>頃</w:t>
      </w:r>
      <w:r w:rsidRPr="00201969">
        <w:rPr>
          <w:rFonts w:hint="eastAsia"/>
          <w:sz w:val="20"/>
          <w:szCs w:val="20"/>
        </w:rPr>
        <w:t>から主要産業</w:t>
      </w:r>
      <w:r w:rsidR="00AC3C16" w:rsidRPr="00201969">
        <w:rPr>
          <w:rFonts w:hint="eastAsia"/>
          <w:sz w:val="20"/>
          <w:szCs w:val="20"/>
        </w:rPr>
        <w:t>の１つとなり、</w:t>
      </w:r>
      <w:r w:rsidRPr="00201969">
        <w:rPr>
          <w:rFonts w:hint="eastAsia"/>
          <w:sz w:val="20"/>
          <w:szCs w:val="20"/>
        </w:rPr>
        <w:t>一時期は人材確保のために各企業が従業員の福利厚生サービスを充実させていた。しかし、これが</w:t>
      </w:r>
      <w:r w:rsidR="008C5E86">
        <w:rPr>
          <w:rFonts w:hint="eastAsia"/>
          <w:sz w:val="20"/>
          <w:szCs w:val="20"/>
        </w:rPr>
        <w:t>高コスト化につながり、</w:t>
      </w:r>
      <w:r w:rsidR="000A7E9B">
        <w:rPr>
          <w:rFonts w:hint="eastAsia"/>
          <w:sz w:val="20"/>
          <w:szCs w:val="20"/>
        </w:rPr>
        <w:t>コスタリカの</w:t>
      </w:r>
      <w:r w:rsidRPr="00201969">
        <w:rPr>
          <w:rFonts w:hint="eastAsia"/>
          <w:sz w:val="20"/>
          <w:szCs w:val="20"/>
        </w:rPr>
        <w:t>国際競争力を弱めたとモラ</w:t>
      </w:r>
      <w:r w:rsidR="00AC3C16" w:rsidRPr="00201969">
        <w:rPr>
          <w:rFonts w:hint="eastAsia"/>
          <w:sz w:val="20"/>
          <w:szCs w:val="20"/>
        </w:rPr>
        <w:t>貿易</w:t>
      </w:r>
      <w:r w:rsidRPr="00201969">
        <w:rPr>
          <w:rFonts w:hint="eastAsia"/>
          <w:sz w:val="20"/>
          <w:szCs w:val="20"/>
        </w:rPr>
        <w:t>大臣は指摘</w:t>
      </w:r>
      <w:r w:rsidR="00AC3C16" w:rsidRPr="00201969">
        <w:rPr>
          <w:rFonts w:hint="eastAsia"/>
          <w:sz w:val="20"/>
          <w:szCs w:val="20"/>
        </w:rPr>
        <w:t>している</w:t>
      </w:r>
      <w:r w:rsidRPr="00201969">
        <w:rPr>
          <w:rFonts w:hint="eastAsia"/>
          <w:sz w:val="20"/>
          <w:szCs w:val="20"/>
        </w:rPr>
        <w:t>。</w:t>
      </w:r>
      <w:r w:rsidR="00AC3C16" w:rsidRPr="00201969">
        <w:rPr>
          <w:rFonts w:hint="eastAsia"/>
          <w:sz w:val="20"/>
          <w:szCs w:val="20"/>
        </w:rPr>
        <w:t>同大臣は</w:t>
      </w:r>
      <w:r w:rsidRPr="00201969">
        <w:rPr>
          <w:rFonts w:hint="eastAsia"/>
          <w:sz w:val="20"/>
          <w:szCs w:val="20"/>
        </w:rPr>
        <w:t>政府にとっても、今後の経済成長にとって</w:t>
      </w:r>
      <w:r w:rsidR="00AC3C16" w:rsidRPr="00201969">
        <w:rPr>
          <w:rFonts w:hint="eastAsia"/>
          <w:sz w:val="20"/>
          <w:szCs w:val="20"/>
        </w:rPr>
        <w:t>コールセンター業は</w:t>
      </w:r>
      <w:r w:rsidRPr="00201969">
        <w:rPr>
          <w:rFonts w:hint="eastAsia"/>
          <w:sz w:val="20"/>
          <w:szCs w:val="20"/>
        </w:rPr>
        <w:t>重要ではなく、優先するのは農業分野における</w:t>
      </w:r>
      <w:r w:rsidR="00AC3C16" w:rsidRPr="00201969">
        <w:rPr>
          <w:rFonts w:hint="eastAsia"/>
          <w:sz w:val="20"/>
          <w:szCs w:val="20"/>
        </w:rPr>
        <w:t>外国直接投資</w:t>
      </w:r>
      <w:r w:rsidRPr="00201969">
        <w:rPr>
          <w:rFonts w:hint="eastAsia"/>
          <w:sz w:val="20"/>
          <w:szCs w:val="20"/>
        </w:rPr>
        <w:t>の増加</w:t>
      </w:r>
      <w:r w:rsidR="00AC3C16" w:rsidRPr="00201969">
        <w:rPr>
          <w:rFonts w:hint="eastAsia"/>
          <w:sz w:val="20"/>
          <w:szCs w:val="20"/>
        </w:rPr>
        <w:t>であるとした</w:t>
      </w:r>
      <w:r w:rsidRPr="00201969">
        <w:rPr>
          <w:rFonts w:hint="eastAsia"/>
          <w:sz w:val="20"/>
          <w:szCs w:val="20"/>
        </w:rPr>
        <w:t>。</w:t>
      </w:r>
    </w:p>
    <w:p w:rsidR="004D140E" w:rsidRDefault="004D140E" w:rsidP="00734F44">
      <w:pPr>
        <w:rPr>
          <w:sz w:val="20"/>
          <w:szCs w:val="20"/>
        </w:rPr>
      </w:pPr>
    </w:p>
    <w:p w:rsidR="000A7E9B" w:rsidRPr="00201969" w:rsidRDefault="000A7E9B" w:rsidP="00734F44">
      <w:pPr>
        <w:rPr>
          <w:sz w:val="20"/>
          <w:szCs w:val="20"/>
        </w:rPr>
      </w:pPr>
    </w:p>
    <w:p w:rsidR="004D140E" w:rsidRPr="00201969" w:rsidRDefault="00934C00" w:rsidP="004D140E">
      <w:pPr>
        <w:rPr>
          <w:sz w:val="20"/>
          <w:szCs w:val="20"/>
          <w:u w:val="single"/>
        </w:rPr>
      </w:pPr>
      <w:r w:rsidRPr="00201969">
        <w:rPr>
          <w:rFonts w:hint="eastAsia"/>
          <w:sz w:val="20"/>
          <w:szCs w:val="20"/>
          <w:u w:val="single"/>
        </w:rPr>
        <w:lastRenderedPageBreak/>
        <w:t>●</w:t>
      </w:r>
      <w:r w:rsidR="004D140E" w:rsidRPr="00201969">
        <w:rPr>
          <w:rFonts w:hint="eastAsia"/>
          <w:sz w:val="20"/>
          <w:szCs w:val="20"/>
          <w:u w:val="single"/>
        </w:rPr>
        <w:t>国内製造業</w:t>
      </w:r>
      <w:r w:rsidRPr="00201969">
        <w:rPr>
          <w:rFonts w:hint="eastAsia"/>
          <w:sz w:val="20"/>
          <w:szCs w:val="20"/>
          <w:u w:val="single"/>
        </w:rPr>
        <w:t>と雇用状況が低迷</w:t>
      </w:r>
      <w:r w:rsidRPr="00201969">
        <w:rPr>
          <w:rFonts w:hint="eastAsia"/>
          <w:sz w:val="20"/>
          <w:szCs w:val="20"/>
          <w:u w:val="single"/>
        </w:rPr>
        <w:t>(7</w:t>
      </w:r>
      <w:r w:rsidR="00611BC9" w:rsidRPr="00201969">
        <w:rPr>
          <w:rFonts w:hint="eastAsia"/>
          <w:sz w:val="20"/>
          <w:szCs w:val="20"/>
          <w:u w:val="single"/>
        </w:rPr>
        <w:t>/</w:t>
      </w:r>
      <w:r w:rsidRPr="00201969">
        <w:rPr>
          <w:rFonts w:hint="eastAsia"/>
          <w:sz w:val="20"/>
          <w:szCs w:val="20"/>
          <w:u w:val="single"/>
        </w:rPr>
        <w:t>15)</w:t>
      </w:r>
    </w:p>
    <w:p w:rsidR="004D140E" w:rsidRPr="00201969" w:rsidRDefault="004D140E" w:rsidP="004D140E">
      <w:pPr>
        <w:rPr>
          <w:sz w:val="20"/>
          <w:szCs w:val="20"/>
        </w:rPr>
      </w:pPr>
      <w:r w:rsidRPr="00201969">
        <w:rPr>
          <w:rFonts w:hint="eastAsia"/>
          <w:sz w:val="20"/>
          <w:szCs w:val="20"/>
        </w:rPr>
        <w:t>輸出低迷などに伴う生産量の減少</w:t>
      </w:r>
      <w:r w:rsidR="00FA627D" w:rsidRPr="00201969">
        <w:rPr>
          <w:rFonts w:hint="eastAsia"/>
          <w:sz w:val="20"/>
          <w:szCs w:val="20"/>
        </w:rPr>
        <w:t>により、</w:t>
      </w:r>
      <w:r w:rsidRPr="00201969">
        <w:rPr>
          <w:rFonts w:hint="eastAsia"/>
          <w:sz w:val="20"/>
          <w:szCs w:val="20"/>
        </w:rPr>
        <w:t>今年の</w:t>
      </w:r>
      <w:r w:rsidRPr="00201969">
        <w:rPr>
          <w:rFonts w:hint="eastAsia"/>
          <w:sz w:val="20"/>
          <w:szCs w:val="20"/>
        </w:rPr>
        <w:t>5</w:t>
      </w:r>
      <w:r w:rsidRPr="00201969">
        <w:rPr>
          <w:rFonts w:hint="eastAsia"/>
          <w:sz w:val="20"/>
          <w:szCs w:val="20"/>
        </w:rPr>
        <w:t>月で</w:t>
      </w:r>
      <w:r w:rsidR="00FA627D" w:rsidRPr="00201969">
        <w:rPr>
          <w:rFonts w:hint="eastAsia"/>
          <w:sz w:val="20"/>
          <w:szCs w:val="20"/>
        </w:rPr>
        <w:t>製造業における雇用者数は</w:t>
      </w:r>
      <w:r w:rsidRPr="00201969">
        <w:rPr>
          <w:rFonts w:hint="eastAsia"/>
          <w:sz w:val="20"/>
          <w:szCs w:val="20"/>
        </w:rPr>
        <w:t>12</w:t>
      </w:r>
      <w:r w:rsidRPr="00201969">
        <w:rPr>
          <w:rFonts w:hint="eastAsia"/>
          <w:sz w:val="20"/>
          <w:szCs w:val="20"/>
        </w:rPr>
        <w:t>ヶ月連続</w:t>
      </w:r>
      <w:r w:rsidR="00FA627D" w:rsidRPr="00201969">
        <w:rPr>
          <w:rFonts w:hint="eastAsia"/>
          <w:sz w:val="20"/>
          <w:szCs w:val="20"/>
        </w:rPr>
        <w:t>で</w:t>
      </w:r>
      <w:r w:rsidRPr="00201969">
        <w:rPr>
          <w:rFonts w:hint="eastAsia"/>
          <w:sz w:val="20"/>
          <w:szCs w:val="20"/>
        </w:rPr>
        <w:t>減少</w:t>
      </w:r>
      <w:r w:rsidR="00FA627D" w:rsidRPr="00201969">
        <w:rPr>
          <w:rFonts w:hint="eastAsia"/>
          <w:sz w:val="20"/>
          <w:szCs w:val="20"/>
        </w:rPr>
        <w:t>している</w:t>
      </w:r>
      <w:r w:rsidRPr="00201969">
        <w:rPr>
          <w:rFonts w:hint="eastAsia"/>
          <w:sz w:val="20"/>
          <w:szCs w:val="20"/>
        </w:rPr>
        <w:t>。企業</w:t>
      </w:r>
      <w:r w:rsidR="00C15270">
        <w:rPr>
          <w:rFonts w:hint="eastAsia"/>
          <w:sz w:val="20"/>
          <w:szCs w:val="20"/>
        </w:rPr>
        <w:t>界</w:t>
      </w:r>
      <w:r w:rsidR="00FA627D" w:rsidRPr="00201969">
        <w:rPr>
          <w:rFonts w:hint="eastAsia"/>
          <w:sz w:val="20"/>
          <w:szCs w:val="20"/>
        </w:rPr>
        <w:t>からは</w:t>
      </w:r>
      <w:r w:rsidRPr="00201969">
        <w:rPr>
          <w:rFonts w:hint="eastAsia"/>
          <w:sz w:val="20"/>
          <w:szCs w:val="20"/>
        </w:rPr>
        <w:t>電力及び燃料</w:t>
      </w:r>
      <w:r w:rsidR="00B742E6">
        <w:rPr>
          <w:rFonts w:hint="eastAsia"/>
          <w:sz w:val="20"/>
          <w:szCs w:val="20"/>
        </w:rPr>
        <w:t>の価格</w:t>
      </w:r>
      <w:r w:rsidRPr="00201969">
        <w:rPr>
          <w:rFonts w:hint="eastAsia"/>
          <w:sz w:val="20"/>
          <w:szCs w:val="20"/>
        </w:rPr>
        <w:t>、経営に必要な手続きの</w:t>
      </w:r>
      <w:r w:rsidR="00B742E6">
        <w:rPr>
          <w:rFonts w:hint="eastAsia"/>
          <w:sz w:val="20"/>
          <w:szCs w:val="20"/>
        </w:rPr>
        <w:t>煩雑さ</w:t>
      </w:r>
      <w:r w:rsidRPr="00201969">
        <w:rPr>
          <w:rFonts w:hint="eastAsia"/>
          <w:sz w:val="20"/>
          <w:szCs w:val="20"/>
        </w:rPr>
        <w:t>など</w:t>
      </w:r>
      <w:r w:rsidR="00FA627D" w:rsidRPr="00201969">
        <w:rPr>
          <w:rFonts w:hint="eastAsia"/>
          <w:sz w:val="20"/>
          <w:szCs w:val="20"/>
        </w:rPr>
        <w:t>の問題点が指摘されている。現在は</w:t>
      </w:r>
      <w:r w:rsidRPr="00201969">
        <w:rPr>
          <w:rFonts w:hint="eastAsia"/>
          <w:sz w:val="20"/>
          <w:szCs w:val="20"/>
        </w:rPr>
        <w:t>多くの企業が経営の一部を他国</w:t>
      </w:r>
      <w:r w:rsidRPr="00201969">
        <w:rPr>
          <w:rFonts w:hint="eastAsia"/>
          <w:sz w:val="20"/>
          <w:szCs w:val="20"/>
        </w:rPr>
        <w:t>(</w:t>
      </w:r>
      <w:r w:rsidRPr="00201969">
        <w:rPr>
          <w:rFonts w:hint="eastAsia"/>
          <w:sz w:val="20"/>
          <w:szCs w:val="20"/>
        </w:rPr>
        <w:t>グアテマラやエルサル</w:t>
      </w:r>
      <w:r w:rsidR="00FA627D" w:rsidRPr="00201969">
        <w:rPr>
          <w:rFonts w:hint="eastAsia"/>
          <w:sz w:val="20"/>
          <w:szCs w:val="20"/>
        </w:rPr>
        <w:t>バドル</w:t>
      </w:r>
      <w:r w:rsidRPr="00201969">
        <w:rPr>
          <w:rFonts w:hint="eastAsia"/>
          <w:sz w:val="20"/>
          <w:szCs w:val="20"/>
        </w:rPr>
        <w:t>)</w:t>
      </w:r>
      <w:r w:rsidRPr="00201969">
        <w:rPr>
          <w:rFonts w:hint="eastAsia"/>
          <w:sz w:val="20"/>
          <w:szCs w:val="20"/>
        </w:rPr>
        <w:t>に移転している。</w:t>
      </w:r>
      <w:r w:rsidR="00FA627D" w:rsidRPr="00201969">
        <w:rPr>
          <w:rFonts w:hint="eastAsia"/>
          <w:sz w:val="20"/>
          <w:szCs w:val="20"/>
        </w:rPr>
        <w:t>モラ貿易大臣はこの動きを</w:t>
      </w:r>
      <w:r w:rsidRPr="00201969">
        <w:rPr>
          <w:rFonts w:hint="eastAsia"/>
          <w:sz w:val="20"/>
          <w:szCs w:val="20"/>
        </w:rPr>
        <w:t>経済の周期的変化の一部</w:t>
      </w:r>
      <w:r w:rsidR="00FA627D" w:rsidRPr="00201969">
        <w:rPr>
          <w:rFonts w:hint="eastAsia"/>
          <w:sz w:val="20"/>
          <w:szCs w:val="20"/>
        </w:rPr>
        <w:t>とみなしているが、</w:t>
      </w:r>
      <w:r w:rsidRPr="00201969">
        <w:rPr>
          <w:rFonts w:hint="eastAsia"/>
          <w:sz w:val="20"/>
          <w:szCs w:val="20"/>
        </w:rPr>
        <w:t>中米経営学研究所</w:t>
      </w:r>
      <w:r w:rsidRPr="00201969">
        <w:rPr>
          <w:rFonts w:hint="eastAsia"/>
          <w:sz w:val="20"/>
          <w:szCs w:val="20"/>
        </w:rPr>
        <w:t>(INCAE)</w:t>
      </w:r>
      <w:r w:rsidR="00FA627D" w:rsidRPr="00201969">
        <w:rPr>
          <w:rFonts w:hint="eastAsia"/>
          <w:sz w:val="20"/>
          <w:szCs w:val="20"/>
        </w:rPr>
        <w:t>関係者</w:t>
      </w:r>
      <w:r w:rsidR="004411F2" w:rsidRPr="00201969">
        <w:rPr>
          <w:rFonts w:hint="eastAsia"/>
          <w:sz w:val="20"/>
          <w:szCs w:val="20"/>
        </w:rPr>
        <w:t>によると、</w:t>
      </w:r>
      <w:r w:rsidRPr="00201969">
        <w:rPr>
          <w:rFonts w:hint="eastAsia"/>
          <w:sz w:val="20"/>
          <w:szCs w:val="20"/>
        </w:rPr>
        <w:t>コスタリカはフリーゾーンでの経済活動と投資に偏重しすぎ、国際的レベルの地元企業を育てることを怠ってきたと指摘</w:t>
      </w:r>
      <w:r w:rsidR="00FA627D" w:rsidRPr="00201969">
        <w:rPr>
          <w:rFonts w:hint="eastAsia"/>
          <w:sz w:val="20"/>
          <w:szCs w:val="20"/>
        </w:rPr>
        <w:t>している。</w:t>
      </w:r>
      <w:r w:rsidRPr="00201969">
        <w:rPr>
          <w:rFonts w:hint="eastAsia"/>
          <w:sz w:val="20"/>
          <w:szCs w:val="20"/>
        </w:rPr>
        <w:t>今後製造業界は、政府に対し、国内製造業の</w:t>
      </w:r>
      <w:r w:rsidRPr="00201969">
        <w:rPr>
          <w:rFonts w:hint="eastAsia"/>
          <w:sz w:val="20"/>
          <w:szCs w:val="20"/>
        </w:rPr>
        <w:t>25</w:t>
      </w:r>
      <w:r w:rsidRPr="00201969">
        <w:rPr>
          <w:rFonts w:hint="eastAsia"/>
          <w:sz w:val="20"/>
          <w:szCs w:val="20"/>
        </w:rPr>
        <w:t>％近くを占めるイノベーションや知的産業への支援を増大させるように求めていく</w:t>
      </w:r>
      <w:r w:rsidR="00B742E6">
        <w:rPr>
          <w:rFonts w:hint="eastAsia"/>
          <w:sz w:val="20"/>
          <w:szCs w:val="20"/>
        </w:rPr>
        <w:t>考えである</w:t>
      </w:r>
      <w:r w:rsidRPr="00201969">
        <w:rPr>
          <w:rFonts w:hint="eastAsia"/>
          <w:sz w:val="20"/>
          <w:szCs w:val="20"/>
        </w:rPr>
        <w:t>。</w:t>
      </w:r>
    </w:p>
    <w:p w:rsidR="009A6A90" w:rsidRPr="00201969" w:rsidRDefault="009A6A90" w:rsidP="00CD497D">
      <w:pPr>
        <w:rPr>
          <w:sz w:val="20"/>
          <w:szCs w:val="20"/>
        </w:rPr>
      </w:pPr>
    </w:p>
    <w:p w:rsidR="009A6A90" w:rsidRPr="00201969" w:rsidRDefault="009A6A90" w:rsidP="00CD497D">
      <w:pPr>
        <w:rPr>
          <w:sz w:val="20"/>
          <w:szCs w:val="20"/>
        </w:rPr>
      </w:pPr>
      <w:r w:rsidRPr="00201969">
        <w:rPr>
          <w:rFonts w:hint="eastAsia"/>
          <w:sz w:val="20"/>
          <w:szCs w:val="20"/>
        </w:rPr>
        <w:t>ウ</w:t>
      </w:r>
      <w:r w:rsidR="00461844" w:rsidRPr="00201969">
        <w:rPr>
          <w:rFonts w:hint="eastAsia"/>
          <w:sz w:val="20"/>
          <w:szCs w:val="20"/>
        </w:rPr>
        <w:t xml:space="preserve">　その他</w:t>
      </w:r>
    </w:p>
    <w:p w:rsidR="009A6A90" w:rsidRPr="00201969" w:rsidRDefault="006C47C5" w:rsidP="009A6A90">
      <w:pPr>
        <w:rPr>
          <w:sz w:val="20"/>
          <w:szCs w:val="20"/>
          <w:u w:val="single"/>
        </w:rPr>
      </w:pPr>
      <w:r w:rsidRPr="00201969">
        <w:rPr>
          <w:rFonts w:hint="eastAsia"/>
          <w:sz w:val="20"/>
          <w:szCs w:val="20"/>
          <w:u w:val="single"/>
        </w:rPr>
        <w:t>●</w:t>
      </w:r>
      <w:r w:rsidR="009A6A90" w:rsidRPr="00201969">
        <w:rPr>
          <w:rFonts w:hint="eastAsia"/>
          <w:sz w:val="20"/>
          <w:szCs w:val="20"/>
          <w:u w:val="single"/>
        </w:rPr>
        <w:t>企業</w:t>
      </w:r>
      <w:r w:rsidRPr="00201969">
        <w:rPr>
          <w:rFonts w:hint="eastAsia"/>
          <w:sz w:val="20"/>
          <w:szCs w:val="20"/>
          <w:u w:val="single"/>
        </w:rPr>
        <w:t>団体</w:t>
      </w:r>
      <w:r w:rsidR="009A6A90" w:rsidRPr="00201969">
        <w:rPr>
          <w:rFonts w:hint="eastAsia"/>
          <w:sz w:val="20"/>
          <w:szCs w:val="20"/>
          <w:u w:val="single"/>
        </w:rPr>
        <w:t>、ペトロ</w:t>
      </w:r>
      <w:r w:rsidR="000A7E9B">
        <w:rPr>
          <w:rFonts w:hint="eastAsia"/>
          <w:sz w:val="20"/>
          <w:szCs w:val="20"/>
          <w:u w:val="single"/>
        </w:rPr>
        <w:t>・</w:t>
      </w:r>
      <w:r w:rsidR="009A6A90" w:rsidRPr="00201969">
        <w:rPr>
          <w:rFonts w:hint="eastAsia"/>
          <w:sz w:val="20"/>
          <w:szCs w:val="20"/>
          <w:u w:val="single"/>
        </w:rPr>
        <w:t>カリブ加盟を断固拒否</w:t>
      </w:r>
      <w:r w:rsidRPr="00201969">
        <w:rPr>
          <w:rFonts w:hint="eastAsia"/>
          <w:sz w:val="20"/>
          <w:szCs w:val="20"/>
          <w:u w:val="single"/>
        </w:rPr>
        <w:t>(7</w:t>
      </w:r>
      <w:r w:rsidR="00611BC9" w:rsidRPr="00201969">
        <w:rPr>
          <w:rFonts w:hint="eastAsia"/>
          <w:sz w:val="20"/>
          <w:szCs w:val="20"/>
          <w:u w:val="single"/>
        </w:rPr>
        <w:t>/</w:t>
      </w:r>
      <w:r w:rsidRPr="00201969">
        <w:rPr>
          <w:rFonts w:hint="eastAsia"/>
          <w:sz w:val="20"/>
          <w:szCs w:val="20"/>
          <w:u w:val="single"/>
        </w:rPr>
        <w:t>22)</w:t>
      </w:r>
    </w:p>
    <w:p w:rsidR="00F75A27" w:rsidRPr="005A0113" w:rsidRDefault="009A6A90" w:rsidP="00CF4A02">
      <w:pPr>
        <w:rPr>
          <w:sz w:val="20"/>
          <w:szCs w:val="20"/>
        </w:rPr>
      </w:pPr>
      <w:r w:rsidRPr="00201969">
        <w:rPr>
          <w:rFonts w:hint="eastAsia"/>
          <w:sz w:val="20"/>
          <w:szCs w:val="20"/>
        </w:rPr>
        <w:t>コスタリカ民間企業部門商工会議所</w:t>
      </w:r>
      <w:r w:rsidR="002D6E30" w:rsidRPr="00201969">
        <w:rPr>
          <w:rFonts w:hint="eastAsia"/>
          <w:sz w:val="20"/>
          <w:szCs w:val="20"/>
        </w:rPr>
        <w:t>(</w:t>
      </w:r>
      <w:proofErr w:type="spellStart"/>
      <w:r w:rsidR="002D6E30" w:rsidRPr="00201969">
        <w:rPr>
          <w:rFonts w:hint="eastAsia"/>
          <w:sz w:val="20"/>
          <w:szCs w:val="20"/>
        </w:rPr>
        <w:t>Uccaep</w:t>
      </w:r>
      <w:proofErr w:type="spellEnd"/>
      <w:r w:rsidRPr="00201969">
        <w:rPr>
          <w:rFonts w:hint="eastAsia"/>
          <w:sz w:val="20"/>
          <w:szCs w:val="20"/>
        </w:rPr>
        <w:t>)</w:t>
      </w:r>
      <w:r w:rsidRPr="00201969">
        <w:rPr>
          <w:rFonts w:hint="eastAsia"/>
          <w:sz w:val="20"/>
          <w:szCs w:val="20"/>
        </w:rPr>
        <w:t>は</w:t>
      </w:r>
      <w:r w:rsidR="00B742E6">
        <w:rPr>
          <w:rFonts w:hint="eastAsia"/>
          <w:sz w:val="20"/>
          <w:szCs w:val="20"/>
        </w:rPr>
        <w:t>7</w:t>
      </w:r>
      <w:r w:rsidR="00B742E6">
        <w:rPr>
          <w:rFonts w:hint="eastAsia"/>
          <w:sz w:val="20"/>
          <w:szCs w:val="20"/>
        </w:rPr>
        <w:t>月</w:t>
      </w:r>
      <w:r w:rsidR="00B742E6">
        <w:rPr>
          <w:rFonts w:hint="eastAsia"/>
          <w:sz w:val="20"/>
          <w:szCs w:val="20"/>
        </w:rPr>
        <w:t>21</w:t>
      </w:r>
      <w:r w:rsidR="00B742E6">
        <w:rPr>
          <w:rFonts w:hint="eastAsia"/>
          <w:sz w:val="20"/>
          <w:szCs w:val="20"/>
        </w:rPr>
        <w:t>日</w:t>
      </w:r>
      <w:r w:rsidRPr="00201969">
        <w:rPr>
          <w:rFonts w:hint="eastAsia"/>
          <w:sz w:val="20"/>
          <w:szCs w:val="20"/>
        </w:rPr>
        <w:t>、現在コスタリカ政府が検討している</w:t>
      </w:r>
      <w:r w:rsidR="004A4BBD" w:rsidRPr="00201969">
        <w:rPr>
          <w:rFonts w:hint="eastAsia"/>
          <w:sz w:val="20"/>
          <w:szCs w:val="20"/>
        </w:rPr>
        <w:t>ペトロ・カリブ</w:t>
      </w:r>
      <w:r w:rsidRPr="00201969">
        <w:rPr>
          <w:rFonts w:hint="eastAsia"/>
          <w:sz w:val="20"/>
          <w:szCs w:val="20"/>
        </w:rPr>
        <w:t>加盟への反対姿勢を</w:t>
      </w:r>
      <w:r w:rsidR="002D6E30" w:rsidRPr="00201969">
        <w:rPr>
          <w:rFonts w:hint="eastAsia"/>
          <w:sz w:val="20"/>
          <w:szCs w:val="20"/>
        </w:rPr>
        <w:t>表明した</w:t>
      </w:r>
      <w:r w:rsidRPr="00201969">
        <w:rPr>
          <w:rFonts w:hint="eastAsia"/>
          <w:sz w:val="20"/>
          <w:szCs w:val="20"/>
        </w:rPr>
        <w:t>。</w:t>
      </w:r>
      <w:r w:rsidR="002D6E30" w:rsidRPr="00201969">
        <w:rPr>
          <w:rFonts w:hint="eastAsia"/>
          <w:sz w:val="20"/>
          <w:szCs w:val="20"/>
        </w:rPr>
        <w:t>その理由として、安く燃料が</w:t>
      </w:r>
      <w:r w:rsidR="00B742E6">
        <w:rPr>
          <w:rFonts w:hint="eastAsia"/>
          <w:sz w:val="20"/>
          <w:szCs w:val="20"/>
        </w:rPr>
        <w:t>輸入できたとしても</w:t>
      </w:r>
      <w:r w:rsidR="002D6E30" w:rsidRPr="00201969">
        <w:rPr>
          <w:rFonts w:hint="eastAsia"/>
          <w:sz w:val="20"/>
          <w:szCs w:val="20"/>
        </w:rPr>
        <w:t>ガソリンや電力</w:t>
      </w:r>
      <w:r w:rsidR="00B742E6">
        <w:rPr>
          <w:rFonts w:hint="eastAsia"/>
          <w:sz w:val="20"/>
          <w:szCs w:val="20"/>
        </w:rPr>
        <w:t>の価格は</w:t>
      </w:r>
      <w:r w:rsidR="002D6E30" w:rsidRPr="00201969">
        <w:rPr>
          <w:rFonts w:hint="eastAsia"/>
          <w:sz w:val="20"/>
          <w:szCs w:val="20"/>
        </w:rPr>
        <w:t>下が</w:t>
      </w:r>
      <w:r w:rsidR="00B742E6">
        <w:rPr>
          <w:rFonts w:hint="eastAsia"/>
          <w:sz w:val="20"/>
          <w:szCs w:val="20"/>
        </w:rPr>
        <w:t>らない</w:t>
      </w:r>
      <w:r w:rsidR="002D6E30" w:rsidRPr="00201969">
        <w:rPr>
          <w:rFonts w:hint="eastAsia"/>
          <w:sz w:val="20"/>
          <w:szCs w:val="20"/>
        </w:rPr>
        <w:t>と判断したことがあげられている</w:t>
      </w:r>
      <w:r w:rsidRPr="00201969">
        <w:rPr>
          <w:rFonts w:hint="eastAsia"/>
          <w:sz w:val="20"/>
          <w:szCs w:val="20"/>
        </w:rPr>
        <w:t>。</w:t>
      </w:r>
      <w:r w:rsidR="004A4BBD" w:rsidRPr="00201969">
        <w:rPr>
          <w:rFonts w:hint="eastAsia"/>
          <w:sz w:val="20"/>
          <w:szCs w:val="20"/>
        </w:rPr>
        <w:t>同会議所は、</w:t>
      </w:r>
      <w:r w:rsidR="000A7E9B" w:rsidRPr="00201969">
        <w:rPr>
          <w:rFonts w:hint="eastAsia"/>
          <w:sz w:val="20"/>
          <w:szCs w:val="20"/>
        </w:rPr>
        <w:t>ペトロ・カリブ</w:t>
      </w:r>
      <w:r w:rsidRPr="00201969">
        <w:rPr>
          <w:rFonts w:hint="eastAsia"/>
          <w:sz w:val="20"/>
          <w:szCs w:val="20"/>
        </w:rPr>
        <w:t>はベネズエラが地域での政治的影響力を高めるための</w:t>
      </w:r>
      <w:r w:rsidR="00B742E6">
        <w:rPr>
          <w:rFonts w:hint="eastAsia"/>
          <w:sz w:val="20"/>
          <w:szCs w:val="20"/>
        </w:rPr>
        <w:t>一つ</w:t>
      </w:r>
      <w:r w:rsidRPr="00201969">
        <w:rPr>
          <w:rFonts w:hint="eastAsia"/>
          <w:sz w:val="20"/>
          <w:szCs w:val="20"/>
        </w:rPr>
        <w:t>の手法であり、</w:t>
      </w:r>
      <w:r w:rsidRPr="00201969">
        <w:rPr>
          <w:rFonts w:hint="eastAsia"/>
          <w:sz w:val="20"/>
          <w:szCs w:val="20"/>
        </w:rPr>
        <w:t>ALBA(</w:t>
      </w:r>
      <w:r w:rsidRPr="00201969">
        <w:rPr>
          <w:rFonts w:hint="eastAsia"/>
          <w:sz w:val="20"/>
          <w:szCs w:val="20"/>
        </w:rPr>
        <w:t>米州ボリバル同盟</w:t>
      </w:r>
      <w:r w:rsidRPr="00201969">
        <w:rPr>
          <w:rFonts w:hint="eastAsia"/>
          <w:sz w:val="20"/>
          <w:szCs w:val="20"/>
        </w:rPr>
        <w:t>)</w:t>
      </w:r>
      <w:r w:rsidR="004A4BBD" w:rsidRPr="00201969">
        <w:rPr>
          <w:rFonts w:hint="eastAsia"/>
          <w:sz w:val="20"/>
          <w:szCs w:val="20"/>
        </w:rPr>
        <w:t>とは切り離せない枠組</w:t>
      </w:r>
      <w:r w:rsidR="002D6E30" w:rsidRPr="00201969">
        <w:rPr>
          <w:rFonts w:hint="eastAsia"/>
          <w:sz w:val="20"/>
          <w:szCs w:val="20"/>
        </w:rPr>
        <w:t>とみなしている</w:t>
      </w:r>
      <w:r w:rsidRPr="00201969">
        <w:rPr>
          <w:rFonts w:hint="eastAsia"/>
          <w:sz w:val="20"/>
          <w:szCs w:val="20"/>
        </w:rPr>
        <w:t>。</w:t>
      </w:r>
      <w:r w:rsidRPr="00201969">
        <w:rPr>
          <w:rFonts w:hint="eastAsia"/>
          <w:sz w:val="20"/>
          <w:szCs w:val="20"/>
        </w:rPr>
        <w:t xml:space="preserve"> </w:t>
      </w:r>
      <w:r w:rsidRPr="00201969">
        <w:rPr>
          <w:rFonts w:hint="eastAsia"/>
          <w:sz w:val="20"/>
          <w:szCs w:val="20"/>
        </w:rPr>
        <w:t>モラ</w:t>
      </w:r>
      <w:r w:rsidR="002D6E30" w:rsidRPr="00201969">
        <w:rPr>
          <w:rFonts w:hint="eastAsia"/>
          <w:sz w:val="20"/>
          <w:szCs w:val="20"/>
        </w:rPr>
        <w:t>貿易大臣は、</w:t>
      </w:r>
      <w:r w:rsidRPr="00201969">
        <w:rPr>
          <w:rFonts w:hint="eastAsia"/>
          <w:sz w:val="20"/>
          <w:szCs w:val="20"/>
        </w:rPr>
        <w:t>加盟した</w:t>
      </w:r>
      <w:r w:rsidR="00E5055E" w:rsidRPr="00201969">
        <w:rPr>
          <w:rFonts w:hint="eastAsia"/>
          <w:sz w:val="20"/>
          <w:szCs w:val="20"/>
        </w:rPr>
        <w:t>場合</w:t>
      </w:r>
      <w:r w:rsidR="00B742E6">
        <w:rPr>
          <w:rFonts w:hint="eastAsia"/>
          <w:sz w:val="20"/>
          <w:szCs w:val="20"/>
        </w:rPr>
        <w:t>に</w:t>
      </w:r>
      <w:r w:rsidR="00E5055E" w:rsidRPr="00201969">
        <w:rPr>
          <w:rFonts w:hint="eastAsia"/>
          <w:sz w:val="20"/>
          <w:szCs w:val="20"/>
        </w:rPr>
        <w:t>、現在経済活動で連携している国々との関係</w:t>
      </w:r>
      <w:r w:rsidR="00B742E6">
        <w:rPr>
          <w:rFonts w:hint="eastAsia"/>
          <w:sz w:val="20"/>
          <w:szCs w:val="20"/>
        </w:rPr>
        <w:t>への</w:t>
      </w:r>
      <w:r w:rsidRPr="00201969">
        <w:rPr>
          <w:rFonts w:hint="eastAsia"/>
          <w:sz w:val="20"/>
          <w:szCs w:val="20"/>
        </w:rPr>
        <w:t>影響</w:t>
      </w:r>
      <w:r w:rsidR="00B742E6">
        <w:rPr>
          <w:rFonts w:hint="eastAsia"/>
          <w:sz w:val="20"/>
          <w:szCs w:val="20"/>
        </w:rPr>
        <w:t>等</w:t>
      </w:r>
      <w:r w:rsidRPr="00201969">
        <w:rPr>
          <w:rFonts w:hint="eastAsia"/>
          <w:sz w:val="20"/>
          <w:szCs w:val="20"/>
        </w:rPr>
        <w:t>を分析中</w:t>
      </w:r>
      <w:r w:rsidR="002D6E30" w:rsidRPr="00201969">
        <w:rPr>
          <w:rFonts w:hint="eastAsia"/>
          <w:sz w:val="20"/>
          <w:szCs w:val="20"/>
        </w:rPr>
        <w:t>であるとした</w:t>
      </w:r>
      <w:r w:rsidRPr="00201969">
        <w:rPr>
          <w:rFonts w:hint="eastAsia"/>
          <w:sz w:val="20"/>
          <w:szCs w:val="20"/>
        </w:rPr>
        <w:t>。</w:t>
      </w:r>
      <w:r w:rsidR="00F75A27">
        <w:rPr>
          <w:rFonts w:hint="eastAsia"/>
          <w:sz w:val="20"/>
          <w:szCs w:val="20"/>
        </w:rPr>
        <w:t>(</w:t>
      </w:r>
      <w:r w:rsidR="00F75A27">
        <w:rPr>
          <w:rFonts w:hint="eastAsia"/>
          <w:sz w:val="20"/>
          <w:szCs w:val="20"/>
        </w:rPr>
        <w:t>了</w:t>
      </w:r>
      <w:r w:rsidR="00F75A27">
        <w:rPr>
          <w:rFonts w:hint="eastAsia"/>
          <w:sz w:val="20"/>
          <w:szCs w:val="20"/>
        </w:rPr>
        <w:t>)</w:t>
      </w:r>
    </w:p>
    <w:sectPr w:rsidR="00F75A27" w:rsidRPr="005A0113" w:rsidSect="00966B7C">
      <w:footerReference w:type="default" r:id="rId21"/>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5614C" w:rsidRDefault="0005614C" w:rsidP="001C09C4">
      <w:r>
        <w:separator/>
      </w:r>
    </w:p>
  </w:endnote>
  <w:endnote w:type="continuationSeparator" w:id="0">
    <w:p w:rsidR="0005614C" w:rsidRDefault="0005614C" w:rsidP="001C09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535924"/>
      <w:docPartObj>
        <w:docPartGallery w:val="Page Numbers (Bottom of Page)"/>
        <w:docPartUnique/>
      </w:docPartObj>
    </w:sdtPr>
    <w:sdtEndPr/>
    <w:sdtContent>
      <w:p w:rsidR="001C09C4" w:rsidRDefault="00CA6B04">
        <w:pPr>
          <w:pStyle w:val="a7"/>
          <w:jc w:val="right"/>
        </w:pPr>
        <w:r>
          <w:fldChar w:fldCharType="begin"/>
        </w:r>
        <w:r w:rsidR="001E5205">
          <w:instrText xml:space="preserve"> PAGE   \* MERGEFORMAT </w:instrText>
        </w:r>
        <w:r>
          <w:fldChar w:fldCharType="separate"/>
        </w:r>
        <w:r w:rsidR="00CF4A02" w:rsidRPr="00CF4A02">
          <w:rPr>
            <w:noProof/>
            <w:lang w:val="ja-JP"/>
          </w:rPr>
          <w:t>1</w:t>
        </w:r>
        <w:r>
          <w:rPr>
            <w:noProof/>
            <w:lang w:val="ja-JP"/>
          </w:rPr>
          <w:fldChar w:fldCharType="end"/>
        </w:r>
      </w:p>
    </w:sdtContent>
  </w:sdt>
  <w:p w:rsidR="001C09C4" w:rsidRDefault="001C09C4">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5614C" w:rsidRDefault="0005614C" w:rsidP="001C09C4">
      <w:r>
        <w:separator/>
      </w:r>
    </w:p>
  </w:footnote>
  <w:footnote w:type="continuationSeparator" w:id="0">
    <w:p w:rsidR="0005614C" w:rsidRDefault="0005614C" w:rsidP="001C09C4">
      <w:r>
        <w:continuationSeparator/>
      </w:r>
    </w:p>
  </w:footnote>
  <w:footnote w:id="1">
    <w:p w:rsidR="00672FF9" w:rsidRPr="00672FF9" w:rsidRDefault="00672FF9">
      <w:pPr>
        <w:pStyle w:val="a9"/>
        <w:rPr>
          <w:sz w:val="18"/>
          <w:szCs w:val="18"/>
        </w:rPr>
      </w:pPr>
      <w:r>
        <w:rPr>
          <w:rStyle w:val="ab"/>
        </w:rPr>
        <w:footnoteRef/>
      </w:r>
      <w:r>
        <w:t xml:space="preserve"> </w:t>
      </w:r>
      <w:r w:rsidRPr="00672FF9">
        <w:rPr>
          <w:rFonts w:hint="eastAsia"/>
          <w:sz w:val="18"/>
          <w:szCs w:val="18"/>
        </w:rPr>
        <w:t>ラ・ナシオン紙、ラ・プレンサリブレ紙、ラ・レプブリカ紙、エル・フィナンシエロ紙</w:t>
      </w:r>
      <w:r>
        <w:rPr>
          <w:rFonts w:hint="eastAsia"/>
          <w:sz w:val="18"/>
          <w:szCs w:val="18"/>
        </w:rP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18D6998"/>
    <w:multiLevelType w:val="hybridMultilevel"/>
    <w:tmpl w:val="CC0C5EF0"/>
    <w:lvl w:ilvl="0" w:tplc="A1B40172">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nsid w:val="39EF46A4"/>
    <w:multiLevelType w:val="hybridMultilevel"/>
    <w:tmpl w:val="7122ADFA"/>
    <w:lvl w:ilvl="0" w:tplc="28524BF6">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8806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60389"/>
    <w:rsid w:val="00000C3C"/>
    <w:rsid w:val="00001398"/>
    <w:rsid w:val="000059BC"/>
    <w:rsid w:val="000060C7"/>
    <w:rsid w:val="000068CD"/>
    <w:rsid w:val="000109D4"/>
    <w:rsid w:val="00011117"/>
    <w:rsid w:val="00013AB5"/>
    <w:rsid w:val="00017A78"/>
    <w:rsid w:val="00021566"/>
    <w:rsid w:val="00024BCC"/>
    <w:rsid w:val="00026EE4"/>
    <w:rsid w:val="00027BE6"/>
    <w:rsid w:val="00031FBC"/>
    <w:rsid w:val="00041378"/>
    <w:rsid w:val="00041EE3"/>
    <w:rsid w:val="0004216A"/>
    <w:rsid w:val="00045213"/>
    <w:rsid w:val="00045628"/>
    <w:rsid w:val="00046D2F"/>
    <w:rsid w:val="00052A54"/>
    <w:rsid w:val="00053B13"/>
    <w:rsid w:val="00055475"/>
    <w:rsid w:val="0005614C"/>
    <w:rsid w:val="0006088E"/>
    <w:rsid w:val="000624C5"/>
    <w:rsid w:val="000643D0"/>
    <w:rsid w:val="00074F78"/>
    <w:rsid w:val="00077CFE"/>
    <w:rsid w:val="00080A6F"/>
    <w:rsid w:val="0008222C"/>
    <w:rsid w:val="000825F0"/>
    <w:rsid w:val="000841C9"/>
    <w:rsid w:val="000862AB"/>
    <w:rsid w:val="000878C2"/>
    <w:rsid w:val="000925C1"/>
    <w:rsid w:val="000975C3"/>
    <w:rsid w:val="000A1AFC"/>
    <w:rsid w:val="000A36D7"/>
    <w:rsid w:val="000A39AF"/>
    <w:rsid w:val="000A3F77"/>
    <w:rsid w:val="000A4008"/>
    <w:rsid w:val="000A45ED"/>
    <w:rsid w:val="000A51F5"/>
    <w:rsid w:val="000A619B"/>
    <w:rsid w:val="000A77CE"/>
    <w:rsid w:val="000A7804"/>
    <w:rsid w:val="000A7E9B"/>
    <w:rsid w:val="000B209C"/>
    <w:rsid w:val="000B6C34"/>
    <w:rsid w:val="000B7F49"/>
    <w:rsid w:val="000C0398"/>
    <w:rsid w:val="000C2377"/>
    <w:rsid w:val="000C3DEC"/>
    <w:rsid w:val="000C5591"/>
    <w:rsid w:val="000D115E"/>
    <w:rsid w:val="000D7DB6"/>
    <w:rsid w:val="000E072B"/>
    <w:rsid w:val="000E1248"/>
    <w:rsid w:val="000E4CBC"/>
    <w:rsid w:val="000E512D"/>
    <w:rsid w:val="000E6590"/>
    <w:rsid w:val="000E66F6"/>
    <w:rsid w:val="000E67F0"/>
    <w:rsid w:val="000E7A6E"/>
    <w:rsid w:val="000F4AE8"/>
    <w:rsid w:val="000F5FDD"/>
    <w:rsid w:val="000F7330"/>
    <w:rsid w:val="00100303"/>
    <w:rsid w:val="001011C7"/>
    <w:rsid w:val="00101549"/>
    <w:rsid w:val="00103AAD"/>
    <w:rsid w:val="001053AB"/>
    <w:rsid w:val="00107EF2"/>
    <w:rsid w:val="00111496"/>
    <w:rsid w:val="00114203"/>
    <w:rsid w:val="001145AB"/>
    <w:rsid w:val="001149C8"/>
    <w:rsid w:val="00115AC6"/>
    <w:rsid w:val="0012062A"/>
    <w:rsid w:val="001213D9"/>
    <w:rsid w:val="00122B48"/>
    <w:rsid w:val="0012362E"/>
    <w:rsid w:val="00123B50"/>
    <w:rsid w:val="00130201"/>
    <w:rsid w:val="00131F89"/>
    <w:rsid w:val="001349C7"/>
    <w:rsid w:val="00135F46"/>
    <w:rsid w:val="00135F8A"/>
    <w:rsid w:val="00136A50"/>
    <w:rsid w:val="00136AF3"/>
    <w:rsid w:val="00137B3E"/>
    <w:rsid w:val="00140DF5"/>
    <w:rsid w:val="001433C1"/>
    <w:rsid w:val="001510E7"/>
    <w:rsid w:val="00151E7B"/>
    <w:rsid w:val="00152F78"/>
    <w:rsid w:val="00156402"/>
    <w:rsid w:val="00156ACB"/>
    <w:rsid w:val="001611B8"/>
    <w:rsid w:val="00162CBF"/>
    <w:rsid w:val="00163199"/>
    <w:rsid w:val="001643AA"/>
    <w:rsid w:val="001668EE"/>
    <w:rsid w:val="001679B7"/>
    <w:rsid w:val="00167B3D"/>
    <w:rsid w:val="00167B86"/>
    <w:rsid w:val="0017426D"/>
    <w:rsid w:val="00175F45"/>
    <w:rsid w:val="00176754"/>
    <w:rsid w:val="00176AD7"/>
    <w:rsid w:val="001815E5"/>
    <w:rsid w:val="001828D7"/>
    <w:rsid w:val="0018301A"/>
    <w:rsid w:val="001848B5"/>
    <w:rsid w:val="00184DBE"/>
    <w:rsid w:val="00191C2D"/>
    <w:rsid w:val="001950B2"/>
    <w:rsid w:val="00195B3C"/>
    <w:rsid w:val="001A1F40"/>
    <w:rsid w:val="001A53DC"/>
    <w:rsid w:val="001A679D"/>
    <w:rsid w:val="001B188B"/>
    <w:rsid w:val="001B221A"/>
    <w:rsid w:val="001B2DAE"/>
    <w:rsid w:val="001C09C4"/>
    <w:rsid w:val="001C37CC"/>
    <w:rsid w:val="001C4574"/>
    <w:rsid w:val="001C4979"/>
    <w:rsid w:val="001C5288"/>
    <w:rsid w:val="001C5BF3"/>
    <w:rsid w:val="001D1506"/>
    <w:rsid w:val="001D2270"/>
    <w:rsid w:val="001D3008"/>
    <w:rsid w:val="001D4517"/>
    <w:rsid w:val="001D4FB7"/>
    <w:rsid w:val="001E210C"/>
    <w:rsid w:val="001E3DBA"/>
    <w:rsid w:val="001E5205"/>
    <w:rsid w:val="001E68AE"/>
    <w:rsid w:val="001F0388"/>
    <w:rsid w:val="001F315D"/>
    <w:rsid w:val="001F440C"/>
    <w:rsid w:val="001F505E"/>
    <w:rsid w:val="001F790B"/>
    <w:rsid w:val="00201969"/>
    <w:rsid w:val="00202E45"/>
    <w:rsid w:val="00203B53"/>
    <w:rsid w:val="0020587D"/>
    <w:rsid w:val="002066A3"/>
    <w:rsid w:val="0021014F"/>
    <w:rsid w:val="00214031"/>
    <w:rsid w:val="00214DD5"/>
    <w:rsid w:val="002162A9"/>
    <w:rsid w:val="0022173F"/>
    <w:rsid w:val="0022235A"/>
    <w:rsid w:val="0022269F"/>
    <w:rsid w:val="002249A5"/>
    <w:rsid w:val="00224E7B"/>
    <w:rsid w:val="00232B45"/>
    <w:rsid w:val="00232C31"/>
    <w:rsid w:val="00232FE8"/>
    <w:rsid w:val="0023475D"/>
    <w:rsid w:val="00247010"/>
    <w:rsid w:val="00251192"/>
    <w:rsid w:val="00251E2D"/>
    <w:rsid w:val="0025756E"/>
    <w:rsid w:val="00261213"/>
    <w:rsid w:val="00261238"/>
    <w:rsid w:val="002659EB"/>
    <w:rsid w:val="002712F6"/>
    <w:rsid w:val="00272868"/>
    <w:rsid w:val="0027395C"/>
    <w:rsid w:val="00273CB1"/>
    <w:rsid w:val="00274B13"/>
    <w:rsid w:val="00274FFA"/>
    <w:rsid w:val="002755BB"/>
    <w:rsid w:val="0027720D"/>
    <w:rsid w:val="00281FB7"/>
    <w:rsid w:val="00286CB7"/>
    <w:rsid w:val="00287F37"/>
    <w:rsid w:val="00292CE8"/>
    <w:rsid w:val="00296F9F"/>
    <w:rsid w:val="002A2CDA"/>
    <w:rsid w:val="002A4822"/>
    <w:rsid w:val="002B0017"/>
    <w:rsid w:val="002B04E8"/>
    <w:rsid w:val="002B2CC4"/>
    <w:rsid w:val="002C20A1"/>
    <w:rsid w:val="002C3114"/>
    <w:rsid w:val="002C3F24"/>
    <w:rsid w:val="002C4F7D"/>
    <w:rsid w:val="002C731B"/>
    <w:rsid w:val="002C7BC2"/>
    <w:rsid w:val="002D221A"/>
    <w:rsid w:val="002D2F4B"/>
    <w:rsid w:val="002D6E30"/>
    <w:rsid w:val="002D6F3F"/>
    <w:rsid w:val="002E1403"/>
    <w:rsid w:val="002E1D72"/>
    <w:rsid w:val="002E314B"/>
    <w:rsid w:val="002E41B0"/>
    <w:rsid w:val="002E5BEF"/>
    <w:rsid w:val="002F0450"/>
    <w:rsid w:val="002F1CBD"/>
    <w:rsid w:val="002F3FFF"/>
    <w:rsid w:val="002F4FAF"/>
    <w:rsid w:val="002F61BF"/>
    <w:rsid w:val="002F6408"/>
    <w:rsid w:val="002F6F75"/>
    <w:rsid w:val="00300A96"/>
    <w:rsid w:val="0030174A"/>
    <w:rsid w:val="00310CA1"/>
    <w:rsid w:val="0032426A"/>
    <w:rsid w:val="0033204F"/>
    <w:rsid w:val="003326B7"/>
    <w:rsid w:val="00337208"/>
    <w:rsid w:val="00337E74"/>
    <w:rsid w:val="00340E7B"/>
    <w:rsid w:val="00345E43"/>
    <w:rsid w:val="00346DB8"/>
    <w:rsid w:val="0035191D"/>
    <w:rsid w:val="00352AC4"/>
    <w:rsid w:val="00354305"/>
    <w:rsid w:val="0035580B"/>
    <w:rsid w:val="00356C73"/>
    <w:rsid w:val="00362136"/>
    <w:rsid w:val="003637A9"/>
    <w:rsid w:val="0036438E"/>
    <w:rsid w:val="003664D1"/>
    <w:rsid w:val="00367D00"/>
    <w:rsid w:val="00370C77"/>
    <w:rsid w:val="0037232A"/>
    <w:rsid w:val="003730A0"/>
    <w:rsid w:val="003803BA"/>
    <w:rsid w:val="00380405"/>
    <w:rsid w:val="00385537"/>
    <w:rsid w:val="00387BFF"/>
    <w:rsid w:val="00390E48"/>
    <w:rsid w:val="00392989"/>
    <w:rsid w:val="00394715"/>
    <w:rsid w:val="003967A4"/>
    <w:rsid w:val="00396A05"/>
    <w:rsid w:val="00397D7B"/>
    <w:rsid w:val="003A1250"/>
    <w:rsid w:val="003A2A77"/>
    <w:rsid w:val="003A6AF2"/>
    <w:rsid w:val="003B07CF"/>
    <w:rsid w:val="003B4B6E"/>
    <w:rsid w:val="003B6074"/>
    <w:rsid w:val="003B640C"/>
    <w:rsid w:val="003B7B40"/>
    <w:rsid w:val="003C4337"/>
    <w:rsid w:val="003C55B8"/>
    <w:rsid w:val="003C71C3"/>
    <w:rsid w:val="003D137F"/>
    <w:rsid w:val="003D3854"/>
    <w:rsid w:val="003D4263"/>
    <w:rsid w:val="003D4D0B"/>
    <w:rsid w:val="003D6520"/>
    <w:rsid w:val="003D6819"/>
    <w:rsid w:val="003E3228"/>
    <w:rsid w:val="003E6326"/>
    <w:rsid w:val="003E7DFF"/>
    <w:rsid w:val="003E7F8E"/>
    <w:rsid w:val="003F3A26"/>
    <w:rsid w:val="003F661A"/>
    <w:rsid w:val="003F75BF"/>
    <w:rsid w:val="003F7A02"/>
    <w:rsid w:val="00403282"/>
    <w:rsid w:val="00404131"/>
    <w:rsid w:val="00404D13"/>
    <w:rsid w:val="0040616F"/>
    <w:rsid w:val="00406B8D"/>
    <w:rsid w:val="004114D3"/>
    <w:rsid w:val="00412C0D"/>
    <w:rsid w:val="00412EFC"/>
    <w:rsid w:val="00413264"/>
    <w:rsid w:val="00413970"/>
    <w:rsid w:val="00425366"/>
    <w:rsid w:val="00425AEB"/>
    <w:rsid w:val="004266DA"/>
    <w:rsid w:val="00427E7E"/>
    <w:rsid w:val="00436A74"/>
    <w:rsid w:val="004376C4"/>
    <w:rsid w:val="004411F2"/>
    <w:rsid w:val="00443A6D"/>
    <w:rsid w:val="00443DAB"/>
    <w:rsid w:val="00446748"/>
    <w:rsid w:val="00446B71"/>
    <w:rsid w:val="00446B7A"/>
    <w:rsid w:val="0044723C"/>
    <w:rsid w:val="00447572"/>
    <w:rsid w:val="0045183E"/>
    <w:rsid w:val="00452004"/>
    <w:rsid w:val="00452837"/>
    <w:rsid w:val="00452C5A"/>
    <w:rsid w:val="00455485"/>
    <w:rsid w:val="0046049D"/>
    <w:rsid w:val="00461844"/>
    <w:rsid w:val="00462552"/>
    <w:rsid w:val="0046321F"/>
    <w:rsid w:val="00463A99"/>
    <w:rsid w:val="0046658B"/>
    <w:rsid w:val="004676C3"/>
    <w:rsid w:val="004718B9"/>
    <w:rsid w:val="00473435"/>
    <w:rsid w:val="00473E3C"/>
    <w:rsid w:val="00474B11"/>
    <w:rsid w:val="00474F71"/>
    <w:rsid w:val="00477051"/>
    <w:rsid w:val="0048020F"/>
    <w:rsid w:val="00481122"/>
    <w:rsid w:val="00481D69"/>
    <w:rsid w:val="0048436F"/>
    <w:rsid w:val="0048473C"/>
    <w:rsid w:val="00485827"/>
    <w:rsid w:val="00491686"/>
    <w:rsid w:val="00491AC0"/>
    <w:rsid w:val="00492496"/>
    <w:rsid w:val="00493D43"/>
    <w:rsid w:val="004A1C37"/>
    <w:rsid w:val="004A3BA6"/>
    <w:rsid w:val="004A4BBD"/>
    <w:rsid w:val="004A6031"/>
    <w:rsid w:val="004A7CD9"/>
    <w:rsid w:val="004B5B8A"/>
    <w:rsid w:val="004B675E"/>
    <w:rsid w:val="004C4719"/>
    <w:rsid w:val="004C5600"/>
    <w:rsid w:val="004C7BE8"/>
    <w:rsid w:val="004D140E"/>
    <w:rsid w:val="004D25F4"/>
    <w:rsid w:val="004D4D2E"/>
    <w:rsid w:val="004D541F"/>
    <w:rsid w:val="004D5F08"/>
    <w:rsid w:val="004D6E14"/>
    <w:rsid w:val="004E0B05"/>
    <w:rsid w:val="004E184E"/>
    <w:rsid w:val="004E1A16"/>
    <w:rsid w:val="004E2031"/>
    <w:rsid w:val="004E2598"/>
    <w:rsid w:val="004E316F"/>
    <w:rsid w:val="004E62C3"/>
    <w:rsid w:val="004E79D2"/>
    <w:rsid w:val="004F16AC"/>
    <w:rsid w:val="004F5E4B"/>
    <w:rsid w:val="004F5F93"/>
    <w:rsid w:val="00504D38"/>
    <w:rsid w:val="005050A3"/>
    <w:rsid w:val="00513C24"/>
    <w:rsid w:val="0051558B"/>
    <w:rsid w:val="00522854"/>
    <w:rsid w:val="0052351A"/>
    <w:rsid w:val="005248E6"/>
    <w:rsid w:val="00527CAA"/>
    <w:rsid w:val="00537C7D"/>
    <w:rsid w:val="0054003A"/>
    <w:rsid w:val="00546211"/>
    <w:rsid w:val="00551F3F"/>
    <w:rsid w:val="00552F7F"/>
    <w:rsid w:val="00554201"/>
    <w:rsid w:val="0055481F"/>
    <w:rsid w:val="00556858"/>
    <w:rsid w:val="00556DC1"/>
    <w:rsid w:val="005636FA"/>
    <w:rsid w:val="0056521E"/>
    <w:rsid w:val="005658EF"/>
    <w:rsid w:val="0056655C"/>
    <w:rsid w:val="00571134"/>
    <w:rsid w:val="00571884"/>
    <w:rsid w:val="00571D85"/>
    <w:rsid w:val="00573A2A"/>
    <w:rsid w:val="00575179"/>
    <w:rsid w:val="00576FE2"/>
    <w:rsid w:val="00581CEE"/>
    <w:rsid w:val="00582303"/>
    <w:rsid w:val="00582B16"/>
    <w:rsid w:val="005847BF"/>
    <w:rsid w:val="005865B3"/>
    <w:rsid w:val="00586854"/>
    <w:rsid w:val="00586D97"/>
    <w:rsid w:val="00587388"/>
    <w:rsid w:val="0058759A"/>
    <w:rsid w:val="00590523"/>
    <w:rsid w:val="00597D79"/>
    <w:rsid w:val="005A0113"/>
    <w:rsid w:val="005A1C4C"/>
    <w:rsid w:val="005A29E7"/>
    <w:rsid w:val="005A33C5"/>
    <w:rsid w:val="005A3EC2"/>
    <w:rsid w:val="005B4EE4"/>
    <w:rsid w:val="005B5721"/>
    <w:rsid w:val="005B679C"/>
    <w:rsid w:val="005B6C11"/>
    <w:rsid w:val="005C2166"/>
    <w:rsid w:val="005C4EBC"/>
    <w:rsid w:val="005C635B"/>
    <w:rsid w:val="005C7189"/>
    <w:rsid w:val="005D0D3F"/>
    <w:rsid w:val="005D0E13"/>
    <w:rsid w:val="005D3198"/>
    <w:rsid w:val="005D4752"/>
    <w:rsid w:val="005E44EE"/>
    <w:rsid w:val="005E46B1"/>
    <w:rsid w:val="005E6917"/>
    <w:rsid w:val="005F0A85"/>
    <w:rsid w:val="0060017C"/>
    <w:rsid w:val="00604241"/>
    <w:rsid w:val="00604779"/>
    <w:rsid w:val="00604E93"/>
    <w:rsid w:val="00605A0C"/>
    <w:rsid w:val="00606F95"/>
    <w:rsid w:val="00611BC9"/>
    <w:rsid w:val="006122D7"/>
    <w:rsid w:val="00613C20"/>
    <w:rsid w:val="00614078"/>
    <w:rsid w:val="00615CA8"/>
    <w:rsid w:val="00620AEE"/>
    <w:rsid w:val="00620B7F"/>
    <w:rsid w:val="00620EE1"/>
    <w:rsid w:val="0062181C"/>
    <w:rsid w:val="0062473F"/>
    <w:rsid w:val="00624C72"/>
    <w:rsid w:val="0062798A"/>
    <w:rsid w:val="006300DC"/>
    <w:rsid w:val="00630BB1"/>
    <w:rsid w:val="00635596"/>
    <w:rsid w:val="00642E56"/>
    <w:rsid w:val="00646B88"/>
    <w:rsid w:val="00646DF2"/>
    <w:rsid w:val="00650ECD"/>
    <w:rsid w:val="006512B3"/>
    <w:rsid w:val="00652C5E"/>
    <w:rsid w:val="006550C7"/>
    <w:rsid w:val="00656065"/>
    <w:rsid w:val="00657995"/>
    <w:rsid w:val="00657999"/>
    <w:rsid w:val="00664BE1"/>
    <w:rsid w:val="006705F1"/>
    <w:rsid w:val="00672FF9"/>
    <w:rsid w:val="00675E50"/>
    <w:rsid w:val="00676BFA"/>
    <w:rsid w:val="0067722C"/>
    <w:rsid w:val="00681B02"/>
    <w:rsid w:val="00686639"/>
    <w:rsid w:val="00690B54"/>
    <w:rsid w:val="006917A2"/>
    <w:rsid w:val="006921BA"/>
    <w:rsid w:val="00694690"/>
    <w:rsid w:val="00694704"/>
    <w:rsid w:val="0069670F"/>
    <w:rsid w:val="00696B22"/>
    <w:rsid w:val="006972F4"/>
    <w:rsid w:val="006A2D82"/>
    <w:rsid w:val="006A5A73"/>
    <w:rsid w:val="006B22CF"/>
    <w:rsid w:val="006B4DF7"/>
    <w:rsid w:val="006B59DD"/>
    <w:rsid w:val="006B6201"/>
    <w:rsid w:val="006C00FF"/>
    <w:rsid w:val="006C0D70"/>
    <w:rsid w:val="006C44E4"/>
    <w:rsid w:val="006C47C5"/>
    <w:rsid w:val="006C48C5"/>
    <w:rsid w:val="006C556F"/>
    <w:rsid w:val="006C58E3"/>
    <w:rsid w:val="006D68AA"/>
    <w:rsid w:val="006D7400"/>
    <w:rsid w:val="006E0164"/>
    <w:rsid w:val="006E60B0"/>
    <w:rsid w:val="006E6D6D"/>
    <w:rsid w:val="006E7B0C"/>
    <w:rsid w:val="006F3083"/>
    <w:rsid w:val="006F3456"/>
    <w:rsid w:val="006F485A"/>
    <w:rsid w:val="006F7E4C"/>
    <w:rsid w:val="00703525"/>
    <w:rsid w:val="00705A01"/>
    <w:rsid w:val="00706404"/>
    <w:rsid w:val="00706FC5"/>
    <w:rsid w:val="007070AE"/>
    <w:rsid w:val="0071021D"/>
    <w:rsid w:val="0071068C"/>
    <w:rsid w:val="00720980"/>
    <w:rsid w:val="00721E00"/>
    <w:rsid w:val="00721E2A"/>
    <w:rsid w:val="007272FA"/>
    <w:rsid w:val="00727FEE"/>
    <w:rsid w:val="00730BC1"/>
    <w:rsid w:val="0073221F"/>
    <w:rsid w:val="0073282F"/>
    <w:rsid w:val="00733C43"/>
    <w:rsid w:val="00734F44"/>
    <w:rsid w:val="00735279"/>
    <w:rsid w:val="0073658E"/>
    <w:rsid w:val="00740144"/>
    <w:rsid w:val="00740D69"/>
    <w:rsid w:val="0074153F"/>
    <w:rsid w:val="00742079"/>
    <w:rsid w:val="00744AFD"/>
    <w:rsid w:val="00746D9E"/>
    <w:rsid w:val="00747902"/>
    <w:rsid w:val="0076001D"/>
    <w:rsid w:val="00761168"/>
    <w:rsid w:val="00761690"/>
    <w:rsid w:val="0076384F"/>
    <w:rsid w:val="0076484A"/>
    <w:rsid w:val="007675EC"/>
    <w:rsid w:val="00771368"/>
    <w:rsid w:val="00777468"/>
    <w:rsid w:val="00783CEA"/>
    <w:rsid w:val="00784210"/>
    <w:rsid w:val="00786EC7"/>
    <w:rsid w:val="007909B2"/>
    <w:rsid w:val="007944D0"/>
    <w:rsid w:val="00794B8F"/>
    <w:rsid w:val="00794DBF"/>
    <w:rsid w:val="007B0784"/>
    <w:rsid w:val="007B153F"/>
    <w:rsid w:val="007B5481"/>
    <w:rsid w:val="007B5AA5"/>
    <w:rsid w:val="007B7E9D"/>
    <w:rsid w:val="007C1F8A"/>
    <w:rsid w:val="007C3456"/>
    <w:rsid w:val="007C3D9B"/>
    <w:rsid w:val="007C4DE8"/>
    <w:rsid w:val="007C66D1"/>
    <w:rsid w:val="007D3D62"/>
    <w:rsid w:val="007D7D54"/>
    <w:rsid w:val="007E01BD"/>
    <w:rsid w:val="007E027C"/>
    <w:rsid w:val="007E0AFE"/>
    <w:rsid w:val="007E1932"/>
    <w:rsid w:val="007E2587"/>
    <w:rsid w:val="007E34F1"/>
    <w:rsid w:val="007E48B7"/>
    <w:rsid w:val="007E5EF1"/>
    <w:rsid w:val="007E6504"/>
    <w:rsid w:val="007F126D"/>
    <w:rsid w:val="007F131B"/>
    <w:rsid w:val="007F13D8"/>
    <w:rsid w:val="007F1BFA"/>
    <w:rsid w:val="007F6FA7"/>
    <w:rsid w:val="007F7983"/>
    <w:rsid w:val="0080133E"/>
    <w:rsid w:val="008058DA"/>
    <w:rsid w:val="00807349"/>
    <w:rsid w:val="008123A2"/>
    <w:rsid w:val="008163F5"/>
    <w:rsid w:val="00820983"/>
    <w:rsid w:val="0082286E"/>
    <w:rsid w:val="00825FBE"/>
    <w:rsid w:val="008262B2"/>
    <w:rsid w:val="00826D48"/>
    <w:rsid w:val="008345D2"/>
    <w:rsid w:val="008402CF"/>
    <w:rsid w:val="008402F8"/>
    <w:rsid w:val="00841624"/>
    <w:rsid w:val="00842944"/>
    <w:rsid w:val="00842FC2"/>
    <w:rsid w:val="008433E5"/>
    <w:rsid w:val="0084424E"/>
    <w:rsid w:val="00845FB5"/>
    <w:rsid w:val="008464BC"/>
    <w:rsid w:val="008475FD"/>
    <w:rsid w:val="00850680"/>
    <w:rsid w:val="00850A5A"/>
    <w:rsid w:val="0085217E"/>
    <w:rsid w:val="008521BD"/>
    <w:rsid w:val="00854555"/>
    <w:rsid w:val="00857359"/>
    <w:rsid w:val="00865FF8"/>
    <w:rsid w:val="0086777C"/>
    <w:rsid w:val="00867ECC"/>
    <w:rsid w:val="0087053C"/>
    <w:rsid w:val="00870D46"/>
    <w:rsid w:val="00871BE8"/>
    <w:rsid w:val="008724F1"/>
    <w:rsid w:val="00874D48"/>
    <w:rsid w:val="008771AF"/>
    <w:rsid w:val="00882D4C"/>
    <w:rsid w:val="0088454C"/>
    <w:rsid w:val="0088471A"/>
    <w:rsid w:val="00884A94"/>
    <w:rsid w:val="00885278"/>
    <w:rsid w:val="0088587F"/>
    <w:rsid w:val="0088789C"/>
    <w:rsid w:val="008909AE"/>
    <w:rsid w:val="008915CE"/>
    <w:rsid w:val="008918EB"/>
    <w:rsid w:val="00891914"/>
    <w:rsid w:val="008944A1"/>
    <w:rsid w:val="00896BE7"/>
    <w:rsid w:val="008A14F1"/>
    <w:rsid w:val="008A2E28"/>
    <w:rsid w:val="008A3197"/>
    <w:rsid w:val="008A3235"/>
    <w:rsid w:val="008A3458"/>
    <w:rsid w:val="008B14D0"/>
    <w:rsid w:val="008B20AA"/>
    <w:rsid w:val="008B506A"/>
    <w:rsid w:val="008C0766"/>
    <w:rsid w:val="008C1C2A"/>
    <w:rsid w:val="008C24B1"/>
    <w:rsid w:val="008C4F3C"/>
    <w:rsid w:val="008C59D5"/>
    <w:rsid w:val="008C5E86"/>
    <w:rsid w:val="008D035D"/>
    <w:rsid w:val="008D1001"/>
    <w:rsid w:val="008D1CBC"/>
    <w:rsid w:val="008D559C"/>
    <w:rsid w:val="008D6932"/>
    <w:rsid w:val="008D7CFD"/>
    <w:rsid w:val="008D7D60"/>
    <w:rsid w:val="008E1337"/>
    <w:rsid w:val="008E2889"/>
    <w:rsid w:val="008E5CA1"/>
    <w:rsid w:val="008E7ED3"/>
    <w:rsid w:val="008E7EE8"/>
    <w:rsid w:val="008F0E02"/>
    <w:rsid w:val="008F414C"/>
    <w:rsid w:val="008F4289"/>
    <w:rsid w:val="008F53F4"/>
    <w:rsid w:val="00901E1C"/>
    <w:rsid w:val="00902F85"/>
    <w:rsid w:val="009033C6"/>
    <w:rsid w:val="0090569D"/>
    <w:rsid w:val="00913F42"/>
    <w:rsid w:val="00920D8B"/>
    <w:rsid w:val="00927766"/>
    <w:rsid w:val="00930C2D"/>
    <w:rsid w:val="00934C00"/>
    <w:rsid w:val="009356A9"/>
    <w:rsid w:val="009362EC"/>
    <w:rsid w:val="009369E9"/>
    <w:rsid w:val="00936B4E"/>
    <w:rsid w:val="00940554"/>
    <w:rsid w:val="00941304"/>
    <w:rsid w:val="00942609"/>
    <w:rsid w:val="009432FB"/>
    <w:rsid w:val="00945FE6"/>
    <w:rsid w:val="009528C1"/>
    <w:rsid w:val="00953F46"/>
    <w:rsid w:val="00960F3A"/>
    <w:rsid w:val="009613B9"/>
    <w:rsid w:val="009614A8"/>
    <w:rsid w:val="00961711"/>
    <w:rsid w:val="0096201C"/>
    <w:rsid w:val="009629D7"/>
    <w:rsid w:val="00962E92"/>
    <w:rsid w:val="009630AD"/>
    <w:rsid w:val="009641CB"/>
    <w:rsid w:val="00964681"/>
    <w:rsid w:val="00964898"/>
    <w:rsid w:val="00966B7C"/>
    <w:rsid w:val="009704FB"/>
    <w:rsid w:val="00973006"/>
    <w:rsid w:val="009731C7"/>
    <w:rsid w:val="00974019"/>
    <w:rsid w:val="0097559B"/>
    <w:rsid w:val="00975915"/>
    <w:rsid w:val="00976971"/>
    <w:rsid w:val="0098181A"/>
    <w:rsid w:val="00984215"/>
    <w:rsid w:val="00993434"/>
    <w:rsid w:val="00993A3D"/>
    <w:rsid w:val="0099658D"/>
    <w:rsid w:val="00996986"/>
    <w:rsid w:val="00997397"/>
    <w:rsid w:val="009A0DAD"/>
    <w:rsid w:val="009A1503"/>
    <w:rsid w:val="009A22C4"/>
    <w:rsid w:val="009A5956"/>
    <w:rsid w:val="009A6751"/>
    <w:rsid w:val="009A6A90"/>
    <w:rsid w:val="009A6ECE"/>
    <w:rsid w:val="009B362F"/>
    <w:rsid w:val="009B3777"/>
    <w:rsid w:val="009B4D3C"/>
    <w:rsid w:val="009C111E"/>
    <w:rsid w:val="009C3B81"/>
    <w:rsid w:val="009E1444"/>
    <w:rsid w:val="009E2B79"/>
    <w:rsid w:val="009E37FE"/>
    <w:rsid w:val="009E3F33"/>
    <w:rsid w:val="009E5E69"/>
    <w:rsid w:val="009F072D"/>
    <w:rsid w:val="009F424D"/>
    <w:rsid w:val="009F73A8"/>
    <w:rsid w:val="00A0095B"/>
    <w:rsid w:val="00A05914"/>
    <w:rsid w:val="00A06DC7"/>
    <w:rsid w:val="00A070B7"/>
    <w:rsid w:val="00A17843"/>
    <w:rsid w:val="00A17FF1"/>
    <w:rsid w:val="00A278F0"/>
    <w:rsid w:val="00A327AA"/>
    <w:rsid w:val="00A35F0D"/>
    <w:rsid w:val="00A366A3"/>
    <w:rsid w:val="00A40CB7"/>
    <w:rsid w:val="00A4287D"/>
    <w:rsid w:val="00A4305D"/>
    <w:rsid w:val="00A442A0"/>
    <w:rsid w:val="00A50F5C"/>
    <w:rsid w:val="00A5281C"/>
    <w:rsid w:val="00A53F2F"/>
    <w:rsid w:val="00A566F4"/>
    <w:rsid w:val="00A626AB"/>
    <w:rsid w:val="00A63EB3"/>
    <w:rsid w:val="00A63F17"/>
    <w:rsid w:val="00A65870"/>
    <w:rsid w:val="00A67A90"/>
    <w:rsid w:val="00A719CB"/>
    <w:rsid w:val="00A76034"/>
    <w:rsid w:val="00A80DED"/>
    <w:rsid w:val="00A82937"/>
    <w:rsid w:val="00A83D10"/>
    <w:rsid w:val="00A84015"/>
    <w:rsid w:val="00A84909"/>
    <w:rsid w:val="00A85EA1"/>
    <w:rsid w:val="00A907CC"/>
    <w:rsid w:val="00A918DB"/>
    <w:rsid w:val="00A9795C"/>
    <w:rsid w:val="00AA117E"/>
    <w:rsid w:val="00AA61EB"/>
    <w:rsid w:val="00AA7647"/>
    <w:rsid w:val="00AB05EA"/>
    <w:rsid w:val="00AB1B5C"/>
    <w:rsid w:val="00AB2F8B"/>
    <w:rsid w:val="00AC0977"/>
    <w:rsid w:val="00AC2E95"/>
    <w:rsid w:val="00AC3C16"/>
    <w:rsid w:val="00AC6B7B"/>
    <w:rsid w:val="00AC77CD"/>
    <w:rsid w:val="00AD3517"/>
    <w:rsid w:val="00AD3C35"/>
    <w:rsid w:val="00AE2664"/>
    <w:rsid w:val="00AE2674"/>
    <w:rsid w:val="00AE58E7"/>
    <w:rsid w:val="00AF07B7"/>
    <w:rsid w:val="00AF1C0F"/>
    <w:rsid w:val="00AF2B4D"/>
    <w:rsid w:val="00AF2CE8"/>
    <w:rsid w:val="00AF3B95"/>
    <w:rsid w:val="00AF63C9"/>
    <w:rsid w:val="00AF7E25"/>
    <w:rsid w:val="00AF7F46"/>
    <w:rsid w:val="00B06DF5"/>
    <w:rsid w:val="00B1266C"/>
    <w:rsid w:val="00B129BF"/>
    <w:rsid w:val="00B13647"/>
    <w:rsid w:val="00B15E9B"/>
    <w:rsid w:val="00B16A45"/>
    <w:rsid w:val="00B16D2E"/>
    <w:rsid w:val="00B17902"/>
    <w:rsid w:val="00B2020B"/>
    <w:rsid w:val="00B2205C"/>
    <w:rsid w:val="00B22F58"/>
    <w:rsid w:val="00B23F96"/>
    <w:rsid w:val="00B249AA"/>
    <w:rsid w:val="00B26A47"/>
    <w:rsid w:val="00B27641"/>
    <w:rsid w:val="00B31261"/>
    <w:rsid w:val="00B344E5"/>
    <w:rsid w:val="00B40047"/>
    <w:rsid w:val="00B43E7C"/>
    <w:rsid w:val="00B478D5"/>
    <w:rsid w:val="00B527B6"/>
    <w:rsid w:val="00B5363A"/>
    <w:rsid w:val="00B55940"/>
    <w:rsid w:val="00B5608B"/>
    <w:rsid w:val="00B62068"/>
    <w:rsid w:val="00B64588"/>
    <w:rsid w:val="00B66E23"/>
    <w:rsid w:val="00B7182E"/>
    <w:rsid w:val="00B7315C"/>
    <w:rsid w:val="00B742CA"/>
    <w:rsid w:val="00B742E6"/>
    <w:rsid w:val="00B82260"/>
    <w:rsid w:val="00B82F4E"/>
    <w:rsid w:val="00B83A14"/>
    <w:rsid w:val="00B8468D"/>
    <w:rsid w:val="00B85CE7"/>
    <w:rsid w:val="00B91149"/>
    <w:rsid w:val="00B92D91"/>
    <w:rsid w:val="00B93305"/>
    <w:rsid w:val="00B93A8B"/>
    <w:rsid w:val="00B9474E"/>
    <w:rsid w:val="00B94F55"/>
    <w:rsid w:val="00BA2BCE"/>
    <w:rsid w:val="00BA2C8A"/>
    <w:rsid w:val="00BA3A29"/>
    <w:rsid w:val="00BA4A91"/>
    <w:rsid w:val="00BB3EEC"/>
    <w:rsid w:val="00BB49B3"/>
    <w:rsid w:val="00BB7841"/>
    <w:rsid w:val="00BB7C5F"/>
    <w:rsid w:val="00BC0C59"/>
    <w:rsid w:val="00BC26B3"/>
    <w:rsid w:val="00BC2E37"/>
    <w:rsid w:val="00BC6DB6"/>
    <w:rsid w:val="00BD3FA9"/>
    <w:rsid w:val="00BD3FDF"/>
    <w:rsid w:val="00BD4B5A"/>
    <w:rsid w:val="00BE289E"/>
    <w:rsid w:val="00BE2C8E"/>
    <w:rsid w:val="00BE3A91"/>
    <w:rsid w:val="00BE5AD1"/>
    <w:rsid w:val="00BE64E1"/>
    <w:rsid w:val="00BE7BD0"/>
    <w:rsid w:val="00BF1CB2"/>
    <w:rsid w:val="00BF4A2A"/>
    <w:rsid w:val="00BF4E0F"/>
    <w:rsid w:val="00BF57AB"/>
    <w:rsid w:val="00BF712D"/>
    <w:rsid w:val="00C017DA"/>
    <w:rsid w:val="00C02424"/>
    <w:rsid w:val="00C035C6"/>
    <w:rsid w:val="00C03B4E"/>
    <w:rsid w:val="00C041A5"/>
    <w:rsid w:val="00C04B10"/>
    <w:rsid w:val="00C14831"/>
    <w:rsid w:val="00C15270"/>
    <w:rsid w:val="00C15E23"/>
    <w:rsid w:val="00C17EE3"/>
    <w:rsid w:val="00C226BF"/>
    <w:rsid w:val="00C2333D"/>
    <w:rsid w:val="00C304B7"/>
    <w:rsid w:val="00C308AF"/>
    <w:rsid w:val="00C3413E"/>
    <w:rsid w:val="00C34232"/>
    <w:rsid w:val="00C36413"/>
    <w:rsid w:val="00C437EF"/>
    <w:rsid w:val="00C52191"/>
    <w:rsid w:val="00C53A62"/>
    <w:rsid w:val="00C53F82"/>
    <w:rsid w:val="00C60B36"/>
    <w:rsid w:val="00C61051"/>
    <w:rsid w:val="00C613FE"/>
    <w:rsid w:val="00C65737"/>
    <w:rsid w:val="00C663B7"/>
    <w:rsid w:val="00C66955"/>
    <w:rsid w:val="00C706D6"/>
    <w:rsid w:val="00C72A7B"/>
    <w:rsid w:val="00C746DE"/>
    <w:rsid w:val="00C76D12"/>
    <w:rsid w:val="00C812A5"/>
    <w:rsid w:val="00C83D5E"/>
    <w:rsid w:val="00C83EF6"/>
    <w:rsid w:val="00C95BF3"/>
    <w:rsid w:val="00C96911"/>
    <w:rsid w:val="00CA02F1"/>
    <w:rsid w:val="00CA0550"/>
    <w:rsid w:val="00CA2AA9"/>
    <w:rsid w:val="00CA4B84"/>
    <w:rsid w:val="00CA6B04"/>
    <w:rsid w:val="00CA7D75"/>
    <w:rsid w:val="00CB1372"/>
    <w:rsid w:val="00CB1FAA"/>
    <w:rsid w:val="00CB2529"/>
    <w:rsid w:val="00CB29A4"/>
    <w:rsid w:val="00CB3980"/>
    <w:rsid w:val="00CB7283"/>
    <w:rsid w:val="00CB7FC7"/>
    <w:rsid w:val="00CC4519"/>
    <w:rsid w:val="00CC4587"/>
    <w:rsid w:val="00CC625D"/>
    <w:rsid w:val="00CC750E"/>
    <w:rsid w:val="00CD0B35"/>
    <w:rsid w:val="00CD497D"/>
    <w:rsid w:val="00CD4C85"/>
    <w:rsid w:val="00CD57BF"/>
    <w:rsid w:val="00CD722A"/>
    <w:rsid w:val="00CE3F24"/>
    <w:rsid w:val="00CE4908"/>
    <w:rsid w:val="00CF4A02"/>
    <w:rsid w:val="00CF61C1"/>
    <w:rsid w:val="00D001DF"/>
    <w:rsid w:val="00D11481"/>
    <w:rsid w:val="00D16A03"/>
    <w:rsid w:val="00D16D9A"/>
    <w:rsid w:val="00D17CF2"/>
    <w:rsid w:val="00D22566"/>
    <w:rsid w:val="00D24489"/>
    <w:rsid w:val="00D24795"/>
    <w:rsid w:val="00D3015E"/>
    <w:rsid w:val="00D32729"/>
    <w:rsid w:val="00D32E79"/>
    <w:rsid w:val="00D37020"/>
    <w:rsid w:val="00D37F11"/>
    <w:rsid w:val="00D42F71"/>
    <w:rsid w:val="00D44A3F"/>
    <w:rsid w:val="00D452E9"/>
    <w:rsid w:val="00D5169E"/>
    <w:rsid w:val="00D517CC"/>
    <w:rsid w:val="00D5486C"/>
    <w:rsid w:val="00D559B7"/>
    <w:rsid w:val="00D56877"/>
    <w:rsid w:val="00D56B45"/>
    <w:rsid w:val="00D60389"/>
    <w:rsid w:val="00D62222"/>
    <w:rsid w:val="00D62A18"/>
    <w:rsid w:val="00D62D3F"/>
    <w:rsid w:val="00D64D22"/>
    <w:rsid w:val="00D65BBE"/>
    <w:rsid w:val="00D661FD"/>
    <w:rsid w:val="00D66546"/>
    <w:rsid w:val="00D66609"/>
    <w:rsid w:val="00D676E8"/>
    <w:rsid w:val="00D70141"/>
    <w:rsid w:val="00D7107C"/>
    <w:rsid w:val="00D74A0A"/>
    <w:rsid w:val="00D758EE"/>
    <w:rsid w:val="00D802F6"/>
    <w:rsid w:val="00D80950"/>
    <w:rsid w:val="00D823EA"/>
    <w:rsid w:val="00D82836"/>
    <w:rsid w:val="00D913CD"/>
    <w:rsid w:val="00D94D62"/>
    <w:rsid w:val="00D94FAC"/>
    <w:rsid w:val="00D970E5"/>
    <w:rsid w:val="00DA09C8"/>
    <w:rsid w:val="00DA23EF"/>
    <w:rsid w:val="00DA5983"/>
    <w:rsid w:val="00DA7558"/>
    <w:rsid w:val="00DB17A2"/>
    <w:rsid w:val="00DB2436"/>
    <w:rsid w:val="00DB59DF"/>
    <w:rsid w:val="00DB6C33"/>
    <w:rsid w:val="00DC1420"/>
    <w:rsid w:val="00DC3825"/>
    <w:rsid w:val="00DC47DB"/>
    <w:rsid w:val="00DC4CA0"/>
    <w:rsid w:val="00DC5853"/>
    <w:rsid w:val="00DD5F7A"/>
    <w:rsid w:val="00DD6730"/>
    <w:rsid w:val="00DD67C5"/>
    <w:rsid w:val="00DD7C17"/>
    <w:rsid w:val="00DD7CBF"/>
    <w:rsid w:val="00DE2616"/>
    <w:rsid w:val="00DE6011"/>
    <w:rsid w:val="00DE7839"/>
    <w:rsid w:val="00DF11A4"/>
    <w:rsid w:val="00DF14B9"/>
    <w:rsid w:val="00DF40F5"/>
    <w:rsid w:val="00DF60AE"/>
    <w:rsid w:val="00DF7A4F"/>
    <w:rsid w:val="00E00922"/>
    <w:rsid w:val="00E01623"/>
    <w:rsid w:val="00E0345D"/>
    <w:rsid w:val="00E03C91"/>
    <w:rsid w:val="00E042B3"/>
    <w:rsid w:val="00E054CC"/>
    <w:rsid w:val="00E068DE"/>
    <w:rsid w:val="00E10EC5"/>
    <w:rsid w:val="00E10ED2"/>
    <w:rsid w:val="00E23134"/>
    <w:rsid w:val="00E30245"/>
    <w:rsid w:val="00E359C6"/>
    <w:rsid w:val="00E427F6"/>
    <w:rsid w:val="00E45BE6"/>
    <w:rsid w:val="00E46C2A"/>
    <w:rsid w:val="00E46FA5"/>
    <w:rsid w:val="00E5055E"/>
    <w:rsid w:val="00E50579"/>
    <w:rsid w:val="00E50919"/>
    <w:rsid w:val="00E50B15"/>
    <w:rsid w:val="00E5295D"/>
    <w:rsid w:val="00E52F16"/>
    <w:rsid w:val="00E53A3C"/>
    <w:rsid w:val="00E54634"/>
    <w:rsid w:val="00E567C7"/>
    <w:rsid w:val="00E57210"/>
    <w:rsid w:val="00E617A0"/>
    <w:rsid w:val="00E6443F"/>
    <w:rsid w:val="00E665E7"/>
    <w:rsid w:val="00E678F2"/>
    <w:rsid w:val="00E67A2E"/>
    <w:rsid w:val="00E67FF8"/>
    <w:rsid w:val="00E702A4"/>
    <w:rsid w:val="00E76C77"/>
    <w:rsid w:val="00E801A6"/>
    <w:rsid w:val="00E80293"/>
    <w:rsid w:val="00E82A30"/>
    <w:rsid w:val="00E8300B"/>
    <w:rsid w:val="00E836DC"/>
    <w:rsid w:val="00E85CB5"/>
    <w:rsid w:val="00E868A7"/>
    <w:rsid w:val="00E86BD8"/>
    <w:rsid w:val="00E95DFF"/>
    <w:rsid w:val="00E9654B"/>
    <w:rsid w:val="00EA0719"/>
    <w:rsid w:val="00EA0B6D"/>
    <w:rsid w:val="00EA1B3E"/>
    <w:rsid w:val="00EA1D5D"/>
    <w:rsid w:val="00EB4E96"/>
    <w:rsid w:val="00EC1534"/>
    <w:rsid w:val="00EC1DFA"/>
    <w:rsid w:val="00EC7E4B"/>
    <w:rsid w:val="00ED028E"/>
    <w:rsid w:val="00ED29A8"/>
    <w:rsid w:val="00ED2DF9"/>
    <w:rsid w:val="00ED3058"/>
    <w:rsid w:val="00ED3981"/>
    <w:rsid w:val="00ED6996"/>
    <w:rsid w:val="00EE64C3"/>
    <w:rsid w:val="00EE6C2A"/>
    <w:rsid w:val="00EE6F7E"/>
    <w:rsid w:val="00EF63AC"/>
    <w:rsid w:val="00EF73E5"/>
    <w:rsid w:val="00F036E7"/>
    <w:rsid w:val="00F0639E"/>
    <w:rsid w:val="00F06AD6"/>
    <w:rsid w:val="00F1600E"/>
    <w:rsid w:val="00F16078"/>
    <w:rsid w:val="00F17D3B"/>
    <w:rsid w:val="00F21C88"/>
    <w:rsid w:val="00F235E8"/>
    <w:rsid w:val="00F27863"/>
    <w:rsid w:val="00F47BC8"/>
    <w:rsid w:val="00F47F5C"/>
    <w:rsid w:val="00F525BC"/>
    <w:rsid w:val="00F52FDA"/>
    <w:rsid w:val="00F550DC"/>
    <w:rsid w:val="00F575F2"/>
    <w:rsid w:val="00F6051F"/>
    <w:rsid w:val="00F63CF2"/>
    <w:rsid w:val="00F7142A"/>
    <w:rsid w:val="00F75181"/>
    <w:rsid w:val="00F75A27"/>
    <w:rsid w:val="00F77CF6"/>
    <w:rsid w:val="00F809C7"/>
    <w:rsid w:val="00F91247"/>
    <w:rsid w:val="00F93B25"/>
    <w:rsid w:val="00F94D23"/>
    <w:rsid w:val="00FA29F1"/>
    <w:rsid w:val="00FA3927"/>
    <w:rsid w:val="00FA4503"/>
    <w:rsid w:val="00FA627D"/>
    <w:rsid w:val="00FB1B3B"/>
    <w:rsid w:val="00FB25F1"/>
    <w:rsid w:val="00FB31B7"/>
    <w:rsid w:val="00FB772E"/>
    <w:rsid w:val="00FC08E7"/>
    <w:rsid w:val="00FC11A7"/>
    <w:rsid w:val="00FC2771"/>
    <w:rsid w:val="00FC31E5"/>
    <w:rsid w:val="00FC61B5"/>
    <w:rsid w:val="00FD2A73"/>
    <w:rsid w:val="00FD6CD4"/>
    <w:rsid w:val="00FE1983"/>
    <w:rsid w:val="00FE552F"/>
    <w:rsid w:val="00FF1CFC"/>
    <w:rsid w:val="00FF5FB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88065">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510E7"/>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1510E7"/>
    <w:rPr>
      <w:rFonts w:asciiTheme="majorHAnsi" w:eastAsiaTheme="majorEastAsia" w:hAnsiTheme="majorHAnsi" w:cstheme="majorBidi"/>
      <w:sz w:val="18"/>
      <w:szCs w:val="18"/>
    </w:rPr>
  </w:style>
  <w:style w:type="paragraph" w:styleId="a5">
    <w:name w:val="header"/>
    <w:basedOn w:val="a"/>
    <w:link w:val="a6"/>
    <w:uiPriority w:val="99"/>
    <w:unhideWhenUsed/>
    <w:rsid w:val="001C09C4"/>
    <w:pPr>
      <w:tabs>
        <w:tab w:val="center" w:pos="4252"/>
        <w:tab w:val="right" w:pos="8504"/>
      </w:tabs>
      <w:snapToGrid w:val="0"/>
    </w:pPr>
  </w:style>
  <w:style w:type="character" w:customStyle="1" w:styleId="a6">
    <w:name w:val="ヘッダー (文字)"/>
    <w:basedOn w:val="a0"/>
    <w:link w:val="a5"/>
    <w:uiPriority w:val="99"/>
    <w:rsid w:val="001C09C4"/>
  </w:style>
  <w:style w:type="paragraph" w:styleId="a7">
    <w:name w:val="footer"/>
    <w:basedOn w:val="a"/>
    <w:link w:val="a8"/>
    <w:uiPriority w:val="99"/>
    <w:unhideWhenUsed/>
    <w:rsid w:val="001C09C4"/>
    <w:pPr>
      <w:tabs>
        <w:tab w:val="center" w:pos="4252"/>
        <w:tab w:val="right" w:pos="8504"/>
      </w:tabs>
      <w:snapToGrid w:val="0"/>
    </w:pPr>
  </w:style>
  <w:style w:type="character" w:customStyle="1" w:styleId="a8">
    <w:name w:val="フッター (文字)"/>
    <w:basedOn w:val="a0"/>
    <w:link w:val="a7"/>
    <w:uiPriority w:val="99"/>
    <w:rsid w:val="001C09C4"/>
  </w:style>
  <w:style w:type="paragraph" w:customStyle="1" w:styleId="1">
    <w:name w:val="脚注文字列1"/>
    <w:basedOn w:val="a"/>
    <w:next w:val="a9"/>
    <w:link w:val="aa"/>
    <w:uiPriority w:val="99"/>
    <w:semiHidden/>
    <w:unhideWhenUsed/>
    <w:rsid w:val="00F16078"/>
    <w:pPr>
      <w:snapToGrid w:val="0"/>
      <w:jc w:val="left"/>
    </w:pPr>
  </w:style>
  <w:style w:type="character" w:customStyle="1" w:styleId="aa">
    <w:name w:val="脚注文字列 (文字)"/>
    <w:basedOn w:val="a0"/>
    <w:link w:val="1"/>
    <w:uiPriority w:val="99"/>
    <w:semiHidden/>
    <w:rsid w:val="00F16078"/>
  </w:style>
  <w:style w:type="character" w:styleId="ab">
    <w:name w:val="footnote reference"/>
    <w:basedOn w:val="a0"/>
    <w:uiPriority w:val="99"/>
    <w:semiHidden/>
    <w:unhideWhenUsed/>
    <w:rsid w:val="00F16078"/>
    <w:rPr>
      <w:vertAlign w:val="superscript"/>
    </w:rPr>
  </w:style>
  <w:style w:type="paragraph" w:styleId="a9">
    <w:name w:val="footnote text"/>
    <w:basedOn w:val="a"/>
    <w:link w:val="10"/>
    <w:uiPriority w:val="99"/>
    <w:semiHidden/>
    <w:unhideWhenUsed/>
    <w:rsid w:val="00F16078"/>
    <w:pPr>
      <w:snapToGrid w:val="0"/>
      <w:jc w:val="left"/>
    </w:pPr>
  </w:style>
  <w:style w:type="character" w:customStyle="1" w:styleId="10">
    <w:name w:val="脚注文字列 (文字)1"/>
    <w:basedOn w:val="a0"/>
    <w:link w:val="a9"/>
    <w:uiPriority w:val="99"/>
    <w:semiHidden/>
    <w:rsid w:val="00F16078"/>
  </w:style>
  <w:style w:type="paragraph" w:styleId="ac">
    <w:name w:val="List Paragraph"/>
    <w:basedOn w:val="a"/>
    <w:uiPriority w:val="34"/>
    <w:qFormat/>
    <w:rsid w:val="004F5F93"/>
    <w:pPr>
      <w:ind w:leftChars="400" w:left="84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510E7"/>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1510E7"/>
    <w:rPr>
      <w:rFonts w:asciiTheme="majorHAnsi" w:eastAsiaTheme="majorEastAsia" w:hAnsiTheme="majorHAnsi" w:cstheme="majorBidi"/>
      <w:sz w:val="18"/>
      <w:szCs w:val="18"/>
    </w:rPr>
  </w:style>
  <w:style w:type="paragraph" w:styleId="a5">
    <w:name w:val="header"/>
    <w:basedOn w:val="a"/>
    <w:link w:val="a6"/>
    <w:uiPriority w:val="99"/>
    <w:unhideWhenUsed/>
    <w:rsid w:val="001C09C4"/>
    <w:pPr>
      <w:tabs>
        <w:tab w:val="center" w:pos="4252"/>
        <w:tab w:val="right" w:pos="8504"/>
      </w:tabs>
      <w:snapToGrid w:val="0"/>
    </w:pPr>
  </w:style>
  <w:style w:type="character" w:customStyle="1" w:styleId="a6">
    <w:name w:val="ヘッダー (文字)"/>
    <w:basedOn w:val="a0"/>
    <w:link w:val="a5"/>
    <w:uiPriority w:val="99"/>
    <w:rsid w:val="001C09C4"/>
  </w:style>
  <w:style w:type="paragraph" w:styleId="a7">
    <w:name w:val="footer"/>
    <w:basedOn w:val="a"/>
    <w:link w:val="a8"/>
    <w:uiPriority w:val="99"/>
    <w:unhideWhenUsed/>
    <w:rsid w:val="001C09C4"/>
    <w:pPr>
      <w:tabs>
        <w:tab w:val="center" w:pos="4252"/>
        <w:tab w:val="right" w:pos="8504"/>
      </w:tabs>
      <w:snapToGrid w:val="0"/>
    </w:pPr>
  </w:style>
  <w:style w:type="character" w:customStyle="1" w:styleId="a8">
    <w:name w:val="フッター (文字)"/>
    <w:basedOn w:val="a0"/>
    <w:link w:val="a7"/>
    <w:uiPriority w:val="99"/>
    <w:rsid w:val="001C09C4"/>
  </w:style>
  <w:style w:type="paragraph" w:customStyle="1" w:styleId="1">
    <w:name w:val="脚注文字列1"/>
    <w:basedOn w:val="a"/>
    <w:next w:val="a9"/>
    <w:link w:val="aa"/>
    <w:uiPriority w:val="99"/>
    <w:semiHidden/>
    <w:unhideWhenUsed/>
    <w:rsid w:val="00F16078"/>
    <w:pPr>
      <w:snapToGrid w:val="0"/>
      <w:jc w:val="left"/>
    </w:pPr>
  </w:style>
  <w:style w:type="character" w:customStyle="1" w:styleId="aa">
    <w:name w:val="脚注文字列 (文字)"/>
    <w:basedOn w:val="a0"/>
    <w:link w:val="1"/>
    <w:uiPriority w:val="99"/>
    <w:semiHidden/>
    <w:rsid w:val="00F16078"/>
  </w:style>
  <w:style w:type="character" w:styleId="ab">
    <w:name w:val="footnote reference"/>
    <w:basedOn w:val="a0"/>
    <w:uiPriority w:val="99"/>
    <w:semiHidden/>
    <w:unhideWhenUsed/>
    <w:rsid w:val="00F16078"/>
    <w:rPr>
      <w:vertAlign w:val="superscript"/>
    </w:rPr>
  </w:style>
  <w:style w:type="paragraph" w:styleId="a9">
    <w:name w:val="footnote text"/>
    <w:basedOn w:val="a"/>
    <w:link w:val="10"/>
    <w:uiPriority w:val="99"/>
    <w:semiHidden/>
    <w:unhideWhenUsed/>
    <w:rsid w:val="00F16078"/>
    <w:pPr>
      <w:snapToGrid w:val="0"/>
      <w:jc w:val="left"/>
    </w:pPr>
  </w:style>
  <w:style w:type="character" w:customStyle="1" w:styleId="10">
    <w:name w:val="脚注文字列 (文字)1"/>
    <w:basedOn w:val="a0"/>
    <w:link w:val="a9"/>
    <w:uiPriority w:val="99"/>
    <w:semiHidden/>
    <w:rsid w:val="00F16078"/>
  </w:style>
  <w:style w:type="paragraph" w:styleId="ac">
    <w:name w:val="List Paragraph"/>
    <w:basedOn w:val="a"/>
    <w:uiPriority w:val="34"/>
    <w:qFormat/>
    <w:rsid w:val="004F5F93"/>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5.xml"/><Relationship Id="rId18" Type="http://schemas.openxmlformats.org/officeDocument/2006/relationships/chart" Target="charts/chart10.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chart" Target="charts/chart4.xml"/><Relationship Id="rId17" Type="http://schemas.openxmlformats.org/officeDocument/2006/relationships/chart" Target="charts/chart9.xml"/><Relationship Id="rId2" Type="http://schemas.openxmlformats.org/officeDocument/2006/relationships/numbering" Target="numbering.xml"/><Relationship Id="rId16" Type="http://schemas.openxmlformats.org/officeDocument/2006/relationships/chart" Target="charts/chart8.xml"/><Relationship Id="rId20" Type="http://schemas.openxmlformats.org/officeDocument/2006/relationships/chart" Target="charts/chart1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3.xml"/><Relationship Id="rId5" Type="http://schemas.openxmlformats.org/officeDocument/2006/relationships/settings" Target="settings.xml"/><Relationship Id="rId15" Type="http://schemas.openxmlformats.org/officeDocument/2006/relationships/chart" Target="charts/chart7.xml"/><Relationship Id="rId23" Type="http://schemas.openxmlformats.org/officeDocument/2006/relationships/theme" Target="theme/theme1.xml"/><Relationship Id="rId10" Type="http://schemas.openxmlformats.org/officeDocument/2006/relationships/chart" Target="charts/chart2.xml"/><Relationship Id="rId19" Type="http://schemas.openxmlformats.org/officeDocument/2006/relationships/chart" Target="charts/chart11.xml"/><Relationship Id="rId4" Type="http://schemas.microsoft.com/office/2007/relationships/stylesWithEffects" Target="stylesWithEffects.xml"/><Relationship Id="rId9" Type="http://schemas.openxmlformats.org/officeDocument/2006/relationships/chart" Target="charts/chart1.xml"/><Relationship Id="rId14" Type="http://schemas.openxmlformats.org/officeDocument/2006/relationships/chart" Target="charts/chart6.xml"/><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file:///\\Scsjnas01\sj-every\04&#12288;&#32076;&#28168;%20&#65288;&#32076;&#28168;&#29677;&#65289;\&#9733;&#23554;&#38272;&#35519;&#26619;&#21729;\&#9733;&#32076;&#28168;&#25351;&#27161;&#12487;&#12540;&#12479;.xlsx" TargetMode="External"/></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1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F:\&#23450;&#26399;&#22577;&#21578;&#38306;&#36899;\2014&#24180;9&#26376;&#37329;&#21033;&#38306;&#20418;.xlsx" TargetMode="External"/></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2.xml.rels><?xml version="1.0" encoding="UTF-8" standalone="yes"?>
<Relationships xmlns="http://schemas.openxmlformats.org/package/2006/relationships"><Relationship Id="rId1" Type="http://schemas.openxmlformats.org/officeDocument/2006/relationships/oleObject" Target="file:///G:\&#23450;&#26399;&#22577;&#21578;&#38306;&#36899;\2014&#24180;8&#26376;&#36664;&#20986;-&#20837;&#38989;.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F:\&#23450;&#26399;&#22577;&#21578;&#38306;&#36899;\2014&#24180;8&#26376;&#32047;&#31309;&#36031;&#26131;&#38989;.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F:\&#23450;&#26399;&#22577;&#21578;&#38306;&#36899;\2014&#24180;8&#26376;&#32047;&#31309;&#36031;&#26131;&#38989;.xlsx" TargetMode="External"/></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9.xml.rels><?xml version="1.0" encoding="UTF-8" standalone="yes"?>
<Relationships xmlns="http://schemas.openxmlformats.org/package/2006/relationships"><Relationship Id="rId1" Type="http://schemas.openxmlformats.org/officeDocument/2006/relationships/oleObject" Target="file:///F:\&#23450;&#26399;&#22577;&#21578;&#38306;&#36899;\2014&#24180;5&#26376;IPC&#24180;&#29575;&#25563;&#31639;.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50"/>
            </a:pPr>
            <a:r>
              <a:rPr lang="ja-JP" altLang="en-US" sz="1050"/>
              <a:t>表</a:t>
            </a:r>
            <a:r>
              <a:rPr lang="en-US" altLang="ja-JP" sz="1050"/>
              <a:t>1</a:t>
            </a:r>
            <a:r>
              <a:rPr lang="ja-JP" altLang="en-US" sz="1050"/>
              <a:t>　経済活動指標　前年同月比成長率月別推移</a:t>
            </a:r>
          </a:p>
        </c:rich>
      </c:tx>
      <c:layout/>
      <c:overlay val="0"/>
    </c:title>
    <c:autoTitleDeleted val="0"/>
    <c:plotArea>
      <c:layout>
        <c:manualLayout>
          <c:layoutTarget val="inner"/>
          <c:xMode val="edge"/>
          <c:yMode val="edge"/>
          <c:x val="7.761182037318097E-2"/>
          <c:y val="9.7464654460224925E-2"/>
          <c:w val="0.7212111143053237"/>
          <c:h val="0.71912884150145162"/>
        </c:manualLayout>
      </c:layout>
      <c:barChart>
        <c:barDir val="col"/>
        <c:grouping val="clustered"/>
        <c:varyColors val="0"/>
        <c:ser>
          <c:idx val="12"/>
          <c:order val="12"/>
          <c:tx>
            <c:strRef>
              <c:f>'2014主要経済指標'!$B$16</c:f>
              <c:strCache>
                <c:ptCount val="1"/>
                <c:pt idx="0">
                  <c:v>全体</c:v>
                </c:pt>
              </c:strCache>
            </c:strRef>
          </c:tx>
          <c:invertIfNegative val="0"/>
          <c:cat>
            <c:numRef>
              <c:f>'2014主要経済指標'!$C$3:$P$3</c:f>
              <c:numCache>
                <c:formatCode>yyyy"年"m"月";@</c:formatCode>
                <c:ptCount val="14"/>
                <c:pt idx="0">
                  <c:v>41456</c:v>
                </c:pt>
                <c:pt idx="1">
                  <c:v>41487</c:v>
                </c:pt>
                <c:pt idx="2">
                  <c:v>41518</c:v>
                </c:pt>
                <c:pt idx="3">
                  <c:v>41548</c:v>
                </c:pt>
                <c:pt idx="4">
                  <c:v>41579</c:v>
                </c:pt>
                <c:pt idx="5">
                  <c:v>41609</c:v>
                </c:pt>
                <c:pt idx="6">
                  <c:v>41640</c:v>
                </c:pt>
                <c:pt idx="7">
                  <c:v>41671</c:v>
                </c:pt>
                <c:pt idx="8">
                  <c:v>41699</c:v>
                </c:pt>
                <c:pt idx="9">
                  <c:v>41730</c:v>
                </c:pt>
                <c:pt idx="10">
                  <c:v>41760</c:v>
                </c:pt>
                <c:pt idx="11">
                  <c:v>41791</c:v>
                </c:pt>
                <c:pt idx="12">
                  <c:v>41821</c:v>
                </c:pt>
                <c:pt idx="13">
                  <c:v>41852</c:v>
                </c:pt>
              </c:numCache>
            </c:numRef>
          </c:cat>
          <c:val>
            <c:numRef>
              <c:f>'2014主要経済指標'!$C$16:$P$16</c:f>
              <c:numCache>
                <c:formatCode>#,##0.00</c:formatCode>
                <c:ptCount val="14"/>
                <c:pt idx="0">
                  <c:v>4.0999999999999996</c:v>
                </c:pt>
                <c:pt idx="1">
                  <c:v>4.7</c:v>
                </c:pt>
                <c:pt idx="2">
                  <c:v>5</c:v>
                </c:pt>
                <c:pt idx="3">
                  <c:v>4.8</c:v>
                </c:pt>
                <c:pt idx="4">
                  <c:v>4.2</c:v>
                </c:pt>
                <c:pt idx="5">
                  <c:v>3.6</c:v>
                </c:pt>
                <c:pt idx="6">
                  <c:v>3.4735090099999999</c:v>
                </c:pt>
                <c:pt idx="7">
                  <c:v>3.9</c:v>
                </c:pt>
                <c:pt idx="8">
                  <c:v>4.3</c:v>
                </c:pt>
                <c:pt idx="9">
                  <c:v>4</c:v>
                </c:pt>
                <c:pt idx="10" formatCode="0.00;&quot;▲ &quot;0.00">
                  <c:v>4</c:v>
                </c:pt>
                <c:pt idx="11" formatCode="0.00;&quot;▲ &quot;0.00">
                  <c:v>4.0999999999999996</c:v>
                </c:pt>
                <c:pt idx="12" formatCode="0.00;&quot;▲ &quot;0.00">
                  <c:v>4</c:v>
                </c:pt>
                <c:pt idx="13" formatCode="0.00;&quot;▲ &quot;0.00">
                  <c:v>3.8</c:v>
                </c:pt>
              </c:numCache>
            </c:numRef>
          </c:val>
        </c:ser>
        <c:ser>
          <c:idx val="13"/>
          <c:order val="13"/>
          <c:tx>
            <c:strRef>
              <c:f>'2014主要経済指標'!$B$17</c:f>
              <c:strCache>
                <c:ptCount val="1"/>
                <c:pt idx="0">
                  <c:v>フリーゾーン除く</c:v>
                </c:pt>
              </c:strCache>
            </c:strRef>
          </c:tx>
          <c:invertIfNegative val="0"/>
          <c:cat>
            <c:numRef>
              <c:f>'2014主要経済指標'!$C$3:$P$3</c:f>
              <c:numCache>
                <c:formatCode>yyyy"年"m"月";@</c:formatCode>
                <c:ptCount val="14"/>
                <c:pt idx="0">
                  <c:v>41456</c:v>
                </c:pt>
                <c:pt idx="1">
                  <c:v>41487</c:v>
                </c:pt>
                <c:pt idx="2">
                  <c:v>41518</c:v>
                </c:pt>
                <c:pt idx="3">
                  <c:v>41548</c:v>
                </c:pt>
                <c:pt idx="4">
                  <c:v>41579</c:v>
                </c:pt>
                <c:pt idx="5">
                  <c:v>41609</c:v>
                </c:pt>
                <c:pt idx="6">
                  <c:v>41640</c:v>
                </c:pt>
                <c:pt idx="7">
                  <c:v>41671</c:v>
                </c:pt>
                <c:pt idx="8">
                  <c:v>41699</c:v>
                </c:pt>
                <c:pt idx="9">
                  <c:v>41730</c:v>
                </c:pt>
                <c:pt idx="10">
                  <c:v>41760</c:v>
                </c:pt>
                <c:pt idx="11">
                  <c:v>41791</c:v>
                </c:pt>
                <c:pt idx="12">
                  <c:v>41821</c:v>
                </c:pt>
                <c:pt idx="13">
                  <c:v>41852</c:v>
                </c:pt>
              </c:numCache>
            </c:numRef>
          </c:cat>
          <c:val>
            <c:numRef>
              <c:f>'2014主要経済指標'!$C$17:$P$17</c:f>
              <c:numCache>
                <c:formatCode>General</c:formatCode>
                <c:ptCount val="14"/>
                <c:pt idx="0">
                  <c:v>2.7800000000000002</c:v>
                </c:pt>
                <c:pt idx="1">
                  <c:v>2.92</c:v>
                </c:pt>
                <c:pt idx="2">
                  <c:v>3.06</c:v>
                </c:pt>
                <c:pt idx="3">
                  <c:v>3.19</c:v>
                </c:pt>
                <c:pt idx="4">
                  <c:v>3.3099999999999987</c:v>
                </c:pt>
                <c:pt idx="5">
                  <c:v>3.48</c:v>
                </c:pt>
                <c:pt idx="6">
                  <c:v>3.7479541700000012</c:v>
                </c:pt>
                <c:pt idx="7">
                  <c:v>4.4700000000000024</c:v>
                </c:pt>
                <c:pt idx="8">
                  <c:v>4.95</c:v>
                </c:pt>
                <c:pt idx="9">
                  <c:v>4.1099999999999985</c:v>
                </c:pt>
                <c:pt idx="10" formatCode="0.00;&quot;▲ &quot;0.00">
                  <c:v>4.1599999999999975</c:v>
                </c:pt>
                <c:pt idx="11" formatCode="0.00;&quot;▲ &quot;0.00">
                  <c:v>5.22</c:v>
                </c:pt>
                <c:pt idx="12" formatCode="0.00;&quot;▲ &quot;0.00">
                  <c:v>4.13</c:v>
                </c:pt>
                <c:pt idx="13" formatCode="0.00;&quot;▲ &quot;0.00">
                  <c:v>2.98</c:v>
                </c:pt>
              </c:numCache>
            </c:numRef>
          </c:val>
        </c:ser>
        <c:dLbls>
          <c:showLegendKey val="0"/>
          <c:showVal val="0"/>
          <c:showCatName val="0"/>
          <c:showSerName val="0"/>
          <c:showPercent val="0"/>
          <c:showBubbleSize val="0"/>
        </c:dLbls>
        <c:gapWidth val="150"/>
        <c:axId val="85018112"/>
        <c:axId val="85019648"/>
      </c:barChart>
      <c:lineChart>
        <c:grouping val="standard"/>
        <c:varyColors val="0"/>
        <c:ser>
          <c:idx val="0"/>
          <c:order val="0"/>
          <c:tx>
            <c:strRef>
              <c:f>'2014主要経済指標'!$B$4</c:f>
              <c:strCache>
                <c:ptCount val="1"/>
                <c:pt idx="0">
                  <c:v>農業・林業・漁業</c:v>
                </c:pt>
              </c:strCache>
            </c:strRef>
          </c:tx>
          <c:dLbls>
            <c:dLbl>
              <c:idx val="13"/>
              <c:layout>
                <c:manualLayout>
                  <c:x val="-3.9669421487603322E-2"/>
                  <c:y val="3.7348272642390302E-2"/>
                </c:manualLayout>
              </c:layout>
              <c:spPr/>
              <c:txPr>
                <a:bodyPr/>
                <a:lstStyle/>
                <a:p>
                  <a:pPr>
                    <a:defRPr sz="900"/>
                  </a:pPr>
                  <a:endParaRPr lang="ja-JP"/>
                </a:p>
              </c:txPr>
              <c:showLegendKey val="0"/>
              <c:showVal val="1"/>
              <c:showCatName val="0"/>
              <c:showSerName val="0"/>
              <c:showPercent val="0"/>
              <c:showBubbleSize val="0"/>
            </c:dLbl>
            <c:showLegendKey val="0"/>
            <c:showVal val="0"/>
            <c:showCatName val="0"/>
            <c:showSerName val="0"/>
            <c:showPercent val="0"/>
            <c:showBubbleSize val="0"/>
          </c:dLbls>
          <c:cat>
            <c:numRef>
              <c:f>'2014主要経済指標'!$C$3:$P$3</c:f>
              <c:numCache>
                <c:formatCode>yyyy"年"m"月";@</c:formatCode>
                <c:ptCount val="14"/>
                <c:pt idx="0">
                  <c:v>41456</c:v>
                </c:pt>
                <c:pt idx="1">
                  <c:v>41487</c:v>
                </c:pt>
                <c:pt idx="2">
                  <c:v>41518</c:v>
                </c:pt>
                <c:pt idx="3">
                  <c:v>41548</c:v>
                </c:pt>
                <c:pt idx="4">
                  <c:v>41579</c:v>
                </c:pt>
                <c:pt idx="5">
                  <c:v>41609</c:v>
                </c:pt>
                <c:pt idx="6">
                  <c:v>41640</c:v>
                </c:pt>
                <c:pt idx="7">
                  <c:v>41671</c:v>
                </c:pt>
                <c:pt idx="8">
                  <c:v>41699</c:v>
                </c:pt>
                <c:pt idx="9">
                  <c:v>41730</c:v>
                </c:pt>
                <c:pt idx="10">
                  <c:v>41760</c:v>
                </c:pt>
                <c:pt idx="11">
                  <c:v>41791</c:v>
                </c:pt>
                <c:pt idx="12">
                  <c:v>41821</c:v>
                </c:pt>
                <c:pt idx="13">
                  <c:v>41852</c:v>
                </c:pt>
              </c:numCache>
            </c:numRef>
          </c:cat>
          <c:val>
            <c:numRef>
              <c:f>'2014主要経済指標'!$C$4:$P$4</c:f>
              <c:numCache>
                <c:formatCode>#,##0.00</c:formatCode>
                <c:ptCount val="14"/>
                <c:pt idx="0">
                  <c:v>0.44379211000000002</c:v>
                </c:pt>
                <c:pt idx="1">
                  <c:v>0.71041979</c:v>
                </c:pt>
                <c:pt idx="2">
                  <c:v>1.0383669</c:v>
                </c:pt>
                <c:pt idx="3">
                  <c:v>1.505801959999999</c:v>
                </c:pt>
                <c:pt idx="4">
                  <c:v>2.0670459199999978</c:v>
                </c:pt>
                <c:pt idx="5">
                  <c:v>2.7958241099999999</c:v>
                </c:pt>
                <c:pt idx="6">
                  <c:v>3.2972972300000012</c:v>
                </c:pt>
                <c:pt idx="7">
                  <c:v>6.713172249999996</c:v>
                </c:pt>
                <c:pt idx="8">
                  <c:v>6.6058091399999954</c:v>
                </c:pt>
                <c:pt idx="9">
                  <c:v>11.790323969999998</c:v>
                </c:pt>
                <c:pt idx="10" formatCode="0.00;&quot;▲ &quot;0.00">
                  <c:v>5.8782740499999955</c:v>
                </c:pt>
                <c:pt idx="11" formatCode="0.00;&quot;▲ &quot;0.00">
                  <c:v>12.29916482</c:v>
                </c:pt>
                <c:pt idx="12" formatCode="0.00;&quot;▲ &quot;0.00">
                  <c:v>7.9695776299999954</c:v>
                </c:pt>
                <c:pt idx="13" formatCode="0.00;&quot;▲ &quot;0.00">
                  <c:v>-1.8742110300000001</c:v>
                </c:pt>
              </c:numCache>
            </c:numRef>
          </c:val>
          <c:smooth val="0"/>
        </c:ser>
        <c:ser>
          <c:idx val="1"/>
          <c:order val="1"/>
          <c:tx>
            <c:strRef>
              <c:f>'2014主要経済指標'!$B$5</c:f>
              <c:strCache>
                <c:ptCount val="1"/>
                <c:pt idx="0">
                  <c:v>製造業</c:v>
                </c:pt>
              </c:strCache>
            </c:strRef>
          </c:tx>
          <c:dLbls>
            <c:dLbl>
              <c:idx val="12"/>
              <c:layout>
                <c:manualLayout>
                  <c:x val="-7.6546112770386462E-2"/>
                  <c:y val="3.0393072123469596E-2"/>
                </c:manualLayout>
              </c:layout>
              <c:showLegendKey val="0"/>
              <c:showVal val="1"/>
              <c:showCatName val="0"/>
              <c:showSerName val="0"/>
              <c:showPercent val="0"/>
              <c:showBubbleSize val="0"/>
            </c:dLbl>
            <c:dLbl>
              <c:idx val="13"/>
              <c:layout>
                <c:manualLayout>
                  <c:x val="-1.3793103448275862E-2"/>
                  <c:y val="1.9960079840319361E-2"/>
                </c:manualLayout>
              </c:layout>
              <c:showLegendKey val="0"/>
              <c:showVal val="1"/>
              <c:showCatName val="0"/>
              <c:showSerName val="0"/>
              <c:showPercent val="0"/>
              <c:showBubbleSize val="0"/>
            </c:dLbl>
            <c:showLegendKey val="0"/>
            <c:showVal val="0"/>
            <c:showCatName val="0"/>
            <c:showSerName val="0"/>
            <c:showPercent val="0"/>
            <c:showBubbleSize val="0"/>
          </c:dLbls>
          <c:cat>
            <c:numRef>
              <c:f>'2014主要経済指標'!$C$3:$P$3</c:f>
              <c:numCache>
                <c:formatCode>yyyy"年"m"月";@</c:formatCode>
                <c:ptCount val="14"/>
                <c:pt idx="0">
                  <c:v>41456</c:v>
                </c:pt>
                <c:pt idx="1">
                  <c:v>41487</c:v>
                </c:pt>
                <c:pt idx="2">
                  <c:v>41518</c:v>
                </c:pt>
                <c:pt idx="3">
                  <c:v>41548</c:v>
                </c:pt>
                <c:pt idx="4">
                  <c:v>41579</c:v>
                </c:pt>
                <c:pt idx="5">
                  <c:v>41609</c:v>
                </c:pt>
                <c:pt idx="6">
                  <c:v>41640</c:v>
                </c:pt>
                <c:pt idx="7">
                  <c:v>41671</c:v>
                </c:pt>
                <c:pt idx="8">
                  <c:v>41699</c:v>
                </c:pt>
                <c:pt idx="9">
                  <c:v>41730</c:v>
                </c:pt>
                <c:pt idx="10">
                  <c:v>41760</c:v>
                </c:pt>
                <c:pt idx="11">
                  <c:v>41791</c:v>
                </c:pt>
                <c:pt idx="12">
                  <c:v>41821</c:v>
                </c:pt>
                <c:pt idx="13">
                  <c:v>41852</c:v>
                </c:pt>
              </c:numCache>
            </c:numRef>
          </c:cat>
          <c:val>
            <c:numRef>
              <c:f>'2014主要経済指標'!$C$5:$P$5</c:f>
              <c:numCache>
                <c:formatCode>#,##0.00</c:formatCode>
                <c:ptCount val="14"/>
                <c:pt idx="0">
                  <c:v>7.1091178699999906</c:v>
                </c:pt>
                <c:pt idx="1">
                  <c:v>9.0158120000000004</c:v>
                </c:pt>
                <c:pt idx="2">
                  <c:v>9.9537174800000034</c:v>
                </c:pt>
                <c:pt idx="3">
                  <c:v>8.8496379100000091</c:v>
                </c:pt>
                <c:pt idx="4">
                  <c:v>5.8885002299999938</c:v>
                </c:pt>
                <c:pt idx="5">
                  <c:v>2.9474045800000002</c:v>
                </c:pt>
                <c:pt idx="6">
                  <c:v>2.4474647700000012</c:v>
                </c:pt>
                <c:pt idx="7">
                  <c:v>2.7490203200000001</c:v>
                </c:pt>
                <c:pt idx="8">
                  <c:v>4.23416996</c:v>
                </c:pt>
                <c:pt idx="9">
                  <c:v>-0.80738509999999997</c:v>
                </c:pt>
                <c:pt idx="10" formatCode="0.00;&quot;▲ &quot;0.00">
                  <c:v>3.2542449499999999</c:v>
                </c:pt>
                <c:pt idx="11" formatCode="0.00;&quot;▲ &quot;0.00">
                  <c:v>1.2625095399999999</c:v>
                </c:pt>
                <c:pt idx="12" formatCode="0.00;&quot;▲ &quot;0.00">
                  <c:v>5.001159000000005E-2</c:v>
                </c:pt>
                <c:pt idx="13" formatCode="0.00;&quot;▲ &quot;0.00">
                  <c:v>5.5407610000000072E-2</c:v>
                </c:pt>
              </c:numCache>
            </c:numRef>
          </c:val>
          <c:smooth val="0"/>
        </c:ser>
        <c:ser>
          <c:idx val="2"/>
          <c:order val="2"/>
          <c:tx>
            <c:strRef>
              <c:f>'2014主要経済指標'!$B$6</c:f>
              <c:strCache>
                <c:ptCount val="1"/>
                <c:pt idx="0">
                  <c:v>鉱山</c:v>
                </c:pt>
              </c:strCache>
            </c:strRef>
          </c:tx>
          <c:cat>
            <c:numRef>
              <c:f>'2014主要経済指標'!$C$3:$P$3</c:f>
              <c:numCache>
                <c:formatCode>yyyy"年"m"月";@</c:formatCode>
                <c:ptCount val="14"/>
                <c:pt idx="0">
                  <c:v>41456</c:v>
                </c:pt>
                <c:pt idx="1">
                  <c:v>41487</c:v>
                </c:pt>
                <c:pt idx="2">
                  <c:v>41518</c:v>
                </c:pt>
                <c:pt idx="3">
                  <c:v>41548</c:v>
                </c:pt>
                <c:pt idx="4">
                  <c:v>41579</c:v>
                </c:pt>
                <c:pt idx="5">
                  <c:v>41609</c:v>
                </c:pt>
                <c:pt idx="6">
                  <c:v>41640</c:v>
                </c:pt>
                <c:pt idx="7">
                  <c:v>41671</c:v>
                </c:pt>
                <c:pt idx="8">
                  <c:v>41699</c:v>
                </c:pt>
                <c:pt idx="9">
                  <c:v>41730</c:v>
                </c:pt>
                <c:pt idx="10">
                  <c:v>41760</c:v>
                </c:pt>
                <c:pt idx="11">
                  <c:v>41791</c:v>
                </c:pt>
                <c:pt idx="12">
                  <c:v>41821</c:v>
                </c:pt>
                <c:pt idx="13">
                  <c:v>41852</c:v>
                </c:pt>
              </c:numCache>
            </c:numRef>
          </c:cat>
          <c:val>
            <c:numRef>
              <c:f>'2014主要経済指標'!$C$6:$P$6</c:f>
              <c:numCache>
                <c:formatCode>#,##0.00</c:formatCode>
                <c:ptCount val="14"/>
                <c:pt idx="0">
                  <c:v>2.7880705300000002</c:v>
                </c:pt>
                <c:pt idx="1">
                  <c:v>2.4872356600000001</c:v>
                </c:pt>
                <c:pt idx="2">
                  <c:v>2.2553903800000001</c:v>
                </c:pt>
                <c:pt idx="3">
                  <c:v>2.0867885999999998</c:v>
                </c:pt>
                <c:pt idx="4">
                  <c:v>1.9755998099999992</c:v>
                </c:pt>
                <c:pt idx="5">
                  <c:v>1.9087782999999994</c:v>
                </c:pt>
                <c:pt idx="6">
                  <c:v>0.74811475999999999</c:v>
                </c:pt>
                <c:pt idx="7">
                  <c:v>1.708452320000001</c:v>
                </c:pt>
                <c:pt idx="8">
                  <c:v>0.59013905999999983</c:v>
                </c:pt>
                <c:pt idx="9">
                  <c:v>2.2682060000000025E-2</c:v>
                </c:pt>
                <c:pt idx="10" formatCode="0.00;&quot;▲ &quot;0.00">
                  <c:v>2.2748287999999999</c:v>
                </c:pt>
                <c:pt idx="11" formatCode="0.00;&quot;▲ &quot;0.00">
                  <c:v>2.6378280199999997</c:v>
                </c:pt>
                <c:pt idx="12" formatCode="0.00;&quot;▲ &quot;0.00">
                  <c:v>3.3531137700000002</c:v>
                </c:pt>
                <c:pt idx="13" formatCode="0.00;&quot;▲ &quot;0.00">
                  <c:v>2.13078528</c:v>
                </c:pt>
              </c:numCache>
            </c:numRef>
          </c:val>
          <c:smooth val="0"/>
        </c:ser>
        <c:ser>
          <c:idx val="3"/>
          <c:order val="3"/>
          <c:tx>
            <c:strRef>
              <c:f>'2014主要経済指標'!$B$7</c:f>
              <c:strCache>
                <c:ptCount val="1"/>
                <c:pt idx="0">
                  <c:v>電気・水道</c:v>
                </c:pt>
              </c:strCache>
            </c:strRef>
          </c:tx>
          <c:cat>
            <c:numRef>
              <c:f>'2014主要経済指標'!$C$3:$P$3</c:f>
              <c:numCache>
                <c:formatCode>yyyy"年"m"月";@</c:formatCode>
                <c:ptCount val="14"/>
                <c:pt idx="0">
                  <c:v>41456</c:v>
                </c:pt>
                <c:pt idx="1">
                  <c:v>41487</c:v>
                </c:pt>
                <c:pt idx="2">
                  <c:v>41518</c:v>
                </c:pt>
                <c:pt idx="3">
                  <c:v>41548</c:v>
                </c:pt>
                <c:pt idx="4">
                  <c:v>41579</c:v>
                </c:pt>
                <c:pt idx="5">
                  <c:v>41609</c:v>
                </c:pt>
                <c:pt idx="6">
                  <c:v>41640</c:v>
                </c:pt>
                <c:pt idx="7">
                  <c:v>41671</c:v>
                </c:pt>
                <c:pt idx="8">
                  <c:v>41699</c:v>
                </c:pt>
                <c:pt idx="9">
                  <c:v>41730</c:v>
                </c:pt>
                <c:pt idx="10">
                  <c:v>41760</c:v>
                </c:pt>
                <c:pt idx="11">
                  <c:v>41791</c:v>
                </c:pt>
                <c:pt idx="12">
                  <c:v>41821</c:v>
                </c:pt>
                <c:pt idx="13">
                  <c:v>41852</c:v>
                </c:pt>
              </c:numCache>
            </c:numRef>
          </c:cat>
          <c:val>
            <c:numRef>
              <c:f>'2014主要経済指標'!$C$7:$P$7</c:f>
              <c:numCache>
                <c:formatCode>#,##0.00</c:formatCode>
                <c:ptCount val="14"/>
                <c:pt idx="0">
                  <c:v>1.1659015699999999</c:v>
                </c:pt>
                <c:pt idx="1">
                  <c:v>0.97360804000000023</c:v>
                </c:pt>
                <c:pt idx="2">
                  <c:v>0.67852190999999995</c:v>
                </c:pt>
                <c:pt idx="3">
                  <c:v>0.54603447999999999</c:v>
                </c:pt>
                <c:pt idx="4">
                  <c:v>0.49180502000000026</c:v>
                </c:pt>
                <c:pt idx="5">
                  <c:v>0.36668233000000028</c:v>
                </c:pt>
                <c:pt idx="6">
                  <c:v>-1.2812961699999998</c:v>
                </c:pt>
                <c:pt idx="7">
                  <c:v>0.62586484000000053</c:v>
                </c:pt>
                <c:pt idx="8">
                  <c:v>4.879314649999996</c:v>
                </c:pt>
                <c:pt idx="9">
                  <c:v>1.0799260899999987</c:v>
                </c:pt>
                <c:pt idx="10" formatCode="0.00;&quot;▲ &quot;0.00">
                  <c:v>1.8691420000000001</c:v>
                </c:pt>
                <c:pt idx="11" formatCode="0.00;&quot;▲ &quot;0.00">
                  <c:v>2.9140981899999976</c:v>
                </c:pt>
                <c:pt idx="12" formatCode="0.00;&quot;▲ &quot;0.00">
                  <c:v>-1.3268946799999988</c:v>
                </c:pt>
                <c:pt idx="13" formatCode="0.00;&quot;▲ &quot;0.00">
                  <c:v>1.9591622199999994</c:v>
                </c:pt>
              </c:numCache>
            </c:numRef>
          </c:val>
          <c:smooth val="0"/>
        </c:ser>
        <c:ser>
          <c:idx val="4"/>
          <c:order val="4"/>
          <c:tx>
            <c:strRef>
              <c:f>'2014主要経済指標'!$B$8</c:f>
              <c:strCache>
                <c:ptCount val="1"/>
                <c:pt idx="0">
                  <c:v>建設</c:v>
                </c:pt>
              </c:strCache>
            </c:strRef>
          </c:tx>
          <c:cat>
            <c:numRef>
              <c:f>'2014主要経済指標'!$C$3:$P$3</c:f>
              <c:numCache>
                <c:formatCode>yyyy"年"m"月";@</c:formatCode>
                <c:ptCount val="14"/>
                <c:pt idx="0">
                  <c:v>41456</c:v>
                </c:pt>
                <c:pt idx="1">
                  <c:v>41487</c:v>
                </c:pt>
                <c:pt idx="2">
                  <c:v>41518</c:v>
                </c:pt>
                <c:pt idx="3">
                  <c:v>41548</c:v>
                </c:pt>
                <c:pt idx="4">
                  <c:v>41579</c:v>
                </c:pt>
                <c:pt idx="5">
                  <c:v>41609</c:v>
                </c:pt>
                <c:pt idx="6">
                  <c:v>41640</c:v>
                </c:pt>
                <c:pt idx="7">
                  <c:v>41671</c:v>
                </c:pt>
                <c:pt idx="8">
                  <c:v>41699</c:v>
                </c:pt>
                <c:pt idx="9">
                  <c:v>41730</c:v>
                </c:pt>
                <c:pt idx="10">
                  <c:v>41760</c:v>
                </c:pt>
                <c:pt idx="11">
                  <c:v>41791</c:v>
                </c:pt>
                <c:pt idx="12">
                  <c:v>41821</c:v>
                </c:pt>
                <c:pt idx="13">
                  <c:v>41852</c:v>
                </c:pt>
              </c:numCache>
            </c:numRef>
          </c:cat>
          <c:val>
            <c:numRef>
              <c:f>'2014主要経済指標'!$C$8:$P$8</c:f>
              <c:numCache>
                <c:formatCode>#,##0.00</c:formatCode>
                <c:ptCount val="14"/>
                <c:pt idx="0">
                  <c:v>1.9662648999999994</c:v>
                </c:pt>
                <c:pt idx="1">
                  <c:v>1.7260041100000001</c:v>
                </c:pt>
                <c:pt idx="2">
                  <c:v>1.5187134200000001</c:v>
                </c:pt>
                <c:pt idx="3">
                  <c:v>1.3887172400000001</c:v>
                </c:pt>
                <c:pt idx="4">
                  <c:v>1.4416604899999987</c:v>
                </c:pt>
                <c:pt idx="5">
                  <c:v>1.8235660799999998</c:v>
                </c:pt>
                <c:pt idx="6">
                  <c:v>1.69142916</c:v>
                </c:pt>
                <c:pt idx="7">
                  <c:v>2.1197470799999998</c:v>
                </c:pt>
                <c:pt idx="8">
                  <c:v>2.6465247400000029</c:v>
                </c:pt>
                <c:pt idx="9">
                  <c:v>1.9417676299999993</c:v>
                </c:pt>
                <c:pt idx="10" formatCode="0.00;&quot;▲ &quot;0.00">
                  <c:v>2.116968419999997</c:v>
                </c:pt>
                <c:pt idx="11" formatCode="0.00;&quot;▲ &quot;0.00">
                  <c:v>2.4967921599999987</c:v>
                </c:pt>
                <c:pt idx="12" formatCode="0.00;&quot;▲ &quot;0.00">
                  <c:v>3.3268648699999988</c:v>
                </c:pt>
                <c:pt idx="13" formatCode="0.00;&quot;▲ &quot;0.00">
                  <c:v>2.0596326899999977</c:v>
                </c:pt>
              </c:numCache>
            </c:numRef>
          </c:val>
          <c:smooth val="0"/>
        </c:ser>
        <c:ser>
          <c:idx val="5"/>
          <c:order val="5"/>
          <c:tx>
            <c:strRef>
              <c:f>'2014主要経済指標'!$B$9</c:f>
              <c:strCache>
                <c:ptCount val="1"/>
                <c:pt idx="0">
                  <c:v>商業</c:v>
                </c:pt>
              </c:strCache>
            </c:strRef>
          </c:tx>
          <c:cat>
            <c:numRef>
              <c:f>'2014主要経済指標'!$C$3:$P$3</c:f>
              <c:numCache>
                <c:formatCode>yyyy"年"m"月";@</c:formatCode>
                <c:ptCount val="14"/>
                <c:pt idx="0">
                  <c:v>41456</c:v>
                </c:pt>
                <c:pt idx="1">
                  <c:v>41487</c:v>
                </c:pt>
                <c:pt idx="2">
                  <c:v>41518</c:v>
                </c:pt>
                <c:pt idx="3">
                  <c:v>41548</c:v>
                </c:pt>
                <c:pt idx="4">
                  <c:v>41579</c:v>
                </c:pt>
                <c:pt idx="5">
                  <c:v>41609</c:v>
                </c:pt>
                <c:pt idx="6">
                  <c:v>41640</c:v>
                </c:pt>
                <c:pt idx="7">
                  <c:v>41671</c:v>
                </c:pt>
                <c:pt idx="8">
                  <c:v>41699</c:v>
                </c:pt>
                <c:pt idx="9">
                  <c:v>41730</c:v>
                </c:pt>
                <c:pt idx="10">
                  <c:v>41760</c:v>
                </c:pt>
                <c:pt idx="11">
                  <c:v>41791</c:v>
                </c:pt>
                <c:pt idx="12">
                  <c:v>41821</c:v>
                </c:pt>
                <c:pt idx="13">
                  <c:v>41852</c:v>
                </c:pt>
              </c:numCache>
            </c:numRef>
          </c:cat>
          <c:val>
            <c:numRef>
              <c:f>'2014主要経済指標'!$C$9:$P$9</c:f>
              <c:numCache>
                <c:formatCode>#,##0.00</c:formatCode>
                <c:ptCount val="14"/>
                <c:pt idx="0">
                  <c:v>3.5888963600000001</c:v>
                </c:pt>
                <c:pt idx="1">
                  <c:v>3.5192038799999987</c:v>
                </c:pt>
                <c:pt idx="2">
                  <c:v>3.4806916000000001</c:v>
                </c:pt>
                <c:pt idx="3">
                  <c:v>3.5257142300000002</c:v>
                </c:pt>
                <c:pt idx="4">
                  <c:v>3.5996793299999976</c:v>
                </c:pt>
                <c:pt idx="5">
                  <c:v>3.6906075500000002</c:v>
                </c:pt>
                <c:pt idx="6">
                  <c:v>3.3133958299999997</c:v>
                </c:pt>
                <c:pt idx="7">
                  <c:v>5.1657564399999938</c:v>
                </c:pt>
                <c:pt idx="8">
                  <c:v>5.115079339999995</c:v>
                </c:pt>
                <c:pt idx="9">
                  <c:v>3.4717484299999959</c:v>
                </c:pt>
                <c:pt idx="10" formatCode="0.00;&quot;▲ &quot;0.00">
                  <c:v>5.0157937300000004</c:v>
                </c:pt>
                <c:pt idx="11" formatCode="0.00;&quot;▲ &quot;0.00">
                  <c:v>5.8741559299999908</c:v>
                </c:pt>
                <c:pt idx="12" formatCode="0.00;&quot;▲ &quot;0.00">
                  <c:v>4.1568764199999952</c:v>
                </c:pt>
                <c:pt idx="13" formatCode="0.00;&quot;▲ &quot;0.00">
                  <c:v>3.4632911399999999</c:v>
                </c:pt>
              </c:numCache>
            </c:numRef>
          </c:val>
          <c:smooth val="0"/>
        </c:ser>
        <c:ser>
          <c:idx val="6"/>
          <c:order val="6"/>
          <c:tx>
            <c:strRef>
              <c:f>'2014主要経済指標'!$B$10</c:f>
              <c:strCache>
                <c:ptCount val="1"/>
                <c:pt idx="0">
                  <c:v>ホテル</c:v>
                </c:pt>
              </c:strCache>
            </c:strRef>
          </c:tx>
          <c:cat>
            <c:numRef>
              <c:f>'2014主要経済指標'!$C$3:$P$3</c:f>
              <c:numCache>
                <c:formatCode>yyyy"年"m"月";@</c:formatCode>
                <c:ptCount val="14"/>
                <c:pt idx="0">
                  <c:v>41456</c:v>
                </c:pt>
                <c:pt idx="1">
                  <c:v>41487</c:v>
                </c:pt>
                <c:pt idx="2">
                  <c:v>41518</c:v>
                </c:pt>
                <c:pt idx="3">
                  <c:v>41548</c:v>
                </c:pt>
                <c:pt idx="4">
                  <c:v>41579</c:v>
                </c:pt>
                <c:pt idx="5">
                  <c:v>41609</c:v>
                </c:pt>
                <c:pt idx="6">
                  <c:v>41640</c:v>
                </c:pt>
                <c:pt idx="7">
                  <c:v>41671</c:v>
                </c:pt>
                <c:pt idx="8">
                  <c:v>41699</c:v>
                </c:pt>
                <c:pt idx="9">
                  <c:v>41730</c:v>
                </c:pt>
                <c:pt idx="10">
                  <c:v>41760</c:v>
                </c:pt>
                <c:pt idx="11">
                  <c:v>41791</c:v>
                </c:pt>
                <c:pt idx="12">
                  <c:v>41821</c:v>
                </c:pt>
                <c:pt idx="13">
                  <c:v>41852</c:v>
                </c:pt>
              </c:numCache>
            </c:numRef>
          </c:cat>
          <c:val>
            <c:numRef>
              <c:f>'2014主要経済指標'!$C$10:$P$10</c:f>
              <c:numCache>
                <c:formatCode>#,##0.00</c:formatCode>
                <c:ptCount val="14"/>
                <c:pt idx="0">
                  <c:v>3.4469752299999987</c:v>
                </c:pt>
                <c:pt idx="1">
                  <c:v>3.6433172400000049</c:v>
                </c:pt>
                <c:pt idx="2">
                  <c:v>3.8692578999999987</c:v>
                </c:pt>
                <c:pt idx="3">
                  <c:v>4.1181212399999918</c:v>
                </c:pt>
                <c:pt idx="4">
                  <c:v>4.4009994900000047</c:v>
                </c:pt>
                <c:pt idx="5">
                  <c:v>4.6984990800000004</c:v>
                </c:pt>
                <c:pt idx="6">
                  <c:v>5.9665399800000003</c:v>
                </c:pt>
                <c:pt idx="7">
                  <c:v>6.2029050599999938</c:v>
                </c:pt>
                <c:pt idx="8">
                  <c:v>5.0135194199999953</c:v>
                </c:pt>
                <c:pt idx="9">
                  <c:v>7.3455824699999939</c:v>
                </c:pt>
                <c:pt idx="10" formatCode="0.00;&quot;▲ &quot;0.00">
                  <c:v>4.4980420099999998</c:v>
                </c:pt>
                <c:pt idx="11" formatCode="0.00;&quot;▲ &quot;0.00">
                  <c:v>2.2067693199999998</c:v>
                </c:pt>
                <c:pt idx="12" formatCode="0.00;&quot;▲ &quot;0.00">
                  <c:v>3.2821436099999999</c:v>
                </c:pt>
                <c:pt idx="13" formatCode="0.00;&quot;▲ &quot;0.00">
                  <c:v>4.6155847299999886</c:v>
                </c:pt>
              </c:numCache>
            </c:numRef>
          </c:val>
          <c:smooth val="0"/>
        </c:ser>
        <c:ser>
          <c:idx val="7"/>
          <c:order val="7"/>
          <c:tx>
            <c:strRef>
              <c:f>'2014主要経済指標'!$B$11</c:f>
              <c:strCache>
                <c:ptCount val="1"/>
                <c:pt idx="0">
                  <c:v>運輸・倉庫・通信</c:v>
                </c:pt>
              </c:strCache>
            </c:strRef>
          </c:tx>
          <c:dLbls>
            <c:dLbl>
              <c:idx val="12"/>
              <c:layout>
                <c:manualLayout>
                  <c:x val="-3.5261707988980734E-2"/>
                  <c:y val="3.3613445378151266E-2"/>
                </c:manualLayout>
              </c:layout>
              <c:showLegendKey val="0"/>
              <c:showVal val="1"/>
              <c:showCatName val="0"/>
              <c:showSerName val="0"/>
              <c:showPercent val="0"/>
              <c:showBubbleSize val="0"/>
            </c:dLbl>
            <c:dLbl>
              <c:idx val="13"/>
              <c:layout>
                <c:manualLayout>
                  <c:x val="-2.0689655172413793E-2"/>
                  <c:y val="1.9960079840319361E-2"/>
                </c:manualLayout>
              </c:layout>
              <c:showLegendKey val="0"/>
              <c:showVal val="1"/>
              <c:showCatName val="0"/>
              <c:showSerName val="0"/>
              <c:showPercent val="0"/>
              <c:showBubbleSize val="0"/>
            </c:dLbl>
            <c:showLegendKey val="0"/>
            <c:showVal val="0"/>
            <c:showCatName val="0"/>
            <c:showSerName val="0"/>
            <c:showPercent val="0"/>
            <c:showBubbleSize val="0"/>
          </c:dLbls>
          <c:cat>
            <c:numRef>
              <c:f>'2014主要経済指標'!$C$3:$P$3</c:f>
              <c:numCache>
                <c:formatCode>yyyy"年"m"月";@</c:formatCode>
                <c:ptCount val="14"/>
                <c:pt idx="0">
                  <c:v>41456</c:v>
                </c:pt>
                <c:pt idx="1">
                  <c:v>41487</c:v>
                </c:pt>
                <c:pt idx="2">
                  <c:v>41518</c:v>
                </c:pt>
                <c:pt idx="3">
                  <c:v>41548</c:v>
                </c:pt>
                <c:pt idx="4">
                  <c:v>41579</c:v>
                </c:pt>
                <c:pt idx="5">
                  <c:v>41609</c:v>
                </c:pt>
                <c:pt idx="6">
                  <c:v>41640</c:v>
                </c:pt>
                <c:pt idx="7">
                  <c:v>41671</c:v>
                </c:pt>
                <c:pt idx="8">
                  <c:v>41699</c:v>
                </c:pt>
                <c:pt idx="9">
                  <c:v>41730</c:v>
                </c:pt>
                <c:pt idx="10">
                  <c:v>41760</c:v>
                </c:pt>
                <c:pt idx="11">
                  <c:v>41791</c:v>
                </c:pt>
                <c:pt idx="12">
                  <c:v>41821</c:v>
                </c:pt>
                <c:pt idx="13">
                  <c:v>41852</c:v>
                </c:pt>
              </c:numCache>
            </c:numRef>
          </c:cat>
          <c:val>
            <c:numRef>
              <c:f>'2014主要経済指標'!$C$11:$P$11</c:f>
              <c:numCache>
                <c:formatCode>#,##0.00</c:formatCode>
                <c:ptCount val="14"/>
                <c:pt idx="0">
                  <c:v>3.7848162700000012</c:v>
                </c:pt>
                <c:pt idx="1">
                  <c:v>4.4546318399999949</c:v>
                </c:pt>
                <c:pt idx="2">
                  <c:v>5.1092742299999951</c:v>
                </c:pt>
                <c:pt idx="3">
                  <c:v>5.9014069500000002</c:v>
                </c:pt>
                <c:pt idx="4">
                  <c:v>6.9611155399999909</c:v>
                </c:pt>
                <c:pt idx="5">
                  <c:v>7.7888171100000001</c:v>
                </c:pt>
                <c:pt idx="6">
                  <c:v>4.9478761499999955</c:v>
                </c:pt>
                <c:pt idx="7">
                  <c:v>5.6109169299999886</c:v>
                </c:pt>
                <c:pt idx="8">
                  <c:v>7.0095434200000044</c:v>
                </c:pt>
                <c:pt idx="9">
                  <c:v>4.9137078199999955</c:v>
                </c:pt>
                <c:pt idx="10" formatCode="0.00;&quot;▲ &quot;0.00">
                  <c:v>5.8823529399999952</c:v>
                </c:pt>
                <c:pt idx="11" formatCode="0.00;&quot;▲ &quot;0.00">
                  <c:v>7.9891031300000046</c:v>
                </c:pt>
                <c:pt idx="12" formatCode="0.00;&quot;▲ &quot;0.00">
                  <c:v>7.6181821599999919</c:v>
                </c:pt>
                <c:pt idx="13" formatCode="0.00;&quot;▲ &quot;0.00">
                  <c:v>6.6731612299999954</c:v>
                </c:pt>
              </c:numCache>
            </c:numRef>
          </c:val>
          <c:smooth val="0"/>
        </c:ser>
        <c:ser>
          <c:idx val="8"/>
          <c:order val="8"/>
          <c:tx>
            <c:strRef>
              <c:f>'2014主要経済指標'!$B$12</c:f>
              <c:strCache>
                <c:ptCount val="1"/>
                <c:pt idx="0">
                  <c:v>金融・保険</c:v>
                </c:pt>
              </c:strCache>
            </c:strRef>
          </c:tx>
          <c:cat>
            <c:numRef>
              <c:f>'2014主要経済指標'!$C$3:$P$3</c:f>
              <c:numCache>
                <c:formatCode>yyyy"年"m"月";@</c:formatCode>
                <c:ptCount val="14"/>
                <c:pt idx="0">
                  <c:v>41456</c:v>
                </c:pt>
                <c:pt idx="1">
                  <c:v>41487</c:v>
                </c:pt>
                <c:pt idx="2">
                  <c:v>41518</c:v>
                </c:pt>
                <c:pt idx="3">
                  <c:v>41548</c:v>
                </c:pt>
                <c:pt idx="4">
                  <c:v>41579</c:v>
                </c:pt>
                <c:pt idx="5">
                  <c:v>41609</c:v>
                </c:pt>
                <c:pt idx="6">
                  <c:v>41640</c:v>
                </c:pt>
                <c:pt idx="7">
                  <c:v>41671</c:v>
                </c:pt>
                <c:pt idx="8">
                  <c:v>41699</c:v>
                </c:pt>
                <c:pt idx="9">
                  <c:v>41730</c:v>
                </c:pt>
                <c:pt idx="10">
                  <c:v>41760</c:v>
                </c:pt>
                <c:pt idx="11">
                  <c:v>41791</c:v>
                </c:pt>
                <c:pt idx="12">
                  <c:v>41821</c:v>
                </c:pt>
                <c:pt idx="13">
                  <c:v>41852</c:v>
                </c:pt>
              </c:numCache>
            </c:numRef>
          </c:cat>
          <c:val>
            <c:numRef>
              <c:f>'2014主要経済指標'!$C$12:$P$12</c:f>
              <c:numCache>
                <c:formatCode>#,##0.00</c:formatCode>
                <c:ptCount val="14"/>
                <c:pt idx="0">
                  <c:v>7.6225188999999896</c:v>
                </c:pt>
                <c:pt idx="1">
                  <c:v>7.7497687200000058</c:v>
                </c:pt>
                <c:pt idx="2">
                  <c:v>7.9424497699999996</c:v>
                </c:pt>
                <c:pt idx="3">
                  <c:v>8.1668230299999998</c:v>
                </c:pt>
                <c:pt idx="4">
                  <c:v>8.4224160700000112</c:v>
                </c:pt>
                <c:pt idx="5">
                  <c:v>8.6176326100000047</c:v>
                </c:pt>
                <c:pt idx="6">
                  <c:v>8.949803489999999</c:v>
                </c:pt>
                <c:pt idx="7">
                  <c:v>11.523972449999999</c:v>
                </c:pt>
                <c:pt idx="8">
                  <c:v>11.41675384</c:v>
                </c:pt>
                <c:pt idx="9">
                  <c:v>7.8288739899999955</c:v>
                </c:pt>
                <c:pt idx="10" formatCode="0.00;&quot;▲ &quot;0.00">
                  <c:v>8.8992286999999983</c:v>
                </c:pt>
                <c:pt idx="11" formatCode="0.00;&quot;▲ &quot;0.00">
                  <c:v>9.8138872800000048</c:v>
                </c:pt>
                <c:pt idx="12" formatCode="0.00;&quot;▲ &quot;0.00">
                  <c:v>7.8491863999999953</c:v>
                </c:pt>
                <c:pt idx="13" formatCode="0.00;&quot;▲ &quot;0.00">
                  <c:v>7.4242891699999953</c:v>
                </c:pt>
              </c:numCache>
            </c:numRef>
          </c:val>
          <c:smooth val="0"/>
        </c:ser>
        <c:ser>
          <c:idx val="9"/>
          <c:order val="9"/>
          <c:tx>
            <c:strRef>
              <c:f>'2014主要経済指標'!$B$13</c:f>
              <c:strCache>
                <c:ptCount val="1"/>
                <c:pt idx="0">
                  <c:v>企業向けサービス</c:v>
                </c:pt>
              </c:strCache>
            </c:strRef>
          </c:tx>
          <c:cat>
            <c:numRef>
              <c:f>'2014主要経済指標'!$C$3:$P$3</c:f>
              <c:numCache>
                <c:formatCode>yyyy"年"m"月";@</c:formatCode>
                <c:ptCount val="14"/>
                <c:pt idx="0">
                  <c:v>41456</c:v>
                </c:pt>
                <c:pt idx="1">
                  <c:v>41487</c:v>
                </c:pt>
                <c:pt idx="2">
                  <c:v>41518</c:v>
                </c:pt>
                <c:pt idx="3">
                  <c:v>41548</c:v>
                </c:pt>
                <c:pt idx="4">
                  <c:v>41579</c:v>
                </c:pt>
                <c:pt idx="5">
                  <c:v>41609</c:v>
                </c:pt>
                <c:pt idx="6">
                  <c:v>41640</c:v>
                </c:pt>
                <c:pt idx="7">
                  <c:v>41671</c:v>
                </c:pt>
                <c:pt idx="8">
                  <c:v>41699</c:v>
                </c:pt>
                <c:pt idx="9">
                  <c:v>41730</c:v>
                </c:pt>
                <c:pt idx="10">
                  <c:v>41760</c:v>
                </c:pt>
                <c:pt idx="11">
                  <c:v>41791</c:v>
                </c:pt>
                <c:pt idx="12">
                  <c:v>41821</c:v>
                </c:pt>
                <c:pt idx="13">
                  <c:v>41852</c:v>
                </c:pt>
              </c:numCache>
            </c:numRef>
          </c:cat>
          <c:val>
            <c:numRef>
              <c:f>'2014主要経済指標'!$C$13:$P$13</c:f>
              <c:numCache>
                <c:formatCode>#,##0.00</c:formatCode>
                <c:ptCount val="14"/>
                <c:pt idx="0">
                  <c:v>4.5599365299999919</c:v>
                </c:pt>
                <c:pt idx="1">
                  <c:v>4.7974709399999949</c:v>
                </c:pt>
                <c:pt idx="2">
                  <c:v>5.5325915800000001</c:v>
                </c:pt>
                <c:pt idx="3">
                  <c:v>5.4000781699999996</c:v>
                </c:pt>
                <c:pt idx="4">
                  <c:v>4.9332016699999999</c:v>
                </c:pt>
                <c:pt idx="5">
                  <c:v>5.5380332299999955</c:v>
                </c:pt>
                <c:pt idx="6">
                  <c:v>6.5603293899999997</c:v>
                </c:pt>
                <c:pt idx="7">
                  <c:v>6.6358907</c:v>
                </c:pt>
                <c:pt idx="8">
                  <c:v>6.1146348499999874</c:v>
                </c:pt>
                <c:pt idx="9">
                  <c:v>5.4200283999999996</c:v>
                </c:pt>
                <c:pt idx="10" formatCode="0.00;&quot;▲ &quot;0.00">
                  <c:v>3.4062200899999997</c:v>
                </c:pt>
                <c:pt idx="11" formatCode="0.00;&quot;▲ &quot;0.00">
                  <c:v>4.8073721799999953</c:v>
                </c:pt>
                <c:pt idx="12" formatCode="0.00;&quot;▲ &quot;0.00">
                  <c:v>2.8652836899999987</c:v>
                </c:pt>
                <c:pt idx="13" formatCode="0.00;&quot;▲ &quot;0.00">
                  <c:v>3.0045364999999999</c:v>
                </c:pt>
              </c:numCache>
            </c:numRef>
          </c:val>
          <c:smooth val="0"/>
        </c:ser>
        <c:ser>
          <c:idx val="10"/>
          <c:order val="10"/>
          <c:tx>
            <c:strRef>
              <c:f>'2014主要経済指標'!$B$14</c:f>
              <c:strCache>
                <c:ptCount val="1"/>
                <c:pt idx="0">
                  <c:v>金融仲介サービス</c:v>
                </c:pt>
              </c:strCache>
            </c:strRef>
          </c:tx>
          <c:dLbls>
            <c:dLbl>
              <c:idx val="12"/>
              <c:layout>
                <c:manualLayout>
                  <c:x val="-5.0688705234159775E-2"/>
                  <c:y val="-5.6022408963585443E-2"/>
                </c:manualLayout>
              </c:layout>
              <c:spPr/>
              <c:txPr>
                <a:bodyPr/>
                <a:lstStyle/>
                <a:p>
                  <a:pPr>
                    <a:defRPr sz="900"/>
                  </a:pPr>
                  <a:endParaRPr lang="ja-JP"/>
                </a:p>
              </c:txPr>
              <c:showLegendKey val="0"/>
              <c:showVal val="1"/>
              <c:showCatName val="0"/>
              <c:showSerName val="0"/>
              <c:showPercent val="0"/>
              <c:showBubbleSize val="0"/>
            </c:dLbl>
            <c:dLbl>
              <c:idx val="13"/>
              <c:layout>
                <c:manualLayout>
                  <c:x val="-4.4077134986225924E-2"/>
                  <c:y val="-3.7348272642390302E-2"/>
                </c:manualLayout>
              </c:layout>
              <c:spPr/>
              <c:txPr>
                <a:bodyPr/>
                <a:lstStyle/>
                <a:p>
                  <a:pPr>
                    <a:defRPr sz="900"/>
                  </a:pPr>
                  <a:endParaRPr lang="ja-JP"/>
                </a:p>
              </c:txPr>
              <c:showLegendKey val="0"/>
              <c:showVal val="1"/>
              <c:showCatName val="0"/>
              <c:showSerName val="0"/>
              <c:showPercent val="0"/>
              <c:showBubbleSize val="0"/>
            </c:dLbl>
            <c:showLegendKey val="0"/>
            <c:showVal val="0"/>
            <c:showCatName val="0"/>
            <c:showSerName val="0"/>
            <c:showPercent val="0"/>
            <c:showBubbleSize val="0"/>
          </c:dLbls>
          <c:cat>
            <c:numRef>
              <c:f>'2014主要経済指標'!$C$3:$P$3</c:f>
              <c:numCache>
                <c:formatCode>yyyy"年"m"月";@</c:formatCode>
                <c:ptCount val="14"/>
                <c:pt idx="0">
                  <c:v>41456</c:v>
                </c:pt>
                <c:pt idx="1">
                  <c:v>41487</c:v>
                </c:pt>
                <c:pt idx="2">
                  <c:v>41518</c:v>
                </c:pt>
                <c:pt idx="3">
                  <c:v>41548</c:v>
                </c:pt>
                <c:pt idx="4">
                  <c:v>41579</c:v>
                </c:pt>
                <c:pt idx="5">
                  <c:v>41609</c:v>
                </c:pt>
                <c:pt idx="6">
                  <c:v>41640</c:v>
                </c:pt>
                <c:pt idx="7">
                  <c:v>41671</c:v>
                </c:pt>
                <c:pt idx="8">
                  <c:v>41699</c:v>
                </c:pt>
                <c:pt idx="9">
                  <c:v>41730</c:v>
                </c:pt>
                <c:pt idx="10">
                  <c:v>41760</c:v>
                </c:pt>
                <c:pt idx="11">
                  <c:v>41791</c:v>
                </c:pt>
                <c:pt idx="12">
                  <c:v>41821</c:v>
                </c:pt>
                <c:pt idx="13">
                  <c:v>41852</c:v>
                </c:pt>
              </c:numCache>
            </c:numRef>
          </c:cat>
          <c:val>
            <c:numRef>
              <c:f>'2014主要経済指標'!$C$14:$P$14</c:f>
              <c:numCache>
                <c:formatCode>#,##0.00</c:formatCode>
                <c:ptCount val="14"/>
                <c:pt idx="0">
                  <c:v>10.2920356</c:v>
                </c:pt>
                <c:pt idx="1">
                  <c:v>10.024551139999998</c:v>
                </c:pt>
                <c:pt idx="2">
                  <c:v>10.013675109999999</c:v>
                </c:pt>
                <c:pt idx="3">
                  <c:v>10.69994009</c:v>
                </c:pt>
                <c:pt idx="4">
                  <c:v>11.65262038</c:v>
                </c:pt>
                <c:pt idx="5">
                  <c:v>11.484914360000001</c:v>
                </c:pt>
                <c:pt idx="6">
                  <c:v>11.622825750000001</c:v>
                </c:pt>
                <c:pt idx="7">
                  <c:v>14.01333286</c:v>
                </c:pt>
                <c:pt idx="8">
                  <c:v>13.34851692</c:v>
                </c:pt>
                <c:pt idx="9">
                  <c:v>12.88021167</c:v>
                </c:pt>
                <c:pt idx="10" formatCode="0.00;&quot;▲ &quot;0.00">
                  <c:v>11.400727380000001</c:v>
                </c:pt>
                <c:pt idx="11" formatCode="0.00;&quot;▲ &quot;0.00">
                  <c:v>11.766046320000004</c:v>
                </c:pt>
                <c:pt idx="12" formatCode="0.00;&quot;▲ &quot;0.00">
                  <c:v>11.522554040000006</c:v>
                </c:pt>
                <c:pt idx="13" formatCode="0.00;&quot;▲ &quot;0.00">
                  <c:v>10.725255979999998</c:v>
                </c:pt>
              </c:numCache>
            </c:numRef>
          </c:val>
          <c:smooth val="0"/>
        </c:ser>
        <c:ser>
          <c:idx val="11"/>
          <c:order val="11"/>
          <c:tx>
            <c:strRef>
              <c:f>'2014主要経済指標'!$B$15</c:f>
              <c:strCache>
                <c:ptCount val="1"/>
                <c:pt idx="0">
                  <c:v>その他</c:v>
                </c:pt>
              </c:strCache>
            </c:strRef>
          </c:tx>
          <c:cat>
            <c:numRef>
              <c:f>'2014主要経済指標'!$C$3:$P$3</c:f>
              <c:numCache>
                <c:formatCode>yyyy"年"m"月";@</c:formatCode>
                <c:ptCount val="14"/>
                <c:pt idx="0">
                  <c:v>41456</c:v>
                </c:pt>
                <c:pt idx="1">
                  <c:v>41487</c:v>
                </c:pt>
                <c:pt idx="2">
                  <c:v>41518</c:v>
                </c:pt>
                <c:pt idx="3">
                  <c:v>41548</c:v>
                </c:pt>
                <c:pt idx="4">
                  <c:v>41579</c:v>
                </c:pt>
                <c:pt idx="5">
                  <c:v>41609</c:v>
                </c:pt>
                <c:pt idx="6">
                  <c:v>41640</c:v>
                </c:pt>
                <c:pt idx="7">
                  <c:v>41671</c:v>
                </c:pt>
                <c:pt idx="8">
                  <c:v>41699</c:v>
                </c:pt>
                <c:pt idx="9">
                  <c:v>41730</c:v>
                </c:pt>
                <c:pt idx="10">
                  <c:v>41760</c:v>
                </c:pt>
                <c:pt idx="11">
                  <c:v>41791</c:v>
                </c:pt>
                <c:pt idx="12">
                  <c:v>41821</c:v>
                </c:pt>
                <c:pt idx="13">
                  <c:v>41852</c:v>
                </c:pt>
              </c:numCache>
            </c:numRef>
          </c:cat>
          <c:val>
            <c:numRef>
              <c:f>'2014主要経済指標'!$C$15:$P$15</c:f>
              <c:numCache>
                <c:formatCode>#,##0.00</c:formatCode>
                <c:ptCount val="14"/>
                <c:pt idx="0">
                  <c:v>3.3415166299999997</c:v>
                </c:pt>
                <c:pt idx="1">
                  <c:v>3.3341947800000002</c:v>
                </c:pt>
                <c:pt idx="2">
                  <c:v>3.3225541399999976</c:v>
                </c:pt>
                <c:pt idx="3">
                  <c:v>3.2949371000000012</c:v>
                </c:pt>
                <c:pt idx="4">
                  <c:v>3.2608083299999997</c:v>
                </c:pt>
                <c:pt idx="5">
                  <c:v>3.2272209800000002</c:v>
                </c:pt>
                <c:pt idx="6">
                  <c:v>3.1679906300000011</c:v>
                </c:pt>
                <c:pt idx="7">
                  <c:v>3.1528914299999977</c:v>
                </c:pt>
                <c:pt idx="8">
                  <c:v>3.1485560600000002</c:v>
                </c:pt>
                <c:pt idx="9">
                  <c:v>3.1095465600000001</c:v>
                </c:pt>
                <c:pt idx="10" formatCode="0.00;&quot;▲ &quot;0.00">
                  <c:v>3.0834465299999998</c:v>
                </c:pt>
                <c:pt idx="11" formatCode="0.00;&quot;▲ &quot;0.00">
                  <c:v>3.0730018299999999</c:v>
                </c:pt>
                <c:pt idx="12" formatCode="0.00;&quot;▲ &quot;0.00">
                  <c:v>3.0519871699999999</c:v>
                </c:pt>
                <c:pt idx="13" formatCode="0.00;&quot;▲ &quot;0.00">
                  <c:v>3.0540708899999998</c:v>
                </c:pt>
              </c:numCache>
            </c:numRef>
          </c:val>
          <c:smooth val="0"/>
        </c:ser>
        <c:dLbls>
          <c:showLegendKey val="0"/>
          <c:showVal val="0"/>
          <c:showCatName val="0"/>
          <c:showSerName val="0"/>
          <c:showPercent val="0"/>
          <c:showBubbleSize val="0"/>
        </c:dLbls>
        <c:marker val="1"/>
        <c:smooth val="0"/>
        <c:axId val="85018112"/>
        <c:axId val="85019648"/>
      </c:lineChart>
      <c:dateAx>
        <c:axId val="85018112"/>
        <c:scaling>
          <c:orientation val="minMax"/>
        </c:scaling>
        <c:delete val="0"/>
        <c:axPos val="b"/>
        <c:numFmt formatCode="yyyy&quot;年&quot;m&quot;月&quot;;@" sourceLinked="1"/>
        <c:majorTickMark val="none"/>
        <c:minorTickMark val="none"/>
        <c:tickLblPos val="low"/>
        <c:txPr>
          <a:bodyPr/>
          <a:lstStyle/>
          <a:p>
            <a:pPr>
              <a:defRPr sz="800"/>
            </a:pPr>
            <a:endParaRPr lang="ja-JP"/>
          </a:p>
        </c:txPr>
        <c:crossAx val="85019648"/>
        <c:crosses val="autoZero"/>
        <c:auto val="1"/>
        <c:lblOffset val="100"/>
        <c:baseTimeUnit val="months"/>
      </c:dateAx>
      <c:valAx>
        <c:axId val="85019648"/>
        <c:scaling>
          <c:orientation val="minMax"/>
        </c:scaling>
        <c:delete val="0"/>
        <c:axPos val="l"/>
        <c:majorGridlines/>
        <c:title>
          <c:tx>
            <c:rich>
              <a:bodyPr rot="0" vert="horz"/>
              <a:lstStyle/>
              <a:p>
                <a:pPr>
                  <a:defRPr b="0"/>
                </a:pPr>
                <a:r>
                  <a:rPr lang="en-US" altLang="ja-JP" b="0"/>
                  <a:t>(</a:t>
                </a:r>
                <a:r>
                  <a:rPr lang="ja-JP" altLang="en-US" b="0"/>
                  <a:t>％</a:t>
                </a:r>
                <a:r>
                  <a:rPr lang="en-US" altLang="ja-JP" b="0"/>
                  <a:t>)</a:t>
                </a:r>
                <a:endParaRPr lang="ja-JP" altLang="en-US" b="0"/>
              </a:p>
            </c:rich>
          </c:tx>
          <c:layout>
            <c:manualLayout>
              <c:xMode val="edge"/>
              <c:yMode val="edge"/>
              <c:x val="2.2148712892369981E-2"/>
              <c:y val="1.959701066665049E-2"/>
            </c:manualLayout>
          </c:layout>
          <c:overlay val="0"/>
        </c:title>
        <c:numFmt formatCode="#,##0" sourceLinked="0"/>
        <c:majorTickMark val="none"/>
        <c:minorTickMark val="none"/>
        <c:tickLblPos val="nextTo"/>
        <c:crossAx val="85018112"/>
        <c:crosses val="autoZero"/>
        <c:crossBetween val="between"/>
      </c:valAx>
    </c:plotArea>
    <c:legend>
      <c:legendPos val="r"/>
      <c:layout>
        <c:manualLayout>
          <c:xMode val="edge"/>
          <c:yMode val="edge"/>
          <c:x val="0.81889538187891808"/>
          <c:y val="0.10965982193402296"/>
          <c:w val="0.17753738949011733"/>
          <c:h val="0.74306254715703479"/>
        </c:manualLayout>
      </c:layout>
      <c:overlay val="0"/>
      <c:txPr>
        <a:bodyPr/>
        <a:lstStyle/>
        <a:p>
          <a:pPr>
            <a:defRPr sz="800"/>
          </a:pPr>
          <a:endParaRPr lang="ja-JP"/>
        </a:p>
      </c:txPr>
    </c:legend>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1"/>
            </a:pPr>
            <a:r>
              <a:rPr lang="ja-JP" altLang="en-US" sz="1000" b="1"/>
              <a:t>表</a:t>
            </a:r>
            <a:r>
              <a:rPr lang="en-US" altLang="ja-JP" sz="1000" b="1"/>
              <a:t>10</a:t>
            </a:r>
            <a:r>
              <a:rPr lang="ja-JP" altLang="en-US" sz="1000" b="1"/>
              <a:t>　為替</a:t>
            </a:r>
            <a:r>
              <a:rPr lang="en-US" altLang="ja-JP" sz="1000" b="1"/>
              <a:t>(</a:t>
            </a:r>
            <a:r>
              <a:rPr lang="ja-JP" altLang="en-US" sz="1000" b="1"/>
              <a:t>月末・銀行間買値・</a:t>
            </a:r>
            <a:r>
              <a:rPr lang="en-US" altLang="ja-JP" sz="1000" b="1"/>
              <a:t>1</a:t>
            </a:r>
            <a:r>
              <a:rPr lang="ja-JP" altLang="en-US" sz="1000" b="1"/>
              <a:t>ドル＝コロン</a:t>
            </a:r>
            <a:r>
              <a:rPr lang="en-US" altLang="ja-JP" sz="1000" b="1"/>
              <a:t>)</a:t>
            </a:r>
            <a:endParaRPr lang="ja-JP" altLang="en-US" sz="1000" b="1"/>
          </a:p>
        </c:rich>
      </c:tx>
      <c:layout/>
      <c:overlay val="0"/>
    </c:title>
    <c:autoTitleDeleted val="0"/>
    <c:plotArea>
      <c:layout>
        <c:manualLayout>
          <c:layoutTarget val="inner"/>
          <c:xMode val="edge"/>
          <c:yMode val="edge"/>
          <c:x val="0.16175240594925633"/>
          <c:y val="0.16531277340332459"/>
          <c:w val="0.80769203849519255"/>
          <c:h val="0.58808253135024435"/>
        </c:manualLayout>
      </c:layout>
      <c:lineChart>
        <c:grouping val="standard"/>
        <c:varyColors val="0"/>
        <c:ser>
          <c:idx val="0"/>
          <c:order val="0"/>
          <c:dLbls>
            <c:dLbl>
              <c:idx val="0"/>
              <c:layout>
                <c:manualLayout>
                  <c:x val="-4.1407867494823988E-2"/>
                  <c:y val="6.2893081761006567E-2"/>
                </c:manualLayout>
              </c:layout>
              <c:showLegendKey val="0"/>
              <c:showVal val="1"/>
              <c:showCatName val="0"/>
              <c:showSerName val="0"/>
              <c:showPercent val="0"/>
              <c:showBubbleSize val="0"/>
            </c:dLbl>
            <c:dLbl>
              <c:idx val="10"/>
              <c:layout/>
              <c:showLegendKey val="0"/>
              <c:showVal val="1"/>
              <c:showCatName val="0"/>
              <c:showSerName val="0"/>
              <c:showPercent val="0"/>
              <c:showBubbleSize val="0"/>
            </c:dLbl>
            <c:dLbl>
              <c:idx val="12"/>
              <c:layout>
                <c:manualLayout>
                  <c:x val="-5.4065652107387917E-2"/>
                  <c:y val="8.7785212619173589E-2"/>
                </c:manualLayout>
              </c:layout>
              <c:showLegendKey val="0"/>
              <c:showVal val="1"/>
              <c:showCatName val="0"/>
              <c:showSerName val="0"/>
              <c:showPercent val="0"/>
              <c:showBubbleSize val="0"/>
            </c:dLbl>
            <c:dLbl>
              <c:idx val="13"/>
              <c:layout>
                <c:manualLayout>
                  <c:x val="0"/>
                  <c:y val="-3.9509092983930336E-2"/>
                </c:manualLayout>
              </c:layout>
              <c:showLegendKey val="0"/>
              <c:showVal val="1"/>
              <c:showCatName val="0"/>
              <c:showSerName val="0"/>
              <c:showPercent val="0"/>
              <c:showBubbleSize val="0"/>
            </c:dLbl>
            <c:numFmt formatCode="#,##0.0_);\(#,##0.0\)" sourceLinked="0"/>
            <c:txPr>
              <a:bodyPr/>
              <a:lstStyle/>
              <a:p>
                <a:pPr>
                  <a:defRPr sz="900" b="1"/>
                </a:pPr>
                <a:endParaRPr lang="ja-JP"/>
              </a:p>
            </c:txPr>
            <c:showLegendKey val="0"/>
            <c:showVal val="0"/>
            <c:showCatName val="0"/>
            <c:showSerName val="0"/>
            <c:showPercent val="0"/>
            <c:showBubbleSize val="0"/>
          </c:dLbls>
          <c:cat>
            <c:numRef>
              <c:f>Hoja1!$L$25:$L$38</c:f>
              <c:numCache>
                <c:formatCode>yyyy"年"m"月"</c:formatCode>
                <c:ptCount val="14"/>
                <c:pt idx="0">
                  <c:v>41456</c:v>
                </c:pt>
                <c:pt idx="1">
                  <c:v>41487</c:v>
                </c:pt>
                <c:pt idx="2">
                  <c:v>41518</c:v>
                </c:pt>
                <c:pt idx="3">
                  <c:v>41548</c:v>
                </c:pt>
                <c:pt idx="4">
                  <c:v>41579</c:v>
                </c:pt>
                <c:pt idx="5">
                  <c:v>41609</c:v>
                </c:pt>
                <c:pt idx="6">
                  <c:v>41640</c:v>
                </c:pt>
                <c:pt idx="7">
                  <c:v>41671</c:v>
                </c:pt>
                <c:pt idx="8">
                  <c:v>41699</c:v>
                </c:pt>
                <c:pt idx="9">
                  <c:v>41730</c:v>
                </c:pt>
                <c:pt idx="10">
                  <c:v>41760</c:v>
                </c:pt>
                <c:pt idx="11">
                  <c:v>41791</c:v>
                </c:pt>
                <c:pt idx="12">
                  <c:v>41821</c:v>
                </c:pt>
                <c:pt idx="13">
                  <c:v>41852</c:v>
                </c:pt>
              </c:numCache>
            </c:numRef>
          </c:cat>
          <c:val>
            <c:numRef>
              <c:f>Hoja1!$M$25:$M$38</c:f>
              <c:numCache>
                <c:formatCode>#,##0.00</c:formatCode>
                <c:ptCount val="14"/>
                <c:pt idx="0">
                  <c:v>500.01</c:v>
                </c:pt>
                <c:pt idx="1">
                  <c:v>506.47999999999922</c:v>
                </c:pt>
                <c:pt idx="2">
                  <c:v>501.36</c:v>
                </c:pt>
                <c:pt idx="3">
                  <c:v>501.40999999999963</c:v>
                </c:pt>
                <c:pt idx="4">
                  <c:v>500.01</c:v>
                </c:pt>
                <c:pt idx="5">
                  <c:v>501.4299999999991</c:v>
                </c:pt>
                <c:pt idx="6">
                  <c:v>515.99</c:v>
                </c:pt>
                <c:pt idx="7">
                  <c:v>550.34999999999832</c:v>
                </c:pt>
                <c:pt idx="8">
                  <c:v>549.70000000000005</c:v>
                </c:pt>
                <c:pt idx="9">
                  <c:v>554.91</c:v>
                </c:pt>
                <c:pt idx="10">
                  <c:v>556.02</c:v>
                </c:pt>
                <c:pt idx="11">
                  <c:v>543.49</c:v>
                </c:pt>
                <c:pt idx="12">
                  <c:v>540.4</c:v>
                </c:pt>
                <c:pt idx="13">
                  <c:v>542.09</c:v>
                </c:pt>
              </c:numCache>
            </c:numRef>
          </c:val>
          <c:smooth val="0"/>
        </c:ser>
        <c:dLbls>
          <c:showLegendKey val="0"/>
          <c:showVal val="0"/>
          <c:showCatName val="0"/>
          <c:showSerName val="0"/>
          <c:showPercent val="0"/>
          <c:showBubbleSize val="0"/>
        </c:dLbls>
        <c:marker val="1"/>
        <c:smooth val="0"/>
        <c:axId val="107215104"/>
        <c:axId val="107085824"/>
      </c:lineChart>
      <c:dateAx>
        <c:axId val="107215104"/>
        <c:scaling>
          <c:orientation val="minMax"/>
        </c:scaling>
        <c:delete val="0"/>
        <c:axPos val="b"/>
        <c:numFmt formatCode="yyyy&quot;年&quot;m&quot;月&quot;" sourceLinked="1"/>
        <c:majorTickMark val="none"/>
        <c:minorTickMark val="none"/>
        <c:tickLblPos val="nextTo"/>
        <c:txPr>
          <a:bodyPr/>
          <a:lstStyle/>
          <a:p>
            <a:pPr>
              <a:defRPr sz="800"/>
            </a:pPr>
            <a:endParaRPr lang="ja-JP"/>
          </a:p>
        </c:txPr>
        <c:crossAx val="107085824"/>
        <c:crosses val="autoZero"/>
        <c:auto val="1"/>
        <c:lblOffset val="100"/>
        <c:baseTimeUnit val="months"/>
      </c:dateAx>
      <c:valAx>
        <c:axId val="107085824"/>
        <c:scaling>
          <c:orientation val="minMax"/>
        </c:scaling>
        <c:delete val="0"/>
        <c:axPos val="l"/>
        <c:majorGridlines/>
        <c:title>
          <c:tx>
            <c:rich>
              <a:bodyPr rot="0" vert="horz"/>
              <a:lstStyle/>
              <a:p>
                <a:pPr>
                  <a:defRPr sz="900" b="0"/>
                </a:pPr>
                <a:r>
                  <a:rPr lang="en-US" altLang="ja-JP" sz="900" b="0"/>
                  <a:t>(</a:t>
                </a:r>
                <a:r>
                  <a:rPr lang="ja-JP" altLang="en-US" sz="900" b="0"/>
                  <a:t>コロン</a:t>
                </a:r>
                <a:r>
                  <a:rPr lang="en-US" altLang="ja-JP" sz="900" b="0"/>
                  <a:t>)</a:t>
                </a:r>
                <a:endParaRPr lang="ja-JP" altLang="en-US" sz="900" b="0"/>
              </a:p>
            </c:rich>
          </c:tx>
          <c:layout>
            <c:manualLayout>
              <c:xMode val="edge"/>
              <c:yMode val="edge"/>
              <c:x val="5.0362400352130264E-2"/>
              <c:y val="6.4525330560095087E-2"/>
            </c:manualLayout>
          </c:layout>
          <c:overlay val="0"/>
        </c:title>
        <c:numFmt formatCode="#,##0_);\(#,##0\)" sourceLinked="0"/>
        <c:majorTickMark val="none"/>
        <c:minorTickMark val="none"/>
        <c:tickLblPos val="nextTo"/>
        <c:crossAx val="107215104"/>
        <c:crosses val="autoZero"/>
        <c:crossBetween val="between"/>
      </c:valAx>
    </c:plotArea>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pPr>
            <a:r>
              <a:rPr lang="ja-JP" altLang="en-US" sz="1000"/>
              <a:t>表</a:t>
            </a:r>
            <a:r>
              <a:rPr lang="en-US" altLang="ja-JP" sz="1000"/>
              <a:t>11</a:t>
            </a:r>
            <a:r>
              <a:rPr lang="ja-JP" altLang="en-US" sz="1000"/>
              <a:t>　貸付金利の推移</a:t>
            </a:r>
            <a:r>
              <a:rPr lang="en-US" altLang="ja-JP" sz="1000"/>
              <a:t>(</a:t>
            </a:r>
            <a:r>
              <a:rPr lang="ja-JP" altLang="en-US" sz="1000"/>
              <a:t>製造者向け</a:t>
            </a:r>
            <a:r>
              <a:rPr lang="en-US" altLang="ja-JP" sz="1000"/>
              <a:t>)</a:t>
            </a:r>
            <a:endParaRPr lang="ja-JP" altLang="en-US" sz="1000"/>
          </a:p>
        </c:rich>
      </c:tx>
      <c:layout>
        <c:manualLayout>
          <c:xMode val="edge"/>
          <c:yMode val="edge"/>
          <c:x val="0.32794366434238192"/>
          <c:y val="1.4414414414414415E-2"/>
        </c:manualLayout>
      </c:layout>
      <c:overlay val="0"/>
    </c:title>
    <c:autoTitleDeleted val="0"/>
    <c:plotArea>
      <c:layout>
        <c:manualLayout>
          <c:layoutTarget val="inner"/>
          <c:xMode val="edge"/>
          <c:yMode val="edge"/>
          <c:x val="0.11889544092377206"/>
          <c:y val="0.23152846634911378"/>
          <c:w val="0.78016530994655719"/>
          <c:h val="0.55648799455623366"/>
        </c:manualLayout>
      </c:layout>
      <c:lineChart>
        <c:grouping val="standard"/>
        <c:varyColors val="0"/>
        <c:ser>
          <c:idx val="0"/>
          <c:order val="0"/>
          <c:tx>
            <c:strRef>
              <c:f>Hoja1!$B$38</c:f>
              <c:strCache>
                <c:ptCount val="1"/>
                <c:pt idx="0">
                  <c:v>コロン建て　国立銀行</c:v>
                </c:pt>
              </c:strCache>
            </c:strRef>
          </c:tx>
          <c:dLbls>
            <c:dLbl>
              <c:idx val="12"/>
              <c:layout>
                <c:manualLayout>
                  <c:x val="-4.0404040404040414E-2"/>
                  <c:y val="-2.6086956521739157E-2"/>
                </c:manualLayout>
              </c:layout>
              <c:showLegendKey val="0"/>
              <c:showVal val="1"/>
              <c:showCatName val="0"/>
              <c:showSerName val="0"/>
              <c:showPercent val="0"/>
              <c:showBubbleSize val="0"/>
            </c:dLbl>
            <c:dLbl>
              <c:idx val="13"/>
              <c:layout>
                <c:manualLayout>
                  <c:x val="-1.4885699096225422E-2"/>
                  <c:y val="-3.7681159420289899E-2"/>
                </c:manualLayout>
              </c:layout>
              <c:showLegendKey val="0"/>
              <c:showVal val="1"/>
              <c:showCatName val="0"/>
              <c:showSerName val="0"/>
              <c:showPercent val="0"/>
              <c:showBubbleSize val="0"/>
            </c:dLbl>
            <c:txPr>
              <a:bodyPr/>
              <a:lstStyle/>
              <a:p>
                <a:pPr>
                  <a:defRPr sz="800"/>
                </a:pPr>
                <a:endParaRPr lang="ja-JP"/>
              </a:p>
            </c:txPr>
            <c:showLegendKey val="0"/>
            <c:showVal val="0"/>
            <c:showCatName val="0"/>
            <c:showSerName val="0"/>
            <c:showPercent val="0"/>
            <c:showBubbleSize val="0"/>
          </c:dLbls>
          <c:cat>
            <c:numRef>
              <c:f>Hoja1!$A$40:$A$54</c:f>
              <c:numCache>
                <c:formatCode>yyyy"年"mm"月"</c:formatCode>
                <c:ptCount val="15"/>
                <c:pt idx="1">
                  <c:v>41456</c:v>
                </c:pt>
                <c:pt idx="2">
                  <c:v>41487</c:v>
                </c:pt>
                <c:pt idx="3">
                  <c:v>41518</c:v>
                </c:pt>
                <c:pt idx="4">
                  <c:v>41548</c:v>
                </c:pt>
                <c:pt idx="5">
                  <c:v>41579</c:v>
                </c:pt>
                <c:pt idx="6">
                  <c:v>41609</c:v>
                </c:pt>
                <c:pt idx="7">
                  <c:v>41640</c:v>
                </c:pt>
                <c:pt idx="8">
                  <c:v>41671</c:v>
                </c:pt>
                <c:pt idx="9">
                  <c:v>41699</c:v>
                </c:pt>
                <c:pt idx="10">
                  <c:v>41730</c:v>
                </c:pt>
                <c:pt idx="11">
                  <c:v>41760</c:v>
                </c:pt>
                <c:pt idx="12">
                  <c:v>41791</c:v>
                </c:pt>
                <c:pt idx="13">
                  <c:v>41821</c:v>
                </c:pt>
                <c:pt idx="14">
                  <c:v>41852</c:v>
                </c:pt>
              </c:numCache>
            </c:numRef>
          </c:cat>
          <c:val>
            <c:numRef>
              <c:f>Hoja1!$B$40:$B$54</c:f>
              <c:numCache>
                <c:formatCode>General</c:formatCode>
                <c:ptCount val="15"/>
                <c:pt idx="0">
                  <c:v>0</c:v>
                </c:pt>
                <c:pt idx="1">
                  <c:v>14.9</c:v>
                </c:pt>
                <c:pt idx="2">
                  <c:v>13.450000000000006</c:v>
                </c:pt>
                <c:pt idx="3">
                  <c:v>13.239999999999998</c:v>
                </c:pt>
                <c:pt idx="4">
                  <c:v>13.68</c:v>
                </c:pt>
                <c:pt idx="5">
                  <c:v>13.82</c:v>
                </c:pt>
                <c:pt idx="6">
                  <c:v>14.39</c:v>
                </c:pt>
                <c:pt idx="7" formatCode="#,##0.00">
                  <c:v>14.846205169999999</c:v>
                </c:pt>
                <c:pt idx="8" formatCode="#,##0.00">
                  <c:v>14.81090873</c:v>
                </c:pt>
                <c:pt idx="9" formatCode="#,##0.00">
                  <c:v>15.036976179999998</c:v>
                </c:pt>
                <c:pt idx="10" formatCode="#,##0.00">
                  <c:v>15.57</c:v>
                </c:pt>
                <c:pt idx="11" formatCode="#,##0.00">
                  <c:v>15.68</c:v>
                </c:pt>
                <c:pt idx="12" formatCode="#,##0.00">
                  <c:v>15.76</c:v>
                </c:pt>
                <c:pt idx="13" formatCode="#,##0.00">
                  <c:v>16.130000000000017</c:v>
                </c:pt>
                <c:pt idx="14" formatCode="#,##0.00">
                  <c:v>15.83</c:v>
                </c:pt>
              </c:numCache>
            </c:numRef>
          </c:val>
          <c:smooth val="0"/>
        </c:ser>
        <c:ser>
          <c:idx val="1"/>
          <c:order val="1"/>
          <c:tx>
            <c:strRef>
              <c:f>Hoja1!$C$38</c:f>
              <c:strCache>
                <c:ptCount val="1"/>
                <c:pt idx="0">
                  <c:v>ドル建て　国立銀行</c:v>
                </c:pt>
              </c:strCache>
            </c:strRef>
          </c:tx>
          <c:dLbls>
            <c:dLbl>
              <c:idx val="12"/>
              <c:layout>
                <c:manualLayout>
                  <c:x val="-3.8277511961722493E-2"/>
                  <c:y val="-2.8985507246376812E-2"/>
                </c:manualLayout>
              </c:layout>
              <c:showLegendKey val="0"/>
              <c:showVal val="1"/>
              <c:showCatName val="0"/>
              <c:showSerName val="0"/>
              <c:showPercent val="0"/>
              <c:showBubbleSize val="0"/>
            </c:dLbl>
            <c:dLbl>
              <c:idx val="13"/>
              <c:layout>
                <c:manualLayout>
                  <c:x val="-3.1897926634768752E-2"/>
                  <c:y val="-2.0289855072463791E-2"/>
                </c:manualLayout>
              </c:layout>
              <c:showLegendKey val="0"/>
              <c:showVal val="1"/>
              <c:showCatName val="0"/>
              <c:showSerName val="0"/>
              <c:showPercent val="0"/>
              <c:showBubbleSize val="0"/>
            </c:dLbl>
            <c:txPr>
              <a:bodyPr/>
              <a:lstStyle/>
              <a:p>
                <a:pPr>
                  <a:defRPr sz="800" b="1" i="1"/>
                </a:pPr>
                <a:endParaRPr lang="ja-JP"/>
              </a:p>
            </c:txPr>
            <c:showLegendKey val="0"/>
            <c:showVal val="0"/>
            <c:showCatName val="0"/>
            <c:showSerName val="0"/>
            <c:showPercent val="0"/>
            <c:showBubbleSize val="0"/>
          </c:dLbls>
          <c:cat>
            <c:numRef>
              <c:f>Hoja1!$A$40:$A$54</c:f>
              <c:numCache>
                <c:formatCode>yyyy"年"mm"月"</c:formatCode>
                <c:ptCount val="15"/>
                <c:pt idx="1">
                  <c:v>41456</c:v>
                </c:pt>
                <c:pt idx="2">
                  <c:v>41487</c:v>
                </c:pt>
                <c:pt idx="3">
                  <c:v>41518</c:v>
                </c:pt>
                <c:pt idx="4">
                  <c:v>41548</c:v>
                </c:pt>
                <c:pt idx="5">
                  <c:v>41579</c:v>
                </c:pt>
                <c:pt idx="6">
                  <c:v>41609</c:v>
                </c:pt>
                <c:pt idx="7">
                  <c:v>41640</c:v>
                </c:pt>
                <c:pt idx="8">
                  <c:v>41671</c:v>
                </c:pt>
                <c:pt idx="9">
                  <c:v>41699</c:v>
                </c:pt>
                <c:pt idx="10">
                  <c:v>41730</c:v>
                </c:pt>
                <c:pt idx="11">
                  <c:v>41760</c:v>
                </c:pt>
                <c:pt idx="12">
                  <c:v>41791</c:v>
                </c:pt>
                <c:pt idx="13">
                  <c:v>41821</c:v>
                </c:pt>
                <c:pt idx="14">
                  <c:v>41852</c:v>
                </c:pt>
              </c:numCache>
            </c:numRef>
          </c:cat>
          <c:val>
            <c:numRef>
              <c:f>Hoja1!$C$40:$C$54</c:f>
              <c:numCache>
                <c:formatCode>General</c:formatCode>
                <c:ptCount val="15"/>
                <c:pt idx="0">
                  <c:v>0</c:v>
                </c:pt>
                <c:pt idx="1">
                  <c:v>10.33</c:v>
                </c:pt>
                <c:pt idx="2">
                  <c:v>9.41</c:v>
                </c:pt>
                <c:pt idx="3">
                  <c:v>9.4</c:v>
                </c:pt>
                <c:pt idx="4">
                  <c:v>10.07</c:v>
                </c:pt>
                <c:pt idx="5">
                  <c:v>10.200000000000001</c:v>
                </c:pt>
                <c:pt idx="6">
                  <c:v>10.360000000000008</c:v>
                </c:pt>
                <c:pt idx="7">
                  <c:v>10.53</c:v>
                </c:pt>
                <c:pt idx="8">
                  <c:v>10.89</c:v>
                </c:pt>
                <c:pt idx="9">
                  <c:v>11.03</c:v>
                </c:pt>
                <c:pt idx="10">
                  <c:v>10.98</c:v>
                </c:pt>
                <c:pt idx="11">
                  <c:v>10.84</c:v>
                </c:pt>
                <c:pt idx="12">
                  <c:v>11.12</c:v>
                </c:pt>
                <c:pt idx="13">
                  <c:v>11.26</c:v>
                </c:pt>
                <c:pt idx="14">
                  <c:v>10.18</c:v>
                </c:pt>
              </c:numCache>
            </c:numRef>
          </c:val>
          <c:smooth val="0"/>
        </c:ser>
        <c:ser>
          <c:idx val="2"/>
          <c:order val="2"/>
          <c:tx>
            <c:strRef>
              <c:f>Hoja1!$D$38</c:f>
              <c:strCache>
                <c:ptCount val="1"/>
                <c:pt idx="0">
                  <c:v>コロン建て　民間銀行</c:v>
                </c:pt>
              </c:strCache>
            </c:strRef>
          </c:tx>
          <c:dLbls>
            <c:dLbl>
              <c:idx val="12"/>
              <c:layout>
                <c:manualLayout>
                  <c:x val="-3.8277511961722493E-2"/>
                  <c:y val="2.6086956521739205E-2"/>
                </c:manualLayout>
              </c:layout>
              <c:showLegendKey val="0"/>
              <c:showVal val="1"/>
              <c:showCatName val="0"/>
              <c:showSerName val="0"/>
              <c:showPercent val="0"/>
              <c:showBubbleSize val="0"/>
            </c:dLbl>
            <c:dLbl>
              <c:idx val="13"/>
              <c:layout>
                <c:manualLayout>
                  <c:x val="-2.1265284423179182E-2"/>
                  <c:y val="-1.4492753623188409E-2"/>
                </c:manualLayout>
              </c:layout>
              <c:showLegendKey val="0"/>
              <c:showVal val="1"/>
              <c:showCatName val="0"/>
              <c:showSerName val="0"/>
              <c:showPercent val="0"/>
              <c:showBubbleSize val="0"/>
            </c:dLbl>
            <c:txPr>
              <a:bodyPr/>
              <a:lstStyle/>
              <a:p>
                <a:pPr>
                  <a:defRPr sz="800"/>
                </a:pPr>
                <a:endParaRPr lang="ja-JP"/>
              </a:p>
            </c:txPr>
            <c:showLegendKey val="0"/>
            <c:showVal val="0"/>
            <c:showCatName val="0"/>
            <c:showSerName val="0"/>
            <c:showPercent val="0"/>
            <c:showBubbleSize val="0"/>
          </c:dLbls>
          <c:cat>
            <c:numRef>
              <c:f>Hoja1!$A$40:$A$54</c:f>
              <c:numCache>
                <c:formatCode>yyyy"年"mm"月"</c:formatCode>
                <c:ptCount val="15"/>
                <c:pt idx="1">
                  <c:v>41456</c:v>
                </c:pt>
                <c:pt idx="2">
                  <c:v>41487</c:v>
                </c:pt>
                <c:pt idx="3">
                  <c:v>41518</c:v>
                </c:pt>
                <c:pt idx="4">
                  <c:v>41548</c:v>
                </c:pt>
                <c:pt idx="5">
                  <c:v>41579</c:v>
                </c:pt>
                <c:pt idx="6">
                  <c:v>41609</c:v>
                </c:pt>
                <c:pt idx="7">
                  <c:v>41640</c:v>
                </c:pt>
                <c:pt idx="8">
                  <c:v>41671</c:v>
                </c:pt>
                <c:pt idx="9">
                  <c:v>41699</c:v>
                </c:pt>
                <c:pt idx="10">
                  <c:v>41730</c:v>
                </c:pt>
                <c:pt idx="11">
                  <c:v>41760</c:v>
                </c:pt>
                <c:pt idx="12">
                  <c:v>41791</c:v>
                </c:pt>
                <c:pt idx="13">
                  <c:v>41821</c:v>
                </c:pt>
                <c:pt idx="14">
                  <c:v>41852</c:v>
                </c:pt>
              </c:numCache>
            </c:numRef>
          </c:cat>
          <c:val>
            <c:numRef>
              <c:f>Hoja1!$D$40:$D$54</c:f>
              <c:numCache>
                <c:formatCode>#,##0.00</c:formatCode>
                <c:ptCount val="15"/>
                <c:pt idx="0" formatCode="General">
                  <c:v>0</c:v>
                </c:pt>
                <c:pt idx="1">
                  <c:v>15.541541449999999</c:v>
                </c:pt>
                <c:pt idx="2">
                  <c:v>15.798410159999998</c:v>
                </c:pt>
                <c:pt idx="3">
                  <c:v>15.959327530000008</c:v>
                </c:pt>
                <c:pt idx="4">
                  <c:v>16.525362399999977</c:v>
                </c:pt>
                <c:pt idx="5">
                  <c:v>16.553779029999987</c:v>
                </c:pt>
                <c:pt idx="6">
                  <c:v>16.631700899999988</c:v>
                </c:pt>
                <c:pt idx="7">
                  <c:v>17.479379479999977</c:v>
                </c:pt>
                <c:pt idx="8">
                  <c:v>17.40694736</c:v>
                </c:pt>
                <c:pt idx="9">
                  <c:v>18.481215339999977</c:v>
                </c:pt>
                <c:pt idx="10">
                  <c:v>16.8</c:v>
                </c:pt>
                <c:pt idx="11">
                  <c:v>15.6</c:v>
                </c:pt>
                <c:pt idx="12">
                  <c:v>15.47</c:v>
                </c:pt>
                <c:pt idx="13" formatCode="General">
                  <c:v>14.49</c:v>
                </c:pt>
                <c:pt idx="14" formatCode="General">
                  <c:v>13.370000000000006</c:v>
                </c:pt>
              </c:numCache>
            </c:numRef>
          </c:val>
          <c:smooth val="0"/>
        </c:ser>
        <c:ser>
          <c:idx val="3"/>
          <c:order val="3"/>
          <c:tx>
            <c:strRef>
              <c:f>Hoja1!$E$38</c:f>
              <c:strCache>
                <c:ptCount val="1"/>
                <c:pt idx="0">
                  <c:v>ドル建て　民間銀行</c:v>
                </c:pt>
              </c:strCache>
            </c:strRef>
          </c:tx>
          <c:dLbls>
            <c:dLbl>
              <c:idx val="12"/>
              <c:layout>
                <c:manualLayout>
                  <c:x val="-3.4024455077086638E-2"/>
                  <c:y val="8.695652173913054E-3"/>
                </c:manualLayout>
              </c:layout>
              <c:showLegendKey val="0"/>
              <c:showVal val="1"/>
              <c:showCatName val="0"/>
              <c:showSerName val="0"/>
              <c:showPercent val="0"/>
              <c:showBubbleSize val="0"/>
            </c:dLbl>
            <c:dLbl>
              <c:idx val="13"/>
              <c:layout>
                <c:manualLayout>
                  <c:x val="-2.5518341307814992E-2"/>
                  <c:y val="0"/>
                </c:manualLayout>
              </c:layout>
              <c:showLegendKey val="0"/>
              <c:showVal val="1"/>
              <c:showCatName val="0"/>
              <c:showSerName val="0"/>
              <c:showPercent val="0"/>
              <c:showBubbleSize val="0"/>
            </c:dLbl>
            <c:txPr>
              <a:bodyPr/>
              <a:lstStyle/>
              <a:p>
                <a:pPr>
                  <a:defRPr sz="800" b="1" i="1"/>
                </a:pPr>
                <a:endParaRPr lang="ja-JP"/>
              </a:p>
            </c:txPr>
            <c:showLegendKey val="0"/>
            <c:showVal val="0"/>
            <c:showCatName val="0"/>
            <c:showSerName val="0"/>
            <c:showPercent val="0"/>
            <c:showBubbleSize val="0"/>
          </c:dLbls>
          <c:cat>
            <c:numRef>
              <c:f>Hoja1!$A$40:$A$54</c:f>
              <c:numCache>
                <c:formatCode>yyyy"年"mm"月"</c:formatCode>
                <c:ptCount val="15"/>
                <c:pt idx="1">
                  <c:v>41456</c:v>
                </c:pt>
                <c:pt idx="2">
                  <c:v>41487</c:v>
                </c:pt>
                <c:pt idx="3">
                  <c:v>41518</c:v>
                </c:pt>
                <c:pt idx="4">
                  <c:v>41548</c:v>
                </c:pt>
                <c:pt idx="5">
                  <c:v>41579</c:v>
                </c:pt>
                <c:pt idx="6">
                  <c:v>41609</c:v>
                </c:pt>
                <c:pt idx="7">
                  <c:v>41640</c:v>
                </c:pt>
                <c:pt idx="8">
                  <c:v>41671</c:v>
                </c:pt>
                <c:pt idx="9">
                  <c:v>41699</c:v>
                </c:pt>
                <c:pt idx="10">
                  <c:v>41730</c:v>
                </c:pt>
                <c:pt idx="11">
                  <c:v>41760</c:v>
                </c:pt>
                <c:pt idx="12">
                  <c:v>41791</c:v>
                </c:pt>
                <c:pt idx="13">
                  <c:v>41821</c:v>
                </c:pt>
                <c:pt idx="14">
                  <c:v>41852</c:v>
                </c:pt>
              </c:numCache>
            </c:numRef>
          </c:cat>
          <c:val>
            <c:numRef>
              <c:f>Hoja1!$E$40:$E$54</c:f>
              <c:numCache>
                <c:formatCode>#,##0.00</c:formatCode>
                <c:ptCount val="15"/>
                <c:pt idx="1">
                  <c:v>8.9016103200000014</c:v>
                </c:pt>
                <c:pt idx="2">
                  <c:v>8.85126363</c:v>
                </c:pt>
                <c:pt idx="3">
                  <c:v>8.8784769600000004</c:v>
                </c:pt>
                <c:pt idx="4">
                  <c:v>9.2223639799999972</c:v>
                </c:pt>
                <c:pt idx="5">
                  <c:v>9.3767110200000001</c:v>
                </c:pt>
                <c:pt idx="6">
                  <c:v>9.478106480000001</c:v>
                </c:pt>
                <c:pt idx="7">
                  <c:v>10.030506070000008</c:v>
                </c:pt>
                <c:pt idx="8">
                  <c:v>10.060305870000002</c:v>
                </c:pt>
                <c:pt idx="9">
                  <c:v>10.117023779999997</c:v>
                </c:pt>
                <c:pt idx="10">
                  <c:v>10</c:v>
                </c:pt>
                <c:pt idx="11">
                  <c:v>9.83</c:v>
                </c:pt>
                <c:pt idx="12">
                  <c:v>9.6399999999999988</c:v>
                </c:pt>
                <c:pt idx="13">
                  <c:v>9.2000000000000011</c:v>
                </c:pt>
                <c:pt idx="14">
                  <c:v>8.66</c:v>
                </c:pt>
              </c:numCache>
            </c:numRef>
          </c:val>
          <c:smooth val="0"/>
        </c:ser>
        <c:ser>
          <c:idx val="4"/>
          <c:order val="4"/>
          <c:tx>
            <c:strRef>
              <c:f>Hoja1!$F$38</c:f>
              <c:strCache>
                <c:ptCount val="1"/>
                <c:pt idx="0">
                  <c:v>基本預金金利(TBP)</c:v>
                </c:pt>
              </c:strCache>
            </c:strRef>
          </c:tx>
          <c:dLbls>
            <c:dLbl>
              <c:idx val="12"/>
              <c:layout>
                <c:manualLayout>
                  <c:x val="-3.8277511961722493E-2"/>
                  <c:y val="2.3188405797101432E-2"/>
                </c:manualLayout>
              </c:layout>
              <c:showLegendKey val="0"/>
              <c:showVal val="1"/>
              <c:showCatName val="0"/>
              <c:showSerName val="0"/>
              <c:showPercent val="0"/>
              <c:showBubbleSize val="0"/>
            </c:dLbl>
            <c:dLbl>
              <c:idx val="13"/>
              <c:layout>
                <c:manualLayout>
                  <c:x val="-2.1265284423179199E-2"/>
                  <c:y val="2.6086956521739157E-2"/>
                </c:manualLayout>
              </c:layout>
              <c:showLegendKey val="0"/>
              <c:showVal val="1"/>
              <c:showCatName val="0"/>
              <c:showSerName val="0"/>
              <c:showPercent val="0"/>
              <c:showBubbleSize val="0"/>
            </c:dLbl>
            <c:txPr>
              <a:bodyPr/>
              <a:lstStyle/>
              <a:p>
                <a:pPr>
                  <a:defRPr sz="800"/>
                </a:pPr>
                <a:endParaRPr lang="ja-JP"/>
              </a:p>
            </c:txPr>
            <c:showLegendKey val="0"/>
            <c:showVal val="0"/>
            <c:showCatName val="0"/>
            <c:showSerName val="0"/>
            <c:showPercent val="0"/>
            <c:showBubbleSize val="0"/>
          </c:dLbls>
          <c:cat>
            <c:numRef>
              <c:f>Hoja1!$A$40:$A$54</c:f>
              <c:numCache>
                <c:formatCode>yyyy"年"mm"月"</c:formatCode>
                <c:ptCount val="15"/>
                <c:pt idx="1">
                  <c:v>41456</c:v>
                </c:pt>
                <c:pt idx="2">
                  <c:v>41487</c:v>
                </c:pt>
                <c:pt idx="3">
                  <c:v>41518</c:v>
                </c:pt>
                <c:pt idx="4">
                  <c:v>41548</c:v>
                </c:pt>
                <c:pt idx="5">
                  <c:v>41579</c:v>
                </c:pt>
                <c:pt idx="6">
                  <c:v>41609</c:v>
                </c:pt>
                <c:pt idx="7">
                  <c:v>41640</c:v>
                </c:pt>
                <c:pt idx="8">
                  <c:v>41671</c:v>
                </c:pt>
                <c:pt idx="9">
                  <c:v>41699</c:v>
                </c:pt>
                <c:pt idx="10">
                  <c:v>41730</c:v>
                </c:pt>
                <c:pt idx="11">
                  <c:v>41760</c:v>
                </c:pt>
                <c:pt idx="12">
                  <c:v>41791</c:v>
                </c:pt>
                <c:pt idx="13">
                  <c:v>41821</c:v>
                </c:pt>
                <c:pt idx="14">
                  <c:v>41852</c:v>
                </c:pt>
              </c:numCache>
            </c:numRef>
          </c:cat>
          <c:val>
            <c:numRef>
              <c:f>Hoja1!$F$40:$F$54</c:f>
              <c:numCache>
                <c:formatCode>#,##0.00</c:formatCode>
                <c:ptCount val="15"/>
                <c:pt idx="0" formatCode="General">
                  <c:v>0</c:v>
                </c:pt>
                <c:pt idx="1">
                  <c:v>6.55</c:v>
                </c:pt>
                <c:pt idx="2">
                  <c:v>6.55</c:v>
                </c:pt>
                <c:pt idx="3">
                  <c:v>6.55</c:v>
                </c:pt>
                <c:pt idx="4">
                  <c:v>6.55</c:v>
                </c:pt>
                <c:pt idx="5">
                  <c:v>6.55</c:v>
                </c:pt>
                <c:pt idx="6">
                  <c:v>6.5</c:v>
                </c:pt>
                <c:pt idx="7">
                  <c:v>6.55</c:v>
                </c:pt>
                <c:pt idx="8">
                  <c:v>6.5</c:v>
                </c:pt>
                <c:pt idx="9">
                  <c:v>6.6</c:v>
                </c:pt>
                <c:pt idx="10">
                  <c:v>6.7</c:v>
                </c:pt>
                <c:pt idx="11">
                  <c:v>6.85</c:v>
                </c:pt>
                <c:pt idx="12">
                  <c:v>6.95</c:v>
                </c:pt>
                <c:pt idx="13">
                  <c:v>7</c:v>
                </c:pt>
                <c:pt idx="14">
                  <c:v>7.1</c:v>
                </c:pt>
              </c:numCache>
            </c:numRef>
          </c:val>
          <c:smooth val="0"/>
        </c:ser>
        <c:dLbls>
          <c:showLegendKey val="0"/>
          <c:showVal val="0"/>
          <c:showCatName val="0"/>
          <c:showSerName val="0"/>
          <c:showPercent val="0"/>
          <c:showBubbleSize val="0"/>
        </c:dLbls>
        <c:marker val="1"/>
        <c:smooth val="0"/>
        <c:axId val="107447808"/>
        <c:axId val="107449344"/>
      </c:lineChart>
      <c:dateAx>
        <c:axId val="107447808"/>
        <c:scaling>
          <c:orientation val="minMax"/>
        </c:scaling>
        <c:delete val="0"/>
        <c:axPos val="b"/>
        <c:numFmt formatCode="yyyy&quot;年&quot;m&quot;月&quot;;@" sourceLinked="0"/>
        <c:majorTickMark val="none"/>
        <c:minorTickMark val="none"/>
        <c:tickLblPos val="nextTo"/>
        <c:txPr>
          <a:bodyPr/>
          <a:lstStyle/>
          <a:p>
            <a:pPr>
              <a:defRPr sz="800"/>
            </a:pPr>
            <a:endParaRPr lang="ja-JP"/>
          </a:p>
        </c:txPr>
        <c:crossAx val="107449344"/>
        <c:crosses val="autoZero"/>
        <c:auto val="1"/>
        <c:lblOffset val="100"/>
        <c:baseTimeUnit val="months"/>
      </c:dateAx>
      <c:valAx>
        <c:axId val="107449344"/>
        <c:scaling>
          <c:orientation val="minMax"/>
        </c:scaling>
        <c:delete val="0"/>
        <c:axPos val="l"/>
        <c:majorGridlines/>
        <c:title>
          <c:tx>
            <c:rich>
              <a:bodyPr rot="0" vert="horz"/>
              <a:lstStyle/>
              <a:p>
                <a:pPr>
                  <a:defRPr b="0"/>
                </a:pPr>
                <a:r>
                  <a:rPr lang="en-US" altLang="ja-JP" b="0"/>
                  <a:t>(%)</a:t>
                </a:r>
                <a:endParaRPr lang="ja-JP" altLang="en-US" b="0"/>
              </a:p>
            </c:rich>
          </c:tx>
          <c:layout>
            <c:manualLayout>
              <c:xMode val="edge"/>
              <c:yMode val="edge"/>
              <c:x val="5.8305685101087294E-2"/>
              <c:y val="0.15432526489744441"/>
            </c:manualLayout>
          </c:layout>
          <c:overlay val="0"/>
        </c:title>
        <c:numFmt formatCode="#,##0_ " sourceLinked="0"/>
        <c:majorTickMark val="none"/>
        <c:minorTickMark val="none"/>
        <c:tickLblPos val="nextTo"/>
        <c:crossAx val="107447808"/>
        <c:crosses val="autoZero"/>
        <c:crossBetween val="between"/>
      </c:valAx>
    </c:plotArea>
    <c:legend>
      <c:legendPos val="r"/>
      <c:legendEntry>
        <c:idx val="1"/>
        <c:txPr>
          <a:bodyPr/>
          <a:lstStyle/>
          <a:p>
            <a:pPr>
              <a:defRPr sz="900" b="1" i="1"/>
            </a:pPr>
            <a:endParaRPr lang="ja-JP"/>
          </a:p>
        </c:txPr>
      </c:legendEntry>
      <c:legendEntry>
        <c:idx val="3"/>
        <c:txPr>
          <a:bodyPr/>
          <a:lstStyle/>
          <a:p>
            <a:pPr>
              <a:defRPr sz="900" b="1" i="1"/>
            </a:pPr>
            <a:endParaRPr lang="ja-JP"/>
          </a:p>
        </c:txPr>
      </c:legendEntry>
      <c:layout>
        <c:manualLayout>
          <c:xMode val="edge"/>
          <c:yMode val="edge"/>
          <c:x val="0.16191018815065394"/>
          <c:y val="9.2354233498590468E-2"/>
          <c:w val="0.74640697484493657"/>
          <c:h val="0.11978147176047471"/>
        </c:manualLayout>
      </c:layout>
      <c:overlay val="0"/>
      <c:txPr>
        <a:bodyPr/>
        <a:lstStyle/>
        <a:p>
          <a:pPr>
            <a:defRPr sz="900"/>
          </a:pPr>
          <a:endParaRPr lang="ja-JP"/>
        </a:p>
      </c:txPr>
    </c:legend>
    <c:plotVisOnly val="1"/>
    <c:dispBlanksAs val="gap"/>
    <c:showDLblsOverMax val="0"/>
  </c:chart>
  <c:externalData r:id="rId1">
    <c:autoUpdate val="0"/>
  </c:externalData>
  <c:userShapes r:id="rId2"/>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50" b="1"/>
            </a:pPr>
            <a:r>
              <a:rPr lang="ja-JP" altLang="en-US" sz="1050" b="1"/>
              <a:t>表</a:t>
            </a:r>
            <a:r>
              <a:rPr lang="en-US" altLang="ja-JP" sz="1050" b="1"/>
              <a:t>11</a:t>
            </a:r>
            <a:r>
              <a:rPr lang="ja-JP" altLang="en-US" sz="1050" b="1"/>
              <a:t>　外貨準備高</a:t>
            </a:r>
            <a:r>
              <a:rPr lang="en-US" altLang="ja-JP" sz="1050" b="1"/>
              <a:t>(</a:t>
            </a:r>
            <a:r>
              <a:rPr lang="ja-JP" altLang="en-US" sz="1050" b="1"/>
              <a:t>月末値</a:t>
            </a:r>
            <a:r>
              <a:rPr lang="en-US" altLang="ja-JP" sz="1050" b="1"/>
              <a:t>)</a:t>
            </a:r>
            <a:endParaRPr lang="ja-JP" altLang="en-US" sz="1050" b="1"/>
          </a:p>
        </c:rich>
      </c:tx>
      <c:layout/>
      <c:overlay val="0"/>
    </c:title>
    <c:autoTitleDeleted val="0"/>
    <c:plotArea>
      <c:layout>
        <c:manualLayout>
          <c:layoutTarget val="inner"/>
          <c:xMode val="edge"/>
          <c:yMode val="edge"/>
          <c:x val="0.13394250943686473"/>
          <c:y val="0.15976536489985801"/>
          <c:w val="0.70346552247595251"/>
          <c:h val="0.67790766087125021"/>
        </c:manualLayout>
      </c:layout>
      <c:barChart>
        <c:barDir val="col"/>
        <c:grouping val="clustered"/>
        <c:varyColors val="0"/>
        <c:ser>
          <c:idx val="0"/>
          <c:order val="0"/>
          <c:tx>
            <c:strRef>
              <c:f>Hoja1!$K$5</c:f>
              <c:strCache>
                <c:ptCount val="1"/>
                <c:pt idx="0">
                  <c:v>2013年</c:v>
                </c:pt>
              </c:strCache>
            </c:strRef>
          </c:tx>
          <c:invertIfNegative val="0"/>
          <c:dLbls>
            <c:dLbl>
              <c:idx val="6"/>
              <c:layout>
                <c:manualLayout>
                  <c:x val="-1.5220939848272398E-2"/>
                  <c:y val="-1.3422818791946314E-2"/>
                </c:manualLayout>
              </c:layout>
              <c:spPr/>
              <c:txPr>
                <a:bodyPr/>
                <a:lstStyle/>
                <a:p>
                  <a:pPr>
                    <a:defRPr sz="800" b="1" i="1"/>
                  </a:pPr>
                  <a:endParaRPr lang="ja-JP"/>
                </a:p>
              </c:txPr>
              <c:showLegendKey val="0"/>
              <c:showVal val="1"/>
              <c:showCatName val="0"/>
              <c:showSerName val="0"/>
              <c:showPercent val="0"/>
              <c:showBubbleSize val="0"/>
            </c:dLbl>
            <c:dLbl>
              <c:idx val="7"/>
              <c:layout>
                <c:manualLayout>
                  <c:x val="2.4353120243531191E-2"/>
                  <c:y val="-8.948545861297539E-3"/>
                </c:manualLayout>
              </c:layout>
              <c:spPr/>
              <c:txPr>
                <a:bodyPr/>
                <a:lstStyle/>
                <a:p>
                  <a:pPr>
                    <a:defRPr sz="800" b="1" i="1"/>
                  </a:pPr>
                  <a:endParaRPr lang="ja-JP"/>
                </a:p>
              </c:txPr>
              <c:showLegendKey val="0"/>
              <c:showVal val="1"/>
              <c:showCatName val="0"/>
              <c:showSerName val="0"/>
              <c:showPercent val="0"/>
              <c:showBubbleSize val="0"/>
            </c:dLbl>
            <c:txPr>
              <a:bodyPr/>
              <a:lstStyle/>
              <a:p>
                <a:pPr>
                  <a:defRPr sz="800"/>
                </a:pPr>
                <a:endParaRPr lang="ja-JP"/>
              </a:p>
            </c:txPr>
            <c:showLegendKey val="0"/>
            <c:showVal val="0"/>
            <c:showCatName val="0"/>
            <c:showSerName val="0"/>
            <c:showPercent val="0"/>
            <c:showBubbleSize val="0"/>
          </c:dLbls>
          <c:cat>
            <c:strRef>
              <c:f>Hoja1!$J$6:$J$17</c:f>
              <c:strCache>
                <c:ptCount val="12"/>
                <c:pt idx="0">
                  <c:v>1月</c:v>
                </c:pt>
                <c:pt idx="1">
                  <c:v>2月</c:v>
                </c:pt>
                <c:pt idx="2">
                  <c:v>3月</c:v>
                </c:pt>
                <c:pt idx="3">
                  <c:v>4月</c:v>
                </c:pt>
                <c:pt idx="4">
                  <c:v>5月</c:v>
                </c:pt>
                <c:pt idx="5">
                  <c:v>6月</c:v>
                </c:pt>
                <c:pt idx="6">
                  <c:v>7月</c:v>
                </c:pt>
                <c:pt idx="7">
                  <c:v>8月</c:v>
                </c:pt>
                <c:pt idx="8">
                  <c:v>9月</c:v>
                </c:pt>
                <c:pt idx="9">
                  <c:v>10月</c:v>
                </c:pt>
                <c:pt idx="10">
                  <c:v>11月</c:v>
                </c:pt>
                <c:pt idx="11">
                  <c:v>12月</c:v>
                </c:pt>
              </c:strCache>
            </c:strRef>
          </c:cat>
          <c:val>
            <c:numRef>
              <c:f>Hoja1!$K$6:$K$17</c:f>
              <c:numCache>
                <c:formatCode>#,##0.0</c:formatCode>
                <c:ptCount val="12"/>
                <c:pt idx="0">
                  <c:v>6748.7871541199993</c:v>
                </c:pt>
                <c:pt idx="1">
                  <c:v>6816.2660269300004</c:v>
                </c:pt>
                <c:pt idx="2">
                  <c:v>6936.8452548100004</c:v>
                </c:pt>
                <c:pt idx="3">
                  <c:v>7960.4042082399992</c:v>
                </c:pt>
                <c:pt idx="4">
                  <c:v>7885.1966123700004</c:v>
                </c:pt>
                <c:pt idx="5">
                  <c:v>7877.8188838399992</c:v>
                </c:pt>
                <c:pt idx="6">
                  <c:v>7723.7136800399994</c:v>
                </c:pt>
                <c:pt idx="7">
                  <c:v>7719.4431214500128</c:v>
                </c:pt>
                <c:pt idx="8">
                  <c:v>7617.3580926499999</c:v>
                </c:pt>
                <c:pt idx="9">
                  <c:v>7441.1258433500034</c:v>
                </c:pt>
                <c:pt idx="10">
                  <c:v>7398.0345456199993</c:v>
                </c:pt>
                <c:pt idx="11">
                  <c:v>7330.8633171600004</c:v>
                </c:pt>
              </c:numCache>
            </c:numRef>
          </c:val>
        </c:ser>
        <c:ser>
          <c:idx val="1"/>
          <c:order val="1"/>
          <c:tx>
            <c:strRef>
              <c:f>Hoja1!$L$5</c:f>
              <c:strCache>
                <c:ptCount val="1"/>
                <c:pt idx="0">
                  <c:v>2014年</c:v>
                </c:pt>
              </c:strCache>
            </c:strRef>
          </c:tx>
          <c:invertIfNegative val="0"/>
          <c:dLbls>
            <c:dLbl>
              <c:idx val="6"/>
              <c:layout>
                <c:manualLayout>
                  <c:x val="8.4752847849212404E-3"/>
                  <c:y val="4.6409225442564364E-3"/>
                </c:manualLayout>
              </c:layout>
              <c:showLegendKey val="0"/>
              <c:showVal val="1"/>
              <c:showCatName val="0"/>
              <c:showSerName val="0"/>
              <c:showPercent val="0"/>
              <c:showBubbleSize val="0"/>
            </c:dLbl>
            <c:dLbl>
              <c:idx val="7"/>
              <c:layout>
                <c:manualLayout>
                  <c:x val="1.0359916823024404E-2"/>
                  <c:y val="-2.5750823700228968E-2"/>
                </c:manualLayout>
              </c:layout>
              <c:showLegendKey val="0"/>
              <c:showVal val="1"/>
              <c:showCatName val="0"/>
              <c:showSerName val="0"/>
              <c:showPercent val="0"/>
              <c:showBubbleSize val="0"/>
            </c:dLbl>
            <c:txPr>
              <a:bodyPr/>
              <a:lstStyle/>
              <a:p>
                <a:pPr>
                  <a:defRPr sz="800" b="1"/>
                </a:pPr>
                <a:endParaRPr lang="ja-JP"/>
              </a:p>
            </c:txPr>
            <c:showLegendKey val="0"/>
            <c:showVal val="0"/>
            <c:showCatName val="0"/>
            <c:showSerName val="0"/>
            <c:showPercent val="0"/>
            <c:showBubbleSize val="0"/>
          </c:dLbls>
          <c:cat>
            <c:strRef>
              <c:f>Hoja1!$J$6:$J$17</c:f>
              <c:strCache>
                <c:ptCount val="12"/>
                <c:pt idx="0">
                  <c:v>1月</c:v>
                </c:pt>
                <c:pt idx="1">
                  <c:v>2月</c:v>
                </c:pt>
                <c:pt idx="2">
                  <c:v>3月</c:v>
                </c:pt>
                <c:pt idx="3">
                  <c:v>4月</c:v>
                </c:pt>
                <c:pt idx="4">
                  <c:v>5月</c:v>
                </c:pt>
                <c:pt idx="5">
                  <c:v>6月</c:v>
                </c:pt>
                <c:pt idx="6">
                  <c:v>7月</c:v>
                </c:pt>
                <c:pt idx="7">
                  <c:v>8月</c:v>
                </c:pt>
                <c:pt idx="8">
                  <c:v>9月</c:v>
                </c:pt>
                <c:pt idx="9">
                  <c:v>10月</c:v>
                </c:pt>
                <c:pt idx="10">
                  <c:v>11月</c:v>
                </c:pt>
                <c:pt idx="11">
                  <c:v>12月</c:v>
                </c:pt>
              </c:strCache>
            </c:strRef>
          </c:cat>
          <c:val>
            <c:numRef>
              <c:f>Hoja1!$L$6:$L$17</c:f>
              <c:numCache>
                <c:formatCode>#,##0.0</c:formatCode>
                <c:ptCount val="12"/>
                <c:pt idx="0">
                  <c:v>7258.3436738600003</c:v>
                </c:pt>
                <c:pt idx="1">
                  <c:v>7275.1072810700034</c:v>
                </c:pt>
                <c:pt idx="2">
                  <c:v>6785.6</c:v>
                </c:pt>
                <c:pt idx="3">
                  <c:v>7775.8</c:v>
                </c:pt>
                <c:pt idx="4">
                  <c:v>7704.5</c:v>
                </c:pt>
                <c:pt idx="5">
                  <c:v>7494</c:v>
                </c:pt>
                <c:pt idx="6">
                  <c:v>7338.8224336200128</c:v>
                </c:pt>
                <c:pt idx="7">
                  <c:v>7342.8691060200044</c:v>
                </c:pt>
              </c:numCache>
            </c:numRef>
          </c:val>
        </c:ser>
        <c:dLbls>
          <c:showLegendKey val="0"/>
          <c:showVal val="0"/>
          <c:showCatName val="0"/>
          <c:showSerName val="0"/>
          <c:showPercent val="0"/>
          <c:showBubbleSize val="0"/>
        </c:dLbls>
        <c:gapWidth val="150"/>
        <c:axId val="107494016"/>
        <c:axId val="107499904"/>
      </c:barChart>
      <c:catAx>
        <c:axId val="107494016"/>
        <c:scaling>
          <c:orientation val="minMax"/>
        </c:scaling>
        <c:delete val="0"/>
        <c:axPos val="b"/>
        <c:majorTickMark val="none"/>
        <c:minorTickMark val="none"/>
        <c:tickLblPos val="nextTo"/>
        <c:txPr>
          <a:bodyPr/>
          <a:lstStyle/>
          <a:p>
            <a:pPr>
              <a:defRPr sz="900"/>
            </a:pPr>
            <a:endParaRPr lang="ja-JP"/>
          </a:p>
        </c:txPr>
        <c:crossAx val="107499904"/>
        <c:crosses val="autoZero"/>
        <c:auto val="1"/>
        <c:lblAlgn val="ctr"/>
        <c:lblOffset val="100"/>
        <c:noMultiLvlLbl val="0"/>
      </c:catAx>
      <c:valAx>
        <c:axId val="107499904"/>
        <c:scaling>
          <c:orientation val="minMax"/>
        </c:scaling>
        <c:delete val="0"/>
        <c:axPos val="l"/>
        <c:majorGridlines/>
        <c:title>
          <c:tx>
            <c:rich>
              <a:bodyPr rot="0" vert="horz"/>
              <a:lstStyle/>
              <a:p>
                <a:pPr>
                  <a:defRPr sz="800" b="0"/>
                </a:pPr>
                <a:r>
                  <a:rPr lang="en-US" altLang="ja-JP" sz="800" b="0"/>
                  <a:t>(</a:t>
                </a:r>
                <a:r>
                  <a:rPr lang="ja-JP" altLang="en-US" sz="800" b="0"/>
                  <a:t>百万ドル</a:t>
                </a:r>
                <a:r>
                  <a:rPr lang="en-US" altLang="ja-JP" sz="800" b="0"/>
                  <a:t>)</a:t>
                </a:r>
                <a:endParaRPr lang="ja-JP" altLang="en-US" sz="800" b="0"/>
              </a:p>
            </c:rich>
          </c:tx>
          <c:layout>
            <c:manualLayout>
              <c:xMode val="edge"/>
              <c:yMode val="edge"/>
              <c:x val="2.5527630963937976E-4"/>
              <c:y val="6.7622117705085527E-2"/>
            </c:manualLayout>
          </c:layout>
          <c:overlay val="0"/>
        </c:title>
        <c:numFmt formatCode="#,##0_);\(#,##0\)" sourceLinked="0"/>
        <c:majorTickMark val="out"/>
        <c:minorTickMark val="none"/>
        <c:tickLblPos val="nextTo"/>
        <c:crossAx val="107494016"/>
        <c:crosses val="autoZero"/>
        <c:crossBetween val="between"/>
      </c:valAx>
    </c:plotArea>
    <c:legend>
      <c:legendPos val="r"/>
      <c:legendEntry>
        <c:idx val="0"/>
        <c:txPr>
          <a:bodyPr/>
          <a:lstStyle/>
          <a:p>
            <a:pPr>
              <a:defRPr sz="900" b="1" i="1"/>
            </a:pPr>
            <a:endParaRPr lang="ja-JP"/>
          </a:p>
        </c:txPr>
      </c:legendEntry>
      <c:layout/>
      <c:overlay val="0"/>
      <c:txPr>
        <a:bodyPr/>
        <a:lstStyle/>
        <a:p>
          <a:pPr>
            <a:defRPr sz="900" b="1"/>
          </a:pPr>
          <a:endParaRPr lang="ja-JP"/>
        </a:p>
      </c:txPr>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50"/>
            </a:pPr>
            <a:r>
              <a:rPr lang="ja-JP" altLang="en-US" sz="1050"/>
              <a:t>表２　</a:t>
            </a:r>
            <a:r>
              <a:rPr lang="ja-JP" sz="1050"/>
              <a:t>貿易推移</a:t>
            </a:r>
          </a:p>
        </c:rich>
      </c:tx>
      <c:layout/>
      <c:overlay val="0"/>
    </c:title>
    <c:autoTitleDeleted val="0"/>
    <c:plotArea>
      <c:layout>
        <c:manualLayout>
          <c:layoutTarget val="inner"/>
          <c:xMode val="edge"/>
          <c:yMode val="edge"/>
          <c:x val="0.20139556629495375"/>
          <c:y val="0.15273105550407856"/>
          <c:w val="0.6443026347952977"/>
          <c:h val="0.68143691204286849"/>
        </c:manualLayout>
      </c:layout>
      <c:barChart>
        <c:barDir val="col"/>
        <c:grouping val="clustered"/>
        <c:varyColors val="0"/>
        <c:ser>
          <c:idx val="0"/>
          <c:order val="0"/>
          <c:tx>
            <c:strRef>
              <c:f>Hoja1!$Q$11</c:f>
              <c:strCache>
                <c:ptCount val="1"/>
                <c:pt idx="0">
                  <c:v>輸出</c:v>
                </c:pt>
              </c:strCache>
            </c:strRef>
          </c:tx>
          <c:invertIfNegative val="0"/>
          <c:dLbls>
            <c:dLbl>
              <c:idx val="0"/>
              <c:layout/>
              <c:numFmt formatCode="#,##0.0_ " sourceLinked="0"/>
              <c:spPr/>
              <c:txPr>
                <a:bodyPr/>
                <a:lstStyle/>
                <a:p>
                  <a:pPr>
                    <a:defRPr b="1" i="1"/>
                  </a:pPr>
                  <a:endParaRPr lang="ja-JP"/>
                </a:p>
              </c:txPr>
              <c:showLegendKey val="0"/>
              <c:showVal val="1"/>
              <c:showCatName val="0"/>
              <c:showSerName val="0"/>
              <c:showPercent val="0"/>
              <c:showBubbleSize val="0"/>
            </c:dLbl>
            <c:dLbl>
              <c:idx val="1"/>
              <c:layout>
                <c:manualLayout>
                  <c:x val="2.3515579071134631E-2"/>
                  <c:y val="2.4888888888888887E-2"/>
                </c:manualLayout>
              </c:layout>
              <c:numFmt formatCode="#,##0.0_ " sourceLinked="0"/>
              <c:spPr/>
              <c:txPr>
                <a:bodyPr/>
                <a:lstStyle/>
                <a:p>
                  <a:pPr>
                    <a:defRPr b="1" i="1"/>
                  </a:pPr>
                  <a:endParaRPr lang="ja-JP"/>
                </a:p>
              </c:txPr>
              <c:showLegendKey val="0"/>
              <c:showVal val="1"/>
              <c:showCatName val="0"/>
              <c:showSerName val="0"/>
              <c:showPercent val="0"/>
              <c:showBubbleSize val="0"/>
            </c:dLbl>
            <c:dLbl>
              <c:idx val="12"/>
              <c:layout>
                <c:manualLayout>
                  <c:x val="-4.7033009762668552E-3"/>
                  <c:y val="3.5555555555555592E-3"/>
                </c:manualLayout>
              </c:layout>
              <c:numFmt formatCode="#,##0.0_ " sourceLinked="0"/>
              <c:spPr/>
              <c:txPr>
                <a:bodyPr/>
                <a:lstStyle/>
                <a:p>
                  <a:pPr>
                    <a:defRPr b="1" i="1"/>
                  </a:pPr>
                  <a:endParaRPr lang="ja-JP"/>
                </a:p>
              </c:txPr>
              <c:showLegendKey val="0"/>
              <c:showVal val="1"/>
              <c:showCatName val="0"/>
              <c:showSerName val="0"/>
              <c:showPercent val="0"/>
              <c:showBubbleSize val="0"/>
            </c:dLbl>
            <c:dLbl>
              <c:idx val="13"/>
              <c:layout>
                <c:manualLayout>
                  <c:x val="1.4109347442680775E-2"/>
                  <c:y val="3.5555555555555592E-3"/>
                </c:manualLayout>
              </c:layout>
              <c:numFmt formatCode="#,##0.0_ " sourceLinked="0"/>
              <c:spPr/>
              <c:txPr>
                <a:bodyPr/>
                <a:lstStyle/>
                <a:p>
                  <a:pPr>
                    <a:defRPr b="1" i="1"/>
                  </a:pPr>
                  <a:endParaRPr lang="ja-JP"/>
                </a:p>
              </c:txPr>
              <c:showLegendKey val="0"/>
              <c:showVal val="1"/>
              <c:showCatName val="0"/>
              <c:showSerName val="0"/>
              <c:showPercent val="0"/>
              <c:showBubbleSize val="0"/>
            </c:dLbl>
            <c:numFmt formatCode="#,##0.0_ " sourceLinked="0"/>
            <c:txPr>
              <a:bodyPr/>
              <a:lstStyle/>
              <a:p>
                <a:pPr>
                  <a:defRPr i="1"/>
                </a:pPr>
                <a:endParaRPr lang="ja-JP"/>
              </a:p>
            </c:txPr>
            <c:showLegendKey val="0"/>
            <c:showVal val="0"/>
            <c:showCatName val="0"/>
            <c:showSerName val="0"/>
            <c:showPercent val="0"/>
            <c:showBubbleSize val="0"/>
          </c:dLbls>
          <c:cat>
            <c:numRef>
              <c:f>Hoja1!$P$13:$P$29</c:f>
              <c:numCache>
                <c:formatCode>General</c:formatCode>
                <c:ptCount val="17"/>
                <c:pt idx="3" formatCode="yyyy&quot;年&quot;m&quot;月&quot;">
                  <c:v>41456</c:v>
                </c:pt>
                <c:pt idx="4" formatCode="yyyy&quot;年&quot;m&quot;月&quot;">
                  <c:v>41487</c:v>
                </c:pt>
                <c:pt idx="5" formatCode="yyyy&quot;年&quot;m&quot;月&quot;">
                  <c:v>41518</c:v>
                </c:pt>
                <c:pt idx="6" formatCode="yyyy&quot;年&quot;m&quot;月&quot;">
                  <c:v>41548</c:v>
                </c:pt>
                <c:pt idx="7" formatCode="yyyy&quot;年&quot;m&quot;月&quot;">
                  <c:v>41579</c:v>
                </c:pt>
                <c:pt idx="8" formatCode="yyyy&quot;年&quot;m&quot;月&quot;">
                  <c:v>41609</c:v>
                </c:pt>
                <c:pt idx="9" formatCode="yyyy&quot;年&quot;m&quot;月&quot;">
                  <c:v>41640</c:v>
                </c:pt>
                <c:pt idx="10" formatCode="yyyy&quot;年&quot;m&quot;月&quot;">
                  <c:v>41671</c:v>
                </c:pt>
                <c:pt idx="11" formatCode="yyyy&quot;年&quot;m&quot;月&quot;">
                  <c:v>41699</c:v>
                </c:pt>
                <c:pt idx="12" formatCode="yyyy&quot;年&quot;m&quot;月&quot;">
                  <c:v>41730</c:v>
                </c:pt>
                <c:pt idx="13" formatCode="yyyy&quot;年&quot;m&quot;月&quot;">
                  <c:v>41760</c:v>
                </c:pt>
                <c:pt idx="14" formatCode="yyyy&quot;年&quot;m&quot;月&quot;">
                  <c:v>41791</c:v>
                </c:pt>
                <c:pt idx="15" formatCode="yyyy&quot;年&quot;m&quot;月&quot;">
                  <c:v>41821</c:v>
                </c:pt>
                <c:pt idx="16" formatCode="yyyy&quot;年&quot;m&quot;月&quot;">
                  <c:v>41852</c:v>
                </c:pt>
              </c:numCache>
            </c:numRef>
          </c:cat>
          <c:val>
            <c:numRef>
              <c:f>Hoja1!$Q$13:$Q$29</c:f>
              <c:numCache>
                <c:formatCode>General</c:formatCode>
                <c:ptCount val="17"/>
                <c:pt idx="0">
                  <c:v>0</c:v>
                </c:pt>
                <c:pt idx="2">
                  <c:v>0</c:v>
                </c:pt>
                <c:pt idx="3">
                  <c:v>949.23167957000044</c:v>
                </c:pt>
                <c:pt idx="4">
                  <c:v>938.5602442099995</c:v>
                </c:pt>
                <c:pt idx="5">
                  <c:v>972.54398724000043</c:v>
                </c:pt>
                <c:pt idx="6">
                  <c:v>1007.65641652</c:v>
                </c:pt>
                <c:pt idx="7">
                  <c:v>992.76068416999999</c:v>
                </c:pt>
                <c:pt idx="8">
                  <c:v>877.2369981199995</c:v>
                </c:pt>
                <c:pt idx="9" formatCode="#,##0.0">
                  <c:v>855.20809244000043</c:v>
                </c:pt>
                <c:pt idx="10" formatCode="#,##0.0">
                  <c:v>969.23883707000073</c:v>
                </c:pt>
                <c:pt idx="11" formatCode="#,##0.0">
                  <c:v>1038.70406847</c:v>
                </c:pt>
                <c:pt idx="12" formatCode="#,##0.0">
                  <c:v>983.11463776999994</c:v>
                </c:pt>
                <c:pt idx="13" formatCode="#,##0.0">
                  <c:v>1053.47953652</c:v>
                </c:pt>
                <c:pt idx="14" formatCode="#,##0.0">
                  <c:v>982.27444745000059</c:v>
                </c:pt>
                <c:pt idx="15" formatCode="#,##0.0">
                  <c:v>940.42404985999997</c:v>
                </c:pt>
                <c:pt idx="16" formatCode="#,##0.0">
                  <c:v>943.04525016999958</c:v>
                </c:pt>
              </c:numCache>
            </c:numRef>
          </c:val>
        </c:ser>
        <c:ser>
          <c:idx val="1"/>
          <c:order val="1"/>
          <c:tx>
            <c:strRef>
              <c:f>Hoja1!$R$11</c:f>
              <c:strCache>
                <c:ptCount val="1"/>
                <c:pt idx="0">
                  <c:v>輸入</c:v>
                </c:pt>
              </c:strCache>
            </c:strRef>
          </c:tx>
          <c:invertIfNegative val="0"/>
          <c:dLbls>
            <c:dLbl>
              <c:idx val="0"/>
              <c:layout>
                <c:manualLayout>
                  <c:x val="-1.4109347442680775E-2"/>
                  <c:y val="-3.5555555555555592E-3"/>
                </c:manualLayout>
              </c:layout>
              <c:showLegendKey val="0"/>
              <c:showVal val="1"/>
              <c:showCatName val="0"/>
              <c:showSerName val="0"/>
              <c:showPercent val="0"/>
              <c:showBubbleSize val="0"/>
            </c:dLbl>
            <c:dLbl>
              <c:idx val="1"/>
              <c:layout>
                <c:manualLayout>
                  <c:x val="1.4109347442680775E-2"/>
                  <c:y val="1.0666666666666675E-2"/>
                </c:manualLayout>
              </c:layout>
              <c:showLegendKey val="0"/>
              <c:showVal val="1"/>
              <c:showCatName val="0"/>
              <c:showSerName val="0"/>
              <c:showPercent val="0"/>
              <c:showBubbleSize val="0"/>
            </c:dLbl>
            <c:dLbl>
              <c:idx val="12"/>
              <c:layout/>
              <c:showLegendKey val="0"/>
              <c:showVal val="1"/>
              <c:showCatName val="0"/>
              <c:showSerName val="0"/>
              <c:showPercent val="0"/>
              <c:showBubbleSize val="0"/>
            </c:dLbl>
            <c:dLbl>
              <c:idx val="13"/>
              <c:layout>
                <c:manualLayout>
                  <c:x val="2.1164021164021166E-2"/>
                  <c:y val="-7.1111111111110828E-3"/>
                </c:manualLayout>
              </c:layout>
              <c:showLegendKey val="0"/>
              <c:showVal val="1"/>
              <c:showCatName val="0"/>
              <c:showSerName val="0"/>
              <c:showPercent val="0"/>
              <c:showBubbleSize val="0"/>
            </c:dLbl>
            <c:numFmt formatCode="#,##0.0_ " sourceLinked="0"/>
            <c:showLegendKey val="0"/>
            <c:showVal val="0"/>
            <c:showCatName val="0"/>
            <c:showSerName val="0"/>
            <c:showPercent val="0"/>
            <c:showBubbleSize val="0"/>
          </c:dLbls>
          <c:cat>
            <c:numRef>
              <c:f>Hoja1!$P$13:$P$29</c:f>
              <c:numCache>
                <c:formatCode>General</c:formatCode>
                <c:ptCount val="17"/>
                <c:pt idx="3" formatCode="yyyy&quot;年&quot;m&quot;月&quot;">
                  <c:v>41456</c:v>
                </c:pt>
                <c:pt idx="4" formatCode="yyyy&quot;年&quot;m&quot;月&quot;">
                  <c:v>41487</c:v>
                </c:pt>
                <c:pt idx="5" formatCode="yyyy&quot;年&quot;m&quot;月&quot;">
                  <c:v>41518</c:v>
                </c:pt>
                <c:pt idx="6" formatCode="yyyy&quot;年&quot;m&quot;月&quot;">
                  <c:v>41548</c:v>
                </c:pt>
                <c:pt idx="7" formatCode="yyyy&quot;年&quot;m&quot;月&quot;">
                  <c:v>41579</c:v>
                </c:pt>
                <c:pt idx="8" formatCode="yyyy&quot;年&quot;m&quot;月&quot;">
                  <c:v>41609</c:v>
                </c:pt>
                <c:pt idx="9" formatCode="yyyy&quot;年&quot;m&quot;月&quot;">
                  <c:v>41640</c:v>
                </c:pt>
                <c:pt idx="10" formatCode="yyyy&quot;年&quot;m&quot;月&quot;">
                  <c:v>41671</c:v>
                </c:pt>
                <c:pt idx="11" formatCode="yyyy&quot;年&quot;m&quot;月&quot;">
                  <c:v>41699</c:v>
                </c:pt>
                <c:pt idx="12" formatCode="yyyy&quot;年&quot;m&quot;月&quot;">
                  <c:v>41730</c:v>
                </c:pt>
                <c:pt idx="13" formatCode="yyyy&quot;年&quot;m&quot;月&quot;">
                  <c:v>41760</c:v>
                </c:pt>
                <c:pt idx="14" formatCode="yyyy&quot;年&quot;m&quot;月&quot;">
                  <c:v>41791</c:v>
                </c:pt>
                <c:pt idx="15" formatCode="yyyy&quot;年&quot;m&quot;月&quot;">
                  <c:v>41821</c:v>
                </c:pt>
                <c:pt idx="16" formatCode="yyyy&quot;年&quot;m&quot;月&quot;">
                  <c:v>41852</c:v>
                </c:pt>
              </c:numCache>
            </c:numRef>
          </c:cat>
          <c:val>
            <c:numRef>
              <c:f>Hoja1!$R$13:$R$29</c:f>
              <c:numCache>
                <c:formatCode>General</c:formatCode>
                <c:ptCount val="17"/>
                <c:pt idx="0">
                  <c:v>0</c:v>
                </c:pt>
                <c:pt idx="2">
                  <c:v>0</c:v>
                </c:pt>
                <c:pt idx="3">
                  <c:v>1538.1103749299998</c:v>
                </c:pt>
                <c:pt idx="4">
                  <c:v>1525.1342924199992</c:v>
                </c:pt>
                <c:pt idx="5">
                  <c:v>1501.5970531800012</c:v>
                </c:pt>
                <c:pt idx="6">
                  <c:v>1609.13317362</c:v>
                </c:pt>
                <c:pt idx="7">
                  <c:v>1531.7667545000008</c:v>
                </c:pt>
                <c:pt idx="8">
                  <c:v>1425.2307668000001</c:v>
                </c:pt>
                <c:pt idx="9" formatCode="#,##0.0">
                  <c:v>1520.2811126499998</c:v>
                </c:pt>
                <c:pt idx="10" formatCode="#,##0.0">
                  <c:v>1375.3080171500001</c:v>
                </c:pt>
                <c:pt idx="11" formatCode="#,##0.0">
                  <c:v>1624.3504455999991</c:v>
                </c:pt>
                <c:pt idx="12" formatCode="#,##0.0">
                  <c:v>1489.6673811999999</c:v>
                </c:pt>
                <c:pt idx="13" formatCode="#,##0.0">
                  <c:v>1552.574992829999</c:v>
                </c:pt>
                <c:pt idx="14" formatCode="#,##0.0">
                  <c:v>1359.1647395999992</c:v>
                </c:pt>
                <c:pt idx="15" formatCode="#,##0.0">
                  <c:v>1394.9668563900009</c:v>
                </c:pt>
                <c:pt idx="16" formatCode="#,##0.0">
                  <c:v>1431.46536855</c:v>
                </c:pt>
              </c:numCache>
            </c:numRef>
          </c:val>
        </c:ser>
        <c:dLbls>
          <c:showLegendKey val="0"/>
          <c:showVal val="0"/>
          <c:showCatName val="0"/>
          <c:showSerName val="0"/>
          <c:showPercent val="0"/>
          <c:showBubbleSize val="0"/>
        </c:dLbls>
        <c:gapWidth val="150"/>
        <c:axId val="85044224"/>
        <c:axId val="85062400"/>
      </c:barChart>
      <c:dateAx>
        <c:axId val="85044224"/>
        <c:scaling>
          <c:orientation val="minMax"/>
        </c:scaling>
        <c:delete val="0"/>
        <c:axPos val="b"/>
        <c:numFmt formatCode="yyyy&quot;年&quot;m&quot;月&quot;;@" sourceLinked="0"/>
        <c:majorTickMark val="none"/>
        <c:minorTickMark val="none"/>
        <c:tickLblPos val="nextTo"/>
        <c:crossAx val="85062400"/>
        <c:crosses val="autoZero"/>
        <c:auto val="1"/>
        <c:lblOffset val="100"/>
        <c:baseTimeUnit val="months"/>
      </c:dateAx>
      <c:valAx>
        <c:axId val="85062400"/>
        <c:scaling>
          <c:orientation val="minMax"/>
        </c:scaling>
        <c:delete val="0"/>
        <c:axPos val="l"/>
        <c:majorGridlines/>
        <c:title>
          <c:tx>
            <c:rich>
              <a:bodyPr rot="0" vert="horz"/>
              <a:lstStyle/>
              <a:p>
                <a:pPr>
                  <a:defRPr/>
                </a:pPr>
                <a:r>
                  <a:rPr lang="en-US"/>
                  <a:t>(</a:t>
                </a:r>
                <a:r>
                  <a:rPr lang="ja-JP"/>
                  <a:t>百万ドル</a:t>
                </a:r>
                <a:r>
                  <a:rPr lang="en-US"/>
                  <a:t>)</a:t>
                </a:r>
                <a:endParaRPr lang="ja-JP"/>
              </a:p>
            </c:rich>
          </c:tx>
          <c:layout>
            <c:manualLayout>
              <c:xMode val="edge"/>
              <c:yMode val="edge"/>
              <c:x val="0.11957132675676239"/>
              <c:y val="6.5597254720667783E-2"/>
            </c:manualLayout>
          </c:layout>
          <c:overlay val="0"/>
        </c:title>
        <c:numFmt formatCode="#,##0_);\(#,##0\)" sourceLinked="0"/>
        <c:majorTickMark val="out"/>
        <c:minorTickMark val="none"/>
        <c:tickLblPos val="nextTo"/>
        <c:crossAx val="85044224"/>
        <c:crosses val="autoZero"/>
        <c:crossBetween val="between"/>
      </c:valAx>
    </c:plotArea>
    <c:legend>
      <c:legendPos val="r"/>
      <c:legendEntry>
        <c:idx val="0"/>
        <c:txPr>
          <a:bodyPr/>
          <a:lstStyle/>
          <a:p>
            <a:pPr>
              <a:defRPr sz="1000" i="1"/>
            </a:pPr>
            <a:endParaRPr lang="ja-JP"/>
          </a:p>
        </c:txPr>
      </c:legendEntry>
      <c:layout/>
      <c:overlay val="0"/>
      <c:txPr>
        <a:bodyPr/>
        <a:lstStyle/>
        <a:p>
          <a:pPr>
            <a:defRPr sz="1000"/>
          </a:pPr>
          <a:endParaRPr lang="ja-JP"/>
        </a:p>
      </c:txPr>
    </c:legend>
    <c:plotVisOnly val="1"/>
    <c:dispBlanksAs val="gap"/>
    <c:showDLblsOverMax val="0"/>
  </c:chart>
  <c:txPr>
    <a:bodyPr/>
    <a:lstStyle/>
    <a:p>
      <a:pPr>
        <a:defRPr sz="800"/>
      </a:pPr>
      <a:endParaRPr lang="ja-JP"/>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00"/>
            </a:pPr>
            <a:r>
              <a:rPr lang="ja-JP" altLang="en-US" sz="900"/>
              <a:t>表</a:t>
            </a:r>
            <a:r>
              <a:rPr lang="en-US" altLang="ja-JP" sz="900"/>
              <a:t>3</a:t>
            </a:r>
            <a:r>
              <a:rPr lang="ja-JP" altLang="en-US" sz="900"/>
              <a:t>　累積貿易額　前年比較</a:t>
            </a:r>
          </a:p>
        </c:rich>
      </c:tx>
      <c:layout>
        <c:manualLayout>
          <c:xMode val="edge"/>
          <c:yMode val="edge"/>
          <c:x val="0.29203340491529467"/>
          <c:y val="4.5688353996400859E-2"/>
        </c:manualLayout>
      </c:layout>
      <c:overlay val="0"/>
    </c:title>
    <c:autoTitleDeleted val="0"/>
    <c:plotArea>
      <c:layout>
        <c:manualLayout>
          <c:layoutTarget val="inner"/>
          <c:xMode val="edge"/>
          <c:yMode val="edge"/>
          <c:x val="0.27288859725867698"/>
          <c:y val="0.15469716691917576"/>
          <c:w val="0.67775882181394065"/>
          <c:h val="0.5547563465135964"/>
        </c:manualLayout>
      </c:layout>
      <c:barChart>
        <c:barDir val="col"/>
        <c:grouping val="clustered"/>
        <c:varyColors val="0"/>
        <c:ser>
          <c:idx val="0"/>
          <c:order val="0"/>
          <c:tx>
            <c:strRef>
              <c:f>Hoja1!$T$20</c:f>
              <c:strCache>
                <c:ptCount val="1"/>
                <c:pt idx="0">
                  <c:v>輸出</c:v>
                </c:pt>
              </c:strCache>
            </c:strRef>
          </c:tx>
          <c:invertIfNegative val="0"/>
          <c:cat>
            <c:numRef>
              <c:f>Hoja1!$U$19:$V$19</c:f>
              <c:numCache>
                <c:formatCode>yyyy"年"mm"月"</c:formatCode>
                <c:ptCount val="2"/>
                <c:pt idx="0">
                  <c:v>41456</c:v>
                </c:pt>
                <c:pt idx="1">
                  <c:v>41821</c:v>
                </c:pt>
              </c:numCache>
            </c:numRef>
          </c:cat>
          <c:val>
            <c:numRef>
              <c:f>Hoja1!$U$20:$V$20</c:f>
              <c:numCache>
                <c:formatCode>#,##0.0</c:formatCode>
                <c:ptCount val="2"/>
                <c:pt idx="0" formatCode="#,##0_ ">
                  <c:v>6800.8</c:v>
                </c:pt>
                <c:pt idx="1">
                  <c:v>6822.4436695800014</c:v>
                </c:pt>
              </c:numCache>
            </c:numRef>
          </c:val>
        </c:ser>
        <c:ser>
          <c:idx val="1"/>
          <c:order val="1"/>
          <c:tx>
            <c:strRef>
              <c:f>Hoja1!$T$21</c:f>
              <c:strCache>
                <c:ptCount val="1"/>
                <c:pt idx="0">
                  <c:v>輸入</c:v>
                </c:pt>
              </c:strCache>
            </c:strRef>
          </c:tx>
          <c:invertIfNegative val="0"/>
          <c:cat>
            <c:numRef>
              <c:f>Hoja1!$U$19:$V$19</c:f>
              <c:numCache>
                <c:formatCode>yyyy"年"mm"月"</c:formatCode>
                <c:ptCount val="2"/>
                <c:pt idx="0">
                  <c:v>41456</c:v>
                </c:pt>
                <c:pt idx="1">
                  <c:v>41821</c:v>
                </c:pt>
              </c:numCache>
            </c:numRef>
          </c:cat>
          <c:val>
            <c:numRef>
              <c:f>Hoja1!$U$21:$V$21</c:f>
              <c:numCache>
                <c:formatCode>#,##0.0</c:formatCode>
                <c:ptCount val="2"/>
                <c:pt idx="0" formatCode="#,##0_ ">
                  <c:v>10415</c:v>
                </c:pt>
                <c:pt idx="1">
                  <c:v>10316.299999999987</c:v>
                </c:pt>
              </c:numCache>
            </c:numRef>
          </c:val>
        </c:ser>
        <c:ser>
          <c:idx val="2"/>
          <c:order val="2"/>
          <c:tx>
            <c:strRef>
              <c:f>Hoja1!$T$22</c:f>
              <c:strCache>
                <c:ptCount val="1"/>
                <c:pt idx="0">
                  <c:v>貿易収支</c:v>
                </c:pt>
              </c:strCache>
            </c:strRef>
          </c:tx>
          <c:invertIfNegative val="0"/>
          <c:cat>
            <c:numRef>
              <c:f>Hoja1!$U$19:$V$19</c:f>
              <c:numCache>
                <c:formatCode>yyyy"年"mm"月"</c:formatCode>
                <c:ptCount val="2"/>
                <c:pt idx="0">
                  <c:v>41456</c:v>
                </c:pt>
                <c:pt idx="1">
                  <c:v>41821</c:v>
                </c:pt>
              </c:numCache>
            </c:numRef>
          </c:cat>
          <c:val>
            <c:numRef>
              <c:f>Hoja1!$U$22:$V$22</c:f>
              <c:numCache>
                <c:formatCode>#,##0.00</c:formatCode>
                <c:ptCount val="2"/>
                <c:pt idx="0" formatCode="#,##0_ ">
                  <c:v>-3614.2</c:v>
                </c:pt>
                <c:pt idx="1">
                  <c:v>-3493.9</c:v>
                </c:pt>
              </c:numCache>
            </c:numRef>
          </c:val>
        </c:ser>
        <c:dLbls>
          <c:showLegendKey val="0"/>
          <c:showVal val="0"/>
          <c:showCatName val="0"/>
          <c:showSerName val="0"/>
          <c:showPercent val="0"/>
          <c:showBubbleSize val="0"/>
        </c:dLbls>
        <c:gapWidth val="150"/>
        <c:axId val="85231104"/>
        <c:axId val="85232640"/>
      </c:barChart>
      <c:dateAx>
        <c:axId val="85231104"/>
        <c:scaling>
          <c:orientation val="minMax"/>
        </c:scaling>
        <c:delete val="0"/>
        <c:axPos val="b"/>
        <c:numFmt formatCode="yyyy&quot;年&quot;mm&quot;月&quot;" sourceLinked="1"/>
        <c:majorTickMark val="none"/>
        <c:minorTickMark val="none"/>
        <c:tickLblPos val="none"/>
        <c:crossAx val="85232640"/>
        <c:crosses val="autoZero"/>
        <c:auto val="1"/>
        <c:lblOffset val="100"/>
        <c:baseTimeUnit val="years"/>
      </c:dateAx>
      <c:valAx>
        <c:axId val="85232640"/>
        <c:scaling>
          <c:orientation val="minMax"/>
        </c:scaling>
        <c:delete val="0"/>
        <c:axPos val="l"/>
        <c:majorGridlines/>
        <c:title>
          <c:tx>
            <c:rich>
              <a:bodyPr rot="0" vert="horz"/>
              <a:lstStyle/>
              <a:p>
                <a:pPr>
                  <a:defRPr sz="800" b="0"/>
                </a:pPr>
                <a:r>
                  <a:rPr lang="en-US" altLang="ja-JP" sz="800" b="0"/>
                  <a:t>(</a:t>
                </a:r>
                <a:r>
                  <a:rPr lang="ja-JP" altLang="en-US" sz="800" b="0"/>
                  <a:t>百万ド　ル</a:t>
                </a:r>
                <a:r>
                  <a:rPr lang="en-US" altLang="ja-JP" sz="800" b="0"/>
                  <a:t>)</a:t>
                </a:r>
                <a:endParaRPr lang="ja-JP" altLang="en-US" sz="800" b="0"/>
              </a:p>
            </c:rich>
          </c:tx>
          <c:layout>
            <c:manualLayout>
              <c:xMode val="edge"/>
              <c:yMode val="edge"/>
              <c:x val="6.4806043731225713E-2"/>
              <c:y val="2.2510438227741857E-2"/>
            </c:manualLayout>
          </c:layout>
          <c:overlay val="0"/>
        </c:title>
        <c:numFmt formatCode="#,##0_ " sourceLinked="0"/>
        <c:majorTickMark val="none"/>
        <c:minorTickMark val="none"/>
        <c:tickLblPos val="nextTo"/>
        <c:txPr>
          <a:bodyPr/>
          <a:lstStyle/>
          <a:p>
            <a:pPr>
              <a:defRPr sz="800"/>
            </a:pPr>
            <a:endParaRPr lang="ja-JP"/>
          </a:p>
        </c:txPr>
        <c:crossAx val="85231104"/>
        <c:crosses val="autoZero"/>
        <c:crossBetween val="between"/>
      </c:valAx>
      <c:dTable>
        <c:showHorzBorder val="1"/>
        <c:showVertBorder val="1"/>
        <c:showOutline val="1"/>
        <c:showKeys val="1"/>
        <c:txPr>
          <a:bodyPr/>
          <a:lstStyle/>
          <a:p>
            <a:pPr rtl="0">
              <a:defRPr sz="800"/>
            </a:pPr>
            <a:endParaRPr lang="ja-JP"/>
          </a:p>
        </c:txPr>
      </c:dTable>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00"/>
            </a:pPr>
            <a:r>
              <a:rPr lang="ja-JP" altLang="en-US" sz="900"/>
              <a:t>表</a:t>
            </a:r>
            <a:r>
              <a:rPr lang="en-US" altLang="ja-JP" sz="900"/>
              <a:t>4</a:t>
            </a:r>
            <a:r>
              <a:rPr lang="ja-JP" altLang="en-US" sz="900"/>
              <a:t>　</a:t>
            </a:r>
            <a:r>
              <a:rPr lang="ja-JP" sz="900"/>
              <a:t>累積貿易額　前年比較</a:t>
            </a:r>
          </a:p>
        </c:rich>
      </c:tx>
      <c:layout>
        <c:manualLayout>
          <c:xMode val="edge"/>
          <c:yMode val="edge"/>
          <c:x val="0.27066427358344958"/>
          <c:y val="4.9457923450625718E-2"/>
        </c:manualLayout>
      </c:layout>
      <c:overlay val="0"/>
    </c:title>
    <c:autoTitleDeleted val="0"/>
    <c:plotArea>
      <c:layout>
        <c:manualLayout>
          <c:layoutTarget val="inner"/>
          <c:xMode val="edge"/>
          <c:yMode val="edge"/>
          <c:x val="0.25658426417628066"/>
          <c:y val="0.15080127179224573"/>
          <c:w val="0.68137911069939783"/>
          <c:h val="0.55632289866205742"/>
        </c:manualLayout>
      </c:layout>
      <c:barChart>
        <c:barDir val="col"/>
        <c:grouping val="clustered"/>
        <c:varyColors val="0"/>
        <c:ser>
          <c:idx val="0"/>
          <c:order val="0"/>
          <c:tx>
            <c:strRef>
              <c:f>Hoja1!$T$27</c:f>
              <c:strCache>
                <c:ptCount val="1"/>
                <c:pt idx="0">
                  <c:v>輸出</c:v>
                </c:pt>
              </c:strCache>
            </c:strRef>
          </c:tx>
          <c:invertIfNegative val="0"/>
          <c:cat>
            <c:numRef>
              <c:f>Hoja1!$U$26:$V$26</c:f>
              <c:numCache>
                <c:formatCode>yyyy"年"mm"月"</c:formatCode>
                <c:ptCount val="2"/>
                <c:pt idx="0">
                  <c:v>41487</c:v>
                </c:pt>
                <c:pt idx="1">
                  <c:v>41852</c:v>
                </c:pt>
              </c:numCache>
            </c:numRef>
          </c:cat>
          <c:val>
            <c:numRef>
              <c:f>Hoja1!$U$27:$V$27</c:f>
              <c:numCache>
                <c:formatCode>#,##0.0</c:formatCode>
                <c:ptCount val="2"/>
                <c:pt idx="0">
                  <c:v>7739.3</c:v>
                </c:pt>
                <c:pt idx="1">
                  <c:v>7765.5</c:v>
                </c:pt>
              </c:numCache>
            </c:numRef>
          </c:val>
        </c:ser>
        <c:ser>
          <c:idx val="1"/>
          <c:order val="1"/>
          <c:tx>
            <c:strRef>
              <c:f>Hoja1!$T$28</c:f>
              <c:strCache>
                <c:ptCount val="1"/>
                <c:pt idx="0">
                  <c:v>輸入</c:v>
                </c:pt>
              </c:strCache>
            </c:strRef>
          </c:tx>
          <c:invertIfNegative val="0"/>
          <c:cat>
            <c:numRef>
              <c:f>Hoja1!$U$26:$V$26</c:f>
              <c:numCache>
                <c:formatCode>yyyy"年"mm"月"</c:formatCode>
                <c:ptCount val="2"/>
                <c:pt idx="0">
                  <c:v>41487</c:v>
                </c:pt>
                <c:pt idx="1">
                  <c:v>41852</c:v>
                </c:pt>
              </c:numCache>
            </c:numRef>
          </c:cat>
          <c:val>
            <c:numRef>
              <c:f>Hoja1!$U$28:$V$28</c:f>
              <c:numCache>
                <c:formatCode>#,##0.0</c:formatCode>
                <c:ptCount val="2"/>
                <c:pt idx="0">
                  <c:v>11940.2</c:v>
                </c:pt>
                <c:pt idx="1">
                  <c:v>11747.8</c:v>
                </c:pt>
              </c:numCache>
            </c:numRef>
          </c:val>
        </c:ser>
        <c:ser>
          <c:idx val="2"/>
          <c:order val="2"/>
          <c:tx>
            <c:strRef>
              <c:f>Hoja1!$T$29</c:f>
              <c:strCache>
                <c:ptCount val="1"/>
                <c:pt idx="0">
                  <c:v>貿易収支</c:v>
                </c:pt>
              </c:strCache>
            </c:strRef>
          </c:tx>
          <c:invertIfNegative val="0"/>
          <c:cat>
            <c:numRef>
              <c:f>Hoja1!$U$26:$V$26</c:f>
              <c:numCache>
                <c:formatCode>yyyy"年"mm"月"</c:formatCode>
                <c:ptCount val="2"/>
                <c:pt idx="0">
                  <c:v>41487</c:v>
                </c:pt>
                <c:pt idx="1">
                  <c:v>41852</c:v>
                </c:pt>
              </c:numCache>
            </c:numRef>
          </c:cat>
          <c:val>
            <c:numRef>
              <c:f>Hoja1!$U$29:$V$29</c:f>
              <c:numCache>
                <c:formatCode>#,##0.0</c:formatCode>
                <c:ptCount val="2"/>
                <c:pt idx="0">
                  <c:v>-4200.9000000000005</c:v>
                </c:pt>
                <c:pt idx="1">
                  <c:v>-3982.3</c:v>
                </c:pt>
              </c:numCache>
            </c:numRef>
          </c:val>
        </c:ser>
        <c:dLbls>
          <c:showLegendKey val="0"/>
          <c:showVal val="0"/>
          <c:showCatName val="0"/>
          <c:showSerName val="0"/>
          <c:showPercent val="0"/>
          <c:showBubbleSize val="0"/>
        </c:dLbls>
        <c:gapWidth val="150"/>
        <c:axId val="85252352"/>
        <c:axId val="85262336"/>
      </c:barChart>
      <c:dateAx>
        <c:axId val="85252352"/>
        <c:scaling>
          <c:orientation val="minMax"/>
        </c:scaling>
        <c:delete val="0"/>
        <c:axPos val="b"/>
        <c:numFmt formatCode="yyyy&quot;年&quot;mm&quot;月&quot;" sourceLinked="1"/>
        <c:majorTickMark val="none"/>
        <c:minorTickMark val="none"/>
        <c:tickLblPos val="none"/>
        <c:crossAx val="85262336"/>
        <c:crosses val="autoZero"/>
        <c:auto val="1"/>
        <c:lblOffset val="100"/>
        <c:baseTimeUnit val="years"/>
      </c:dateAx>
      <c:valAx>
        <c:axId val="85262336"/>
        <c:scaling>
          <c:orientation val="minMax"/>
        </c:scaling>
        <c:delete val="0"/>
        <c:axPos val="l"/>
        <c:majorGridlines/>
        <c:title>
          <c:tx>
            <c:rich>
              <a:bodyPr rot="0" vert="horz"/>
              <a:lstStyle/>
              <a:p>
                <a:pPr>
                  <a:defRPr/>
                </a:pPr>
                <a:r>
                  <a:rPr lang="en-US" b="0"/>
                  <a:t>(</a:t>
                </a:r>
                <a:r>
                  <a:rPr lang="ja-JP" b="0"/>
                  <a:t>百万ド</a:t>
                </a:r>
                <a:endParaRPr lang="en-US" altLang="ja-JP" b="0"/>
              </a:p>
              <a:p>
                <a:pPr>
                  <a:defRPr/>
                </a:pPr>
                <a:r>
                  <a:rPr lang="ja-JP" altLang="en-US" b="0"/>
                  <a:t>ル</a:t>
                </a:r>
                <a:r>
                  <a:rPr lang="en-US" b="0"/>
                  <a:t>)</a:t>
                </a:r>
                <a:endParaRPr lang="ja-JP" b="0"/>
              </a:p>
            </c:rich>
          </c:tx>
          <c:layout>
            <c:manualLayout>
              <c:xMode val="edge"/>
              <c:yMode val="edge"/>
              <c:x val="5.9754623695294024E-2"/>
              <c:y val="2.7263414989792952E-2"/>
            </c:manualLayout>
          </c:layout>
          <c:overlay val="0"/>
        </c:title>
        <c:numFmt formatCode="#,##0_ " sourceLinked="0"/>
        <c:majorTickMark val="none"/>
        <c:minorTickMark val="none"/>
        <c:tickLblPos val="nextTo"/>
        <c:crossAx val="85252352"/>
        <c:crosses val="autoZero"/>
        <c:crossBetween val="between"/>
      </c:valAx>
      <c:dTable>
        <c:showHorzBorder val="1"/>
        <c:showVertBorder val="1"/>
        <c:showOutline val="1"/>
        <c:showKeys val="1"/>
      </c:dTable>
    </c:plotArea>
    <c:plotVisOnly val="1"/>
    <c:dispBlanksAs val="gap"/>
    <c:showDLblsOverMax val="0"/>
  </c:chart>
  <c:txPr>
    <a:bodyPr/>
    <a:lstStyle/>
    <a:p>
      <a:pPr>
        <a:defRPr sz="800"/>
      </a:pPr>
      <a:endParaRPr lang="ja-JP"/>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pPr>
            <a:r>
              <a:rPr lang="ja-JP" altLang="en-US" sz="1100"/>
              <a:t>表</a:t>
            </a:r>
            <a:r>
              <a:rPr lang="en-US" altLang="ja-JP" sz="1100"/>
              <a:t>5</a:t>
            </a:r>
            <a:r>
              <a:rPr lang="ja-JP" altLang="en-US" sz="1100"/>
              <a:t>　貿易推移</a:t>
            </a:r>
            <a:r>
              <a:rPr lang="en-US" altLang="ja-JP" sz="1100"/>
              <a:t>(</a:t>
            </a:r>
            <a:r>
              <a:rPr lang="ja-JP" altLang="en-US" sz="1100"/>
              <a:t>成長率</a:t>
            </a:r>
            <a:r>
              <a:rPr lang="en-US" altLang="ja-JP" sz="1100"/>
              <a:t>)</a:t>
            </a:r>
            <a:endParaRPr lang="ja-JP" altLang="en-US" sz="1100"/>
          </a:p>
        </c:rich>
      </c:tx>
      <c:layout>
        <c:manualLayout>
          <c:xMode val="edge"/>
          <c:yMode val="edge"/>
          <c:x val="0.37060128429655581"/>
          <c:y val="2.3703703703703807E-2"/>
        </c:manualLayout>
      </c:layout>
      <c:overlay val="0"/>
    </c:title>
    <c:autoTitleDeleted val="0"/>
    <c:plotArea>
      <c:layout>
        <c:manualLayout>
          <c:layoutTarget val="inner"/>
          <c:xMode val="edge"/>
          <c:yMode val="edge"/>
          <c:x val="0.12729520893951302"/>
          <c:y val="0.12859259259259306"/>
          <c:w val="0.80732242094957063"/>
          <c:h val="0.51426724992709028"/>
        </c:manualLayout>
      </c:layout>
      <c:lineChart>
        <c:grouping val="standard"/>
        <c:varyColors val="0"/>
        <c:ser>
          <c:idx val="0"/>
          <c:order val="0"/>
          <c:tx>
            <c:strRef>
              <c:f>Sheet1!$O$8</c:f>
              <c:strCache>
                <c:ptCount val="1"/>
                <c:pt idx="0">
                  <c:v>輸出</c:v>
                </c:pt>
              </c:strCache>
            </c:strRef>
          </c:tx>
          <c:dLbls>
            <c:dLbl>
              <c:idx val="12"/>
              <c:layout>
                <c:manualLayout>
                  <c:x val="-3.6900369003690051E-2"/>
                  <c:y val="-4.5325779036827218E-2"/>
                </c:manualLayout>
              </c:layout>
              <c:showLegendKey val="0"/>
              <c:showVal val="1"/>
              <c:showCatName val="0"/>
              <c:showSerName val="0"/>
              <c:showPercent val="0"/>
              <c:showBubbleSize val="0"/>
            </c:dLbl>
            <c:dLbl>
              <c:idx val="13"/>
              <c:layout>
                <c:manualLayout>
                  <c:x val="-2.2140221402214035E-2"/>
                  <c:y val="-3.39943342776204E-2"/>
                </c:manualLayout>
              </c:layout>
              <c:showLegendKey val="0"/>
              <c:showVal val="1"/>
              <c:showCatName val="0"/>
              <c:showSerName val="0"/>
              <c:showPercent val="0"/>
              <c:showBubbleSize val="0"/>
            </c:dLbl>
            <c:txPr>
              <a:bodyPr/>
              <a:lstStyle/>
              <a:p>
                <a:pPr>
                  <a:defRPr sz="900"/>
                </a:pPr>
                <a:endParaRPr lang="ja-JP"/>
              </a:p>
            </c:txPr>
            <c:showLegendKey val="0"/>
            <c:showVal val="0"/>
            <c:showCatName val="0"/>
            <c:showSerName val="0"/>
            <c:showPercent val="0"/>
            <c:showBubbleSize val="0"/>
          </c:dLbls>
          <c:cat>
            <c:numRef>
              <c:f>Sheet1!$N$13:$N$26</c:f>
              <c:numCache>
                <c:formatCode>yyyy"年"m"月"</c:formatCode>
                <c:ptCount val="14"/>
                <c:pt idx="0">
                  <c:v>41456</c:v>
                </c:pt>
                <c:pt idx="1">
                  <c:v>41487</c:v>
                </c:pt>
                <c:pt idx="2">
                  <c:v>41518</c:v>
                </c:pt>
                <c:pt idx="3">
                  <c:v>41548</c:v>
                </c:pt>
                <c:pt idx="4">
                  <c:v>41579</c:v>
                </c:pt>
                <c:pt idx="5">
                  <c:v>41609</c:v>
                </c:pt>
                <c:pt idx="6">
                  <c:v>41640</c:v>
                </c:pt>
                <c:pt idx="7">
                  <c:v>41671</c:v>
                </c:pt>
                <c:pt idx="8">
                  <c:v>41699</c:v>
                </c:pt>
                <c:pt idx="9">
                  <c:v>41730</c:v>
                </c:pt>
                <c:pt idx="10">
                  <c:v>41760</c:v>
                </c:pt>
                <c:pt idx="11">
                  <c:v>41791</c:v>
                </c:pt>
                <c:pt idx="12">
                  <c:v>41821</c:v>
                </c:pt>
                <c:pt idx="13">
                  <c:v>41852</c:v>
                </c:pt>
              </c:numCache>
            </c:numRef>
          </c:cat>
          <c:val>
            <c:numRef>
              <c:f>Sheet1!$O$13:$O$26</c:f>
              <c:numCache>
                <c:formatCode>#,##0.0</c:formatCode>
                <c:ptCount val="14"/>
                <c:pt idx="0">
                  <c:v>-0.67039316000000004</c:v>
                </c:pt>
                <c:pt idx="1">
                  <c:v>-0.32338822000000172</c:v>
                </c:pt>
                <c:pt idx="2">
                  <c:v>0.52306443999999996</c:v>
                </c:pt>
                <c:pt idx="3">
                  <c:v>1.4034948999999932</c:v>
                </c:pt>
                <c:pt idx="4">
                  <c:v>1.3547575400000038</c:v>
                </c:pt>
                <c:pt idx="5">
                  <c:v>1.1538703699999999</c:v>
                </c:pt>
                <c:pt idx="6">
                  <c:v>-6.0884974900000124</c:v>
                </c:pt>
                <c:pt idx="7">
                  <c:v>-0.93993510999999996</c:v>
                </c:pt>
                <c:pt idx="8">
                  <c:v>0.21973727000000054</c:v>
                </c:pt>
                <c:pt idx="9">
                  <c:v>-0.27328723000000005</c:v>
                </c:pt>
                <c:pt idx="10">
                  <c:v>0.21784111000000048</c:v>
                </c:pt>
                <c:pt idx="11">
                  <c:v>0.60712255000000004</c:v>
                </c:pt>
                <c:pt idx="12">
                  <c:v>0.42629371000000005</c:v>
                </c:pt>
                <c:pt idx="13">
                  <c:v>0.27511288000000089</c:v>
                </c:pt>
              </c:numCache>
            </c:numRef>
          </c:val>
          <c:smooth val="0"/>
        </c:ser>
        <c:ser>
          <c:idx val="1"/>
          <c:order val="1"/>
          <c:tx>
            <c:strRef>
              <c:f>Sheet1!$P$8</c:f>
              <c:strCache>
                <c:ptCount val="1"/>
                <c:pt idx="0">
                  <c:v>輸入</c:v>
                </c:pt>
              </c:strCache>
            </c:strRef>
          </c:tx>
          <c:dLbls>
            <c:dLbl>
              <c:idx val="12"/>
              <c:layout>
                <c:manualLayout>
                  <c:x val="-5.1660516605166053E-2"/>
                  <c:y val="6.4211520302171893E-2"/>
                </c:manualLayout>
              </c:layout>
              <c:spPr/>
              <c:txPr>
                <a:bodyPr/>
                <a:lstStyle/>
                <a:p>
                  <a:pPr>
                    <a:defRPr sz="800"/>
                  </a:pPr>
                  <a:endParaRPr lang="ja-JP"/>
                </a:p>
              </c:txPr>
              <c:showLegendKey val="0"/>
              <c:showVal val="1"/>
              <c:showCatName val="0"/>
              <c:showSerName val="0"/>
              <c:showPercent val="0"/>
              <c:showBubbleSize val="0"/>
            </c:dLbl>
            <c:dLbl>
              <c:idx val="13"/>
              <c:layout>
                <c:manualLayout>
                  <c:x val="-3.9360393603936041E-2"/>
                  <c:y val="6.043437204910293E-2"/>
                </c:manualLayout>
              </c:layout>
              <c:spPr/>
              <c:txPr>
                <a:bodyPr/>
                <a:lstStyle/>
                <a:p>
                  <a:pPr>
                    <a:defRPr sz="900"/>
                  </a:pPr>
                  <a:endParaRPr lang="ja-JP"/>
                </a:p>
              </c:txPr>
              <c:showLegendKey val="0"/>
              <c:showVal val="1"/>
              <c:showCatName val="0"/>
              <c:showSerName val="0"/>
              <c:showPercent val="0"/>
              <c:showBubbleSize val="0"/>
            </c:dLbl>
            <c:showLegendKey val="0"/>
            <c:showVal val="0"/>
            <c:showCatName val="0"/>
            <c:showSerName val="0"/>
            <c:showPercent val="0"/>
            <c:showBubbleSize val="0"/>
          </c:dLbls>
          <c:cat>
            <c:numRef>
              <c:f>Sheet1!$N$13:$N$26</c:f>
              <c:numCache>
                <c:formatCode>yyyy"年"m"月"</c:formatCode>
                <c:ptCount val="14"/>
                <c:pt idx="0">
                  <c:v>41456</c:v>
                </c:pt>
                <c:pt idx="1">
                  <c:v>41487</c:v>
                </c:pt>
                <c:pt idx="2">
                  <c:v>41518</c:v>
                </c:pt>
                <c:pt idx="3">
                  <c:v>41548</c:v>
                </c:pt>
                <c:pt idx="4">
                  <c:v>41579</c:v>
                </c:pt>
                <c:pt idx="5">
                  <c:v>41609</c:v>
                </c:pt>
                <c:pt idx="6">
                  <c:v>41640</c:v>
                </c:pt>
                <c:pt idx="7">
                  <c:v>41671</c:v>
                </c:pt>
                <c:pt idx="8">
                  <c:v>41699</c:v>
                </c:pt>
                <c:pt idx="9">
                  <c:v>41730</c:v>
                </c:pt>
                <c:pt idx="10">
                  <c:v>41760</c:v>
                </c:pt>
                <c:pt idx="11">
                  <c:v>41791</c:v>
                </c:pt>
                <c:pt idx="12">
                  <c:v>41821</c:v>
                </c:pt>
                <c:pt idx="13">
                  <c:v>41852</c:v>
                </c:pt>
              </c:numCache>
            </c:numRef>
          </c:cat>
          <c:val>
            <c:numRef>
              <c:f>Sheet1!$P$13:$P$26</c:f>
              <c:numCache>
                <c:formatCode>#,##0.0</c:formatCode>
                <c:ptCount val="14"/>
                <c:pt idx="0">
                  <c:v>3.58573393</c:v>
                </c:pt>
                <c:pt idx="1">
                  <c:v>2.5209328800000002</c:v>
                </c:pt>
                <c:pt idx="2">
                  <c:v>3.7878732800000012</c:v>
                </c:pt>
                <c:pt idx="3">
                  <c:v>3.3226005299999977</c:v>
                </c:pt>
                <c:pt idx="4">
                  <c:v>2.88796629</c:v>
                </c:pt>
                <c:pt idx="5">
                  <c:v>2.4074474899999987</c:v>
                </c:pt>
                <c:pt idx="6">
                  <c:v>-2.7371999100000002</c:v>
                </c:pt>
                <c:pt idx="7">
                  <c:v>-0.70000000000000062</c:v>
                </c:pt>
                <c:pt idx="8">
                  <c:v>2.9</c:v>
                </c:pt>
                <c:pt idx="9">
                  <c:v>0.2</c:v>
                </c:pt>
                <c:pt idx="10">
                  <c:v>1</c:v>
                </c:pt>
                <c:pt idx="11">
                  <c:v>0.5</c:v>
                </c:pt>
                <c:pt idx="12">
                  <c:v>-0.9</c:v>
                </c:pt>
                <c:pt idx="13">
                  <c:v>-1.6</c:v>
                </c:pt>
              </c:numCache>
            </c:numRef>
          </c:val>
          <c:smooth val="0"/>
        </c:ser>
        <c:dLbls>
          <c:showLegendKey val="0"/>
          <c:showVal val="0"/>
          <c:showCatName val="0"/>
          <c:showSerName val="0"/>
          <c:showPercent val="0"/>
          <c:showBubbleSize val="0"/>
        </c:dLbls>
        <c:marker val="1"/>
        <c:smooth val="0"/>
        <c:axId val="85320448"/>
        <c:axId val="85321984"/>
      </c:lineChart>
      <c:dateAx>
        <c:axId val="85320448"/>
        <c:scaling>
          <c:orientation val="minMax"/>
        </c:scaling>
        <c:delete val="1"/>
        <c:axPos val="b"/>
        <c:numFmt formatCode="yyyy&quot;年&quot;m&quot;月&quot;" sourceLinked="1"/>
        <c:majorTickMark val="none"/>
        <c:minorTickMark val="none"/>
        <c:tickLblPos val="none"/>
        <c:crossAx val="85321984"/>
        <c:crosses val="autoZero"/>
        <c:auto val="1"/>
        <c:lblOffset val="100"/>
        <c:baseTimeUnit val="months"/>
      </c:dateAx>
      <c:valAx>
        <c:axId val="85321984"/>
        <c:scaling>
          <c:orientation val="minMax"/>
        </c:scaling>
        <c:delete val="0"/>
        <c:axPos val="l"/>
        <c:majorGridlines/>
        <c:title>
          <c:tx>
            <c:rich>
              <a:bodyPr rot="0" vert="horz"/>
              <a:lstStyle/>
              <a:p>
                <a:pPr>
                  <a:defRPr sz="800" b="0"/>
                </a:pPr>
                <a:r>
                  <a:rPr lang="en-US" altLang="ja-JP" sz="800" b="0"/>
                  <a:t>(%)</a:t>
                </a:r>
                <a:endParaRPr lang="ja-JP" altLang="en-US" sz="800" b="0"/>
              </a:p>
            </c:rich>
          </c:tx>
          <c:layout>
            <c:manualLayout>
              <c:xMode val="edge"/>
              <c:yMode val="edge"/>
              <c:x val="6.9677775517912682E-2"/>
              <c:y val="5.1554240782576276E-2"/>
            </c:manualLayout>
          </c:layout>
          <c:overlay val="0"/>
        </c:title>
        <c:numFmt formatCode="#,##0.0" sourceLinked="1"/>
        <c:majorTickMark val="none"/>
        <c:minorTickMark val="none"/>
        <c:tickLblPos val="nextTo"/>
        <c:txPr>
          <a:bodyPr/>
          <a:lstStyle/>
          <a:p>
            <a:pPr>
              <a:defRPr sz="900"/>
            </a:pPr>
            <a:endParaRPr lang="ja-JP"/>
          </a:p>
        </c:txPr>
        <c:crossAx val="85320448"/>
        <c:crosses val="autoZero"/>
        <c:crossBetween val="between"/>
      </c:valAx>
      <c:dTable>
        <c:showHorzBorder val="1"/>
        <c:showVertBorder val="1"/>
        <c:showOutline val="1"/>
        <c:showKeys val="1"/>
        <c:txPr>
          <a:bodyPr/>
          <a:lstStyle/>
          <a:p>
            <a:pPr rtl="0">
              <a:defRPr sz="800"/>
            </a:pPr>
            <a:endParaRPr lang="ja-JP"/>
          </a:p>
        </c:txPr>
      </c:dTable>
    </c:plotArea>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lgn="l">
              <a:defRPr sz="900" b="0" i="0" u="none" strike="noStrike" baseline="0">
                <a:solidFill>
                  <a:srgbClr val="000000"/>
                </a:solidFill>
                <a:latin typeface="ＭＳ Ｐゴシック"/>
                <a:ea typeface="ＭＳ Ｐゴシック"/>
                <a:cs typeface="ＭＳ Ｐゴシック"/>
              </a:defRPr>
            </a:pPr>
            <a:r>
              <a:rPr lang="ja-JP" altLang="en-US" sz="900" b="1" i="0" u="none" strike="noStrike" baseline="0">
                <a:solidFill>
                  <a:srgbClr val="000000"/>
                </a:solidFill>
                <a:latin typeface="ＭＳ Ｐゴシック"/>
                <a:ea typeface="ＭＳ Ｐゴシック"/>
              </a:rPr>
              <a:t>表</a:t>
            </a:r>
            <a:r>
              <a:rPr lang="en-US" altLang="ja-JP" sz="900" b="1" i="0" u="none" strike="noStrike" baseline="0">
                <a:solidFill>
                  <a:srgbClr val="000000"/>
                </a:solidFill>
                <a:latin typeface="ＭＳ Ｐゴシック"/>
                <a:ea typeface="ＭＳ Ｐゴシック"/>
              </a:rPr>
              <a:t>6</a:t>
            </a:r>
            <a:r>
              <a:rPr lang="ja-JP" altLang="en-US" sz="900" b="1" i="0" u="none" strike="noStrike" baseline="0">
                <a:solidFill>
                  <a:srgbClr val="000000"/>
                </a:solidFill>
                <a:latin typeface="ＭＳ Ｐゴシック"/>
                <a:ea typeface="ＭＳ Ｐゴシック"/>
              </a:rPr>
              <a:t>　財政収支</a:t>
            </a:r>
            <a:r>
              <a:rPr lang="en-US" altLang="ja-JP" sz="900" b="1" i="0" u="none" strike="noStrike" baseline="0">
                <a:solidFill>
                  <a:srgbClr val="000000"/>
                </a:solidFill>
                <a:latin typeface="ＭＳ Ｐゴシック"/>
                <a:ea typeface="ＭＳ Ｐゴシック"/>
              </a:rPr>
              <a:t>(</a:t>
            </a:r>
            <a:r>
              <a:rPr lang="ja-JP" altLang="en-US" sz="900" b="1" i="0" u="none" strike="noStrike" baseline="0">
                <a:solidFill>
                  <a:srgbClr val="000000"/>
                </a:solidFill>
                <a:latin typeface="ＭＳ Ｐゴシック"/>
                <a:ea typeface="ＭＳ Ｐゴシック"/>
              </a:rPr>
              <a:t>中央政府）</a:t>
            </a:r>
            <a:endParaRPr lang="en-US" altLang="ja-JP" sz="900" b="1" i="0" u="none" strike="noStrike" baseline="0">
              <a:solidFill>
                <a:srgbClr val="000000"/>
              </a:solidFill>
              <a:latin typeface="ＭＳ Ｐゴシック"/>
              <a:ea typeface="ＭＳ Ｐゴシック"/>
            </a:endParaRPr>
          </a:p>
          <a:p>
            <a:pPr algn="l">
              <a:defRPr sz="900" b="0" i="0" u="none" strike="noStrike" baseline="0">
                <a:solidFill>
                  <a:srgbClr val="000000"/>
                </a:solidFill>
                <a:latin typeface="ＭＳ Ｐゴシック"/>
                <a:ea typeface="ＭＳ Ｐゴシック"/>
                <a:cs typeface="ＭＳ Ｐゴシック"/>
              </a:defRPr>
            </a:pPr>
            <a:r>
              <a:rPr lang="ja-JP" altLang="en-US" sz="900" b="1" i="0" u="none" strike="noStrike" baseline="0">
                <a:solidFill>
                  <a:srgbClr val="000000"/>
                </a:solidFill>
                <a:latin typeface="ＭＳ Ｐゴシック"/>
                <a:ea typeface="ＭＳ Ｐゴシック"/>
              </a:rPr>
              <a:t>累計比較</a:t>
            </a:r>
          </a:p>
        </c:rich>
      </c:tx>
      <c:layout>
        <c:manualLayout>
          <c:xMode val="edge"/>
          <c:yMode val="edge"/>
          <c:x val="0.27570308689211009"/>
          <c:y val="1.2678534738156702E-2"/>
        </c:manualLayout>
      </c:layout>
      <c:overlay val="0"/>
      <c:spPr>
        <a:noFill/>
        <a:ln w="25400">
          <a:noFill/>
        </a:ln>
      </c:spPr>
    </c:title>
    <c:autoTitleDeleted val="0"/>
    <c:plotArea>
      <c:layout>
        <c:manualLayout>
          <c:layoutTarget val="inner"/>
          <c:xMode val="edge"/>
          <c:yMode val="edge"/>
          <c:x val="0.19134886692431866"/>
          <c:y val="0.13020090933195888"/>
          <c:w val="0.50352346200627351"/>
          <c:h val="0.51423125810289683"/>
        </c:manualLayout>
      </c:layout>
      <c:barChart>
        <c:barDir val="col"/>
        <c:grouping val="clustered"/>
        <c:varyColors val="0"/>
        <c:ser>
          <c:idx val="0"/>
          <c:order val="0"/>
          <c:tx>
            <c:strRef>
              <c:f>'2014主要経済指標'!$L$203</c:f>
              <c:strCache>
                <c:ptCount val="1"/>
                <c:pt idx="0">
                  <c:v>歳入</c:v>
                </c:pt>
              </c:strCache>
            </c:strRef>
          </c:tx>
          <c:spPr>
            <a:solidFill>
              <a:srgbClr val="99CCFF"/>
            </a:solidFill>
            <a:ln w="25400">
              <a:noFill/>
            </a:ln>
          </c:spPr>
          <c:invertIfNegative val="0"/>
          <c:cat>
            <c:numRef>
              <c:f>'2014主要経済指標'!$M$202:$N$202</c:f>
              <c:numCache>
                <c:formatCode>yyyy"年"m"月";@</c:formatCode>
                <c:ptCount val="2"/>
                <c:pt idx="0">
                  <c:v>41456</c:v>
                </c:pt>
                <c:pt idx="1">
                  <c:v>41821</c:v>
                </c:pt>
              </c:numCache>
            </c:numRef>
          </c:cat>
          <c:val>
            <c:numRef>
              <c:f>'2014主要経済指標'!$M$203:$N$203</c:f>
              <c:numCache>
                <c:formatCode>#,##0.0;[Red]\-#,##0.0</c:formatCode>
                <c:ptCount val="2"/>
                <c:pt idx="0">
                  <c:v>1941016.1</c:v>
                </c:pt>
                <c:pt idx="1">
                  <c:v>2086118.6</c:v>
                </c:pt>
              </c:numCache>
            </c:numRef>
          </c:val>
        </c:ser>
        <c:ser>
          <c:idx val="1"/>
          <c:order val="1"/>
          <c:tx>
            <c:strRef>
              <c:f>'2014主要経済指標'!$L$204</c:f>
              <c:strCache>
                <c:ptCount val="1"/>
                <c:pt idx="0">
                  <c:v>歳出</c:v>
                </c:pt>
              </c:strCache>
            </c:strRef>
          </c:tx>
          <c:spPr>
            <a:solidFill>
              <a:srgbClr val="CC99FF"/>
            </a:solidFill>
            <a:ln w="25400">
              <a:noFill/>
            </a:ln>
          </c:spPr>
          <c:invertIfNegative val="0"/>
          <c:cat>
            <c:numRef>
              <c:f>'2014主要経済指標'!$M$202:$N$202</c:f>
              <c:numCache>
                <c:formatCode>yyyy"年"m"月";@</c:formatCode>
                <c:ptCount val="2"/>
                <c:pt idx="0">
                  <c:v>41456</c:v>
                </c:pt>
                <c:pt idx="1">
                  <c:v>41821</c:v>
                </c:pt>
              </c:numCache>
            </c:numRef>
          </c:cat>
          <c:val>
            <c:numRef>
              <c:f>'2014主要経済指標'!$M$204:$N$204</c:f>
              <c:numCache>
                <c:formatCode>#,##0.0;[Red]\-#,##0.0</c:formatCode>
                <c:ptCount val="2"/>
                <c:pt idx="0">
                  <c:v>2678625.5</c:v>
                </c:pt>
                <c:pt idx="1">
                  <c:v>2941101.1</c:v>
                </c:pt>
              </c:numCache>
            </c:numRef>
          </c:val>
        </c:ser>
        <c:ser>
          <c:idx val="2"/>
          <c:order val="2"/>
          <c:tx>
            <c:strRef>
              <c:f>'2014主要経済指標'!$L$205</c:f>
              <c:strCache>
                <c:ptCount val="1"/>
                <c:pt idx="0">
                  <c:v>財政収支</c:v>
                </c:pt>
              </c:strCache>
            </c:strRef>
          </c:tx>
          <c:spPr>
            <a:solidFill>
              <a:srgbClr val="800000"/>
            </a:solidFill>
            <a:ln w="25400">
              <a:noFill/>
            </a:ln>
          </c:spPr>
          <c:invertIfNegative val="0"/>
          <c:cat>
            <c:numRef>
              <c:f>'2014主要経済指標'!$M$202:$N$202</c:f>
              <c:numCache>
                <c:formatCode>yyyy"年"m"月";@</c:formatCode>
                <c:ptCount val="2"/>
                <c:pt idx="0">
                  <c:v>41456</c:v>
                </c:pt>
                <c:pt idx="1">
                  <c:v>41821</c:v>
                </c:pt>
              </c:numCache>
            </c:numRef>
          </c:cat>
          <c:val>
            <c:numRef>
              <c:f>'2014主要経済指標'!$M$205:$N$205</c:f>
              <c:numCache>
                <c:formatCode>#,##0.0;[Red]\-#,##0.0</c:formatCode>
                <c:ptCount val="2"/>
                <c:pt idx="0">
                  <c:v>-737609.39999999898</c:v>
                </c:pt>
                <c:pt idx="1">
                  <c:v>-854982.5</c:v>
                </c:pt>
              </c:numCache>
            </c:numRef>
          </c:val>
        </c:ser>
        <c:dLbls>
          <c:showLegendKey val="0"/>
          <c:showVal val="0"/>
          <c:showCatName val="0"/>
          <c:showSerName val="0"/>
          <c:showPercent val="0"/>
          <c:showBubbleSize val="0"/>
        </c:dLbls>
        <c:gapWidth val="150"/>
        <c:axId val="85377024"/>
        <c:axId val="85378560"/>
      </c:barChart>
      <c:lineChart>
        <c:grouping val="standard"/>
        <c:varyColors val="0"/>
        <c:ser>
          <c:idx val="3"/>
          <c:order val="3"/>
          <c:tx>
            <c:strRef>
              <c:f>'2014主要経済指標'!$L$206</c:f>
              <c:strCache>
                <c:ptCount val="1"/>
                <c:pt idx="0">
                  <c:v>対GDP比</c:v>
                </c:pt>
              </c:strCache>
            </c:strRef>
          </c:tx>
          <c:spPr>
            <a:ln w="25400">
              <a:solidFill>
                <a:srgbClr val="333399"/>
              </a:solidFill>
              <a:prstDash val="solid"/>
            </a:ln>
          </c:spPr>
          <c:marker>
            <c:symbol val="circle"/>
            <c:size val="7"/>
            <c:spPr>
              <a:solidFill>
                <a:srgbClr val="333399"/>
              </a:solidFill>
              <a:ln>
                <a:solidFill>
                  <a:srgbClr val="333399"/>
                </a:solidFill>
                <a:prstDash val="solid"/>
              </a:ln>
            </c:spPr>
          </c:marker>
          <c:dLbls>
            <c:dLbl>
              <c:idx val="0"/>
              <c:layout>
                <c:manualLayout>
                  <c:x val="-6.2639695754205624E-2"/>
                  <c:y val="-5.8150642397918263E-2"/>
                </c:manualLayout>
              </c:layout>
              <c:dLblPos val="r"/>
              <c:showLegendKey val="0"/>
              <c:showVal val="1"/>
              <c:showCatName val="0"/>
              <c:showSerName val="0"/>
              <c:showPercent val="0"/>
              <c:showBubbleSize val="0"/>
            </c:dLbl>
            <c:dLbl>
              <c:idx val="1"/>
              <c:layout>
                <c:manualLayout>
                  <c:x val="-4.3024897330595391E-2"/>
                  <c:y val="-5.5395786677747333E-2"/>
                </c:manualLayout>
              </c:layout>
              <c:showLegendKey val="0"/>
              <c:showVal val="1"/>
              <c:showCatName val="0"/>
              <c:showSerName val="0"/>
              <c:showPercent val="0"/>
              <c:showBubbleSize val="0"/>
            </c:dLbl>
            <c:spPr>
              <a:noFill/>
              <a:ln w="25400">
                <a:noFill/>
              </a:ln>
            </c:spPr>
            <c:txPr>
              <a:bodyPr/>
              <a:lstStyle/>
              <a:p>
                <a:pPr>
                  <a:defRPr sz="1000" b="1" i="0" u="none" strike="noStrike" baseline="0">
                    <a:solidFill>
                      <a:srgbClr val="000000"/>
                    </a:solidFill>
                    <a:latin typeface="Calibri"/>
                    <a:ea typeface="Calibri"/>
                    <a:cs typeface="Calibri"/>
                  </a:defRPr>
                </a:pPr>
                <a:endParaRPr lang="ja-JP"/>
              </a:p>
            </c:txPr>
            <c:showLegendKey val="0"/>
            <c:showVal val="1"/>
            <c:showCatName val="0"/>
            <c:showSerName val="0"/>
            <c:showPercent val="0"/>
            <c:showBubbleSize val="0"/>
            <c:showLeaderLines val="0"/>
          </c:dLbls>
          <c:cat>
            <c:numRef>
              <c:f>'2014主要経済指標'!$M$202:$N$202</c:f>
              <c:numCache>
                <c:formatCode>yyyy"年"m"月";@</c:formatCode>
                <c:ptCount val="2"/>
                <c:pt idx="0">
                  <c:v>41456</c:v>
                </c:pt>
                <c:pt idx="1">
                  <c:v>41821</c:v>
                </c:pt>
              </c:numCache>
            </c:numRef>
          </c:cat>
          <c:val>
            <c:numRef>
              <c:f>'2014主要経済指標'!$M$206:$N$206</c:f>
              <c:numCache>
                <c:formatCode>0.0%</c:formatCode>
                <c:ptCount val="2"/>
                <c:pt idx="0">
                  <c:v>-3.0000000000000002E-2</c:v>
                </c:pt>
                <c:pt idx="1">
                  <c:v>-3.1000000000000052E-2</c:v>
                </c:pt>
              </c:numCache>
            </c:numRef>
          </c:val>
          <c:smooth val="0"/>
        </c:ser>
        <c:dLbls>
          <c:showLegendKey val="0"/>
          <c:showVal val="0"/>
          <c:showCatName val="0"/>
          <c:showSerName val="0"/>
          <c:showPercent val="0"/>
          <c:showBubbleSize val="0"/>
        </c:dLbls>
        <c:marker val="1"/>
        <c:smooth val="0"/>
        <c:axId val="85380480"/>
        <c:axId val="85386368"/>
      </c:lineChart>
      <c:catAx>
        <c:axId val="85377024"/>
        <c:scaling>
          <c:orientation val="minMax"/>
        </c:scaling>
        <c:delete val="0"/>
        <c:axPos val="b"/>
        <c:numFmt formatCode="yyyy&quot;年&quot;m&quot;月&quot;;@" sourceLinked="1"/>
        <c:majorTickMark val="in"/>
        <c:minorTickMark val="none"/>
        <c:tickLblPos val="low"/>
        <c:spPr>
          <a:ln w="3175">
            <a:solidFill>
              <a:srgbClr val="000000"/>
            </a:solidFill>
            <a:prstDash val="solid"/>
          </a:ln>
        </c:spPr>
        <c:txPr>
          <a:bodyPr rot="0" vert="horz"/>
          <a:lstStyle/>
          <a:p>
            <a:pPr>
              <a:defRPr sz="800" b="1" i="0" u="none" strike="noStrike" baseline="0">
                <a:solidFill>
                  <a:srgbClr val="000000"/>
                </a:solidFill>
                <a:latin typeface="ＭＳ Ｐゴシック"/>
                <a:ea typeface="ＭＳ Ｐゴシック"/>
                <a:cs typeface="ＭＳ Ｐゴシック"/>
              </a:defRPr>
            </a:pPr>
            <a:endParaRPr lang="ja-JP"/>
          </a:p>
        </c:txPr>
        <c:crossAx val="85378560"/>
        <c:crosses val="autoZero"/>
        <c:auto val="0"/>
        <c:lblAlgn val="ctr"/>
        <c:lblOffset val="100"/>
        <c:tickMarkSkip val="1"/>
        <c:noMultiLvlLbl val="0"/>
      </c:catAx>
      <c:valAx>
        <c:axId val="85378560"/>
        <c:scaling>
          <c:orientation val="minMax"/>
          <c:min val="-1000000"/>
        </c:scaling>
        <c:delete val="0"/>
        <c:axPos val="l"/>
        <c:majorGridlines>
          <c:spPr>
            <a:ln w="3175">
              <a:solidFill>
                <a:srgbClr val="000000"/>
              </a:solidFill>
              <a:prstDash val="sysDash"/>
            </a:ln>
          </c:spPr>
        </c:majorGridlines>
        <c:title>
          <c:tx>
            <c:rich>
              <a:bodyPr rot="0" vert="horz"/>
              <a:lstStyle/>
              <a:p>
                <a:pPr algn="ctr">
                  <a:defRPr sz="800" b="0" i="0" u="none" strike="noStrike" baseline="0">
                    <a:solidFill>
                      <a:srgbClr val="000000"/>
                    </a:solidFill>
                    <a:latin typeface="ＭＳ Ｐゴシック"/>
                    <a:ea typeface="ＭＳ Ｐゴシック"/>
                    <a:cs typeface="ＭＳ Ｐゴシック"/>
                  </a:defRPr>
                </a:pPr>
                <a:r>
                  <a:rPr lang="en-US" altLang="ja-JP" sz="800" b="0" i="0" u="none" strike="noStrike" baseline="0">
                    <a:solidFill>
                      <a:srgbClr val="000000"/>
                    </a:solidFill>
                    <a:latin typeface="ＭＳ Ｐゴシック"/>
                    <a:ea typeface="ＭＳ Ｐゴシック"/>
                  </a:rPr>
                  <a:t>(</a:t>
                </a:r>
                <a:r>
                  <a:rPr lang="ja-JP" altLang="en-US" sz="800" b="0" i="0" u="none" strike="noStrike" baseline="0">
                    <a:solidFill>
                      <a:srgbClr val="000000"/>
                    </a:solidFill>
                    <a:latin typeface="ＭＳ Ｐゴシック"/>
                    <a:ea typeface="ＭＳ Ｐゴシック"/>
                  </a:rPr>
                  <a:t>百万コロン）</a:t>
                </a:r>
              </a:p>
            </c:rich>
          </c:tx>
          <c:layout>
            <c:manualLayout>
              <c:xMode val="edge"/>
              <c:yMode val="edge"/>
              <c:x val="3.8966737234231504E-2"/>
              <c:y val="1.8448752632515948E-2"/>
            </c:manualLayout>
          </c:layout>
          <c:overlay val="0"/>
          <c:spPr>
            <a:noFill/>
            <a:ln w="25400">
              <a:noFill/>
            </a:ln>
          </c:spPr>
        </c:title>
        <c:numFmt formatCode="#,##0_);[Red]\(#,##0\)" sourceLinked="0"/>
        <c:majorTickMark val="in"/>
        <c:minorTickMark val="none"/>
        <c:tickLblPos val="nextTo"/>
        <c:spPr>
          <a:ln w="3175">
            <a:solidFill>
              <a:srgbClr val="000000"/>
            </a:solidFill>
            <a:prstDash val="solid"/>
          </a:ln>
        </c:spPr>
        <c:txPr>
          <a:bodyPr rot="0" vert="horz"/>
          <a:lstStyle/>
          <a:p>
            <a:pPr>
              <a:defRPr sz="900" b="0" i="0" u="none" strike="noStrike" baseline="0">
                <a:solidFill>
                  <a:srgbClr val="000000"/>
                </a:solidFill>
                <a:latin typeface="Calibri"/>
                <a:ea typeface="Calibri"/>
                <a:cs typeface="Calibri"/>
              </a:defRPr>
            </a:pPr>
            <a:endParaRPr lang="ja-JP"/>
          </a:p>
        </c:txPr>
        <c:crossAx val="85377024"/>
        <c:crosses val="autoZero"/>
        <c:crossBetween val="between"/>
        <c:majorUnit val="500000"/>
      </c:valAx>
      <c:dateAx>
        <c:axId val="85380480"/>
        <c:scaling>
          <c:orientation val="minMax"/>
        </c:scaling>
        <c:delete val="1"/>
        <c:axPos val="t"/>
        <c:numFmt formatCode="yyyy&quot;年&quot;m&quot;月&quot;;@" sourceLinked="1"/>
        <c:majorTickMark val="out"/>
        <c:minorTickMark val="none"/>
        <c:tickLblPos val="none"/>
        <c:crossAx val="85386368"/>
        <c:crosses val="autoZero"/>
        <c:auto val="1"/>
        <c:lblOffset val="100"/>
        <c:baseTimeUnit val="years"/>
      </c:dateAx>
      <c:valAx>
        <c:axId val="85386368"/>
        <c:scaling>
          <c:orientation val="maxMin"/>
          <c:max val="5.0000000000000114E-3"/>
          <c:min val="-0.05"/>
        </c:scaling>
        <c:delete val="0"/>
        <c:axPos val="r"/>
        <c:title>
          <c:tx>
            <c:rich>
              <a:bodyPr rot="0" vert="horz"/>
              <a:lstStyle/>
              <a:p>
                <a:pPr>
                  <a:defRPr sz="800"/>
                </a:pPr>
                <a:r>
                  <a:rPr lang="ja-JP" altLang="en-US" sz="800"/>
                  <a:t>対</a:t>
                </a:r>
                <a:r>
                  <a:rPr lang="en-US" altLang="ja-JP" sz="800"/>
                  <a:t>GDP</a:t>
                </a:r>
                <a:r>
                  <a:rPr lang="ja-JP" altLang="en-US" sz="800"/>
                  <a:t>比</a:t>
                </a:r>
              </a:p>
            </c:rich>
          </c:tx>
          <c:layout>
            <c:manualLayout>
              <c:xMode val="edge"/>
              <c:yMode val="edge"/>
              <c:x val="0.79180500286926503"/>
              <c:y val="5.1881301722530589E-2"/>
            </c:manualLayout>
          </c:layout>
          <c:overlay val="0"/>
        </c:title>
        <c:numFmt formatCode="0.0%" sourceLinked="1"/>
        <c:majorTickMark val="in"/>
        <c:minorTickMark val="none"/>
        <c:tickLblPos val="nextTo"/>
        <c:spPr>
          <a:ln w="3175">
            <a:solidFill>
              <a:srgbClr val="000000"/>
            </a:solidFill>
            <a:prstDash val="solid"/>
          </a:ln>
        </c:spPr>
        <c:txPr>
          <a:bodyPr rot="0" vert="horz"/>
          <a:lstStyle/>
          <a:p>
            <a:pPr>
              <a:defRPr sz="900" b="0" i="0" u="none" strike="noStrike" baseline="0">
                <a:solidFill>
                  <a:srgbClr val="000000"/>
                </a:solidFill>
                <a:latin typeface="Calibri"/>
                <a:ea typeface="Calibri"/>
                <a:cs typeface="Calibri"/>
              </a:defRPr>
            </a:pPr>
            <a:endParaRPr lang="ja-JP"/>
          </a:p>
        </c:txPr>
        <c:crossAx val="85380480"/>
        <c:crosses val="max"/>
        <c:crossBetween val="between"/>
        <c:majorUnit val="1.0000000000000005E-2"/>
      </c:valAx>
      <c:dTable>
        <c:showHorzBorder val="1"/>
        <c:showVertBorder val="1"/>
        <c:showOutline val="1"/>
        <c:showKeys val="1"/>
        <c:spPr>
          <a:ln w="3175">
            <a:solidFill>
              <a:srgbClr val="000000"/>
            </a:solidFill>
            <a:prstDash val="solid"/>
          </a:ln>
        </c:spPr>
        <c:txPr>
          <a:bodyPr/>
          <a:lstStyle/>
          <a:p>
            <a:pPr rtl="0">
              <a:defRPr sz="800" b="0" i="0" u="none" strike="noStrike" baseline="0">
                <a:solidFill>
                  <a:srgbClr val="000000"/>
                </a:solidFill>
                <a:latin typeface="Arial"/>
                <a:ea typeface="Arial"/>
                <a:cs typeface="Arial"/>
              </a:defRPr>
            </a:pPr>
            <a:endParaRPr lang="ja-JP"/>
          </a:p>
        </c:txPr>
      </c:dTable>
      <c:spPr>
        <a:noFill/>
        <a:ln w="12700">
          <a:solidFill>
            <a:srgbClr val="808080"/>
          </a:solidFill>
          <a:prstDash val="solid"/>
        </a:ln>
      </c:spPr>
    </c:plotArea>
    <c:plotVisOnly val="1"/>
    <c:dispBlanksAs val="gap"/>
    <c:showDLblsOverMax val="0"/>
  </c:chart>
  <c:spPr>
    <a:solidFill>
      <a:srgbClr val="FFFFFF"/>
    </a:solidFill>
    <a:ln w="3175">
      <a:solidFill>
        <a:srgbClr val="000000"/>
      </a:solidFill>
      <a:prstDash val="solid"/>
    </a:ln>
  </c:spPr>
  <c:txPr>
    <a:bodyPr/>
    <a:lstStyle/>
    <a:p>
      <a:pPr>
        <a:defRPr sz="1000" b="0" i="0" u="none" strike="noStrike" baseline="0">
          <a:solidFill>
            <a:srgbClr val="000000"/>
          </a:solidFill>
          <a:latin typeface="ＭＳ Ｐゴシック"/>
          <a:ea typeface="ＭＳ Ｐゴシック"/>
          <a:cs typeface="ＭＳ Ｐゴシック"/>
        </a:defRPr>
      </a:pPr>
      <a:endParaRPr lang="ja-JP"/>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lgn="l">
              <a:defRPr sz="900" b="0" i="0" u="none" strike="noStrike" baseline="0">
                <a:solidFill>
                  <a:srgbClr val="000000"/>
                </a:solidFill>
                <a:latin typeface="ＭＳ Ｐゴシック"/>
                <a:ea typeface="ＭＳ Ｐゴシック"/>
                <a:cs typeface="ＭＳ Ｐゴシック"/>
              </a:defRPr>
            </a:pPr>
            <a:r>
              <a:rPr lang="ja-JP" altLang="en-US" sz="900" b="1" i="0" u="none" strike="noStrike" baseline="0">
                <a:solidFill>
                  <a:srgbClr val="000000"/>
                </a:solidFill>
                <a:latin typeface="ＭＳ Ｐゴシック"/>
                <a:ea typeface="ＭＳ Ｐゴシック"/>
              </a:rPr>
              <a:t>表</a:t>
            </a:r>
            <a:r>
              <a:rPr lang="en-US" altLang="ja-JP" sz="900" b="1" i="0" u="none" strike="noStrike" baseline="0">
                <a:solidFill>
                  <a:srgbClr val="000000"/>
                </a:solidFill>
                <a:latin typeface="ＭＳ Ｐゴシック"/>
                <a:ea typeface="ＭＳ Ｐゴシック"/>
              </a:rPr>
              <a:t>7</a:t>
            </a:r>
            <a:r>
              <a:rPr lang="ja-JP" altLang="en-US" sz="900" b="1" i="0" u="none" strike="noStrike" baseline="0">
                <a:solidFill>
                  <a:srgbClr val="000000"/>
                </a:solidFill>
                <a:latin typeface="ＭＳ Ｐゴシック"/>
                <a:ea typeface="ＭＳ Ｐゴシック"/>
              </a:rPr>
              <a:t>　財政収支</a:t>
            </a:r>
            <a:r>
              <a:rPr lang="en-US" altLang="ja-JP" sz="900" b="1" i="0" u="none" strike="noStrike" baseline="0">
                <a:solidFill>
                  <a:srgbClr val="000000"/>
                </a:solidFill>
                <a:latin typeface="ＭＳ Ｐゴシック"/>
                <a:ea typeface="ＭＳ Ｐゴシック"/>
              </a:rPr>
              <a:t>(</a:t>
            </a:r>
            <a:r>
              <a:rPr lang="ja-JP" altLang="en-US" sz="900" b="1" i="0" u="none" strike="noStrike" baseline="0">
                <a:solidFill>
                  <a:srgbClr val="000000"/>
                </a:solidFill>
                <a:latin typeface="ＭＳ Ｐゴシック"/>
                <a:ea typeface="ＭＳ Ｐゴシック"/>
              </a:rPr>
              <a:t>中央政府）</a:t>
            </a:r>
            <a:endParaRPr lang="en-US" altLang="ja-JP" sz="900" b="1" i="0" u="none" strike="noStrike" baseline="0">
              <a:solidFill>
                <a:srgbClr val="000000"/>
              </a:solidFill>
              <a:latin typeface="ＭＳ Ｐゴシック"/>
              <a:ea typeface="ＭＳ Ｐゴシック"/>
            </a:endParaRPr>
          </a:p>
          <a:p>
            <a:pPr algn="l">
              <a:defRPr sz="900" b="0" i="0" u="none" strike="noStrike" baseline="0">
                <a:solidFill>
                  <a:srgbClr val="000000"/>
                </a:solidFill>
                <a:latin typeface="ＭＳ Ｐゴシック"/>
                <a:ea typeface="ＭＳ Ｐゴシック"/>
                <a:cs typeface="ＭＳ Ｐゴシック"/>
              </a:defRPr>
            </a:pPr>
            <a:r>
              <a:rPr lang="ja-JP" altLang="en-US" sz="900" b="1" i="0" u="none" strike="noStrike" baseline="0">
                <a:solidFill>
                  <a:srgbClr val="000000"/>
                </a:solidFill>
                <a:latin typeface="ＭＳ Ｐゴシック"/>
                <a:ea typeface="ＭＳ Ｐゴシック"/>
              </a:rPr>
              <a:t>累計比較</a:t>
            </a:r>
          </a:p>
        </c:rich>
      </c:tx>
      <c:layout>
        <c:manualLayout>
          <c:xMode val="edge"/>
          <c:yMode val="edge"/>
          <c:x val="0.27570308689211009"/>
          <c:y val="1.2678534738156702E-2"/>
        </c:manualLayout>
      </c:layout>
      <c:overlay val="0"/>
      <c:spPr>
        <a:noFill/>
        <a:ln w="25400">
          <a:noFill/>
        </a:ln>
      </c:spPr>
    </c:title>
    <c:autoTitleDeleted val="0"/>
    <c:plotArea>
      <c:layout>
        <c:manualLayout>
          <c:layoutTarget val="inner"/>
          <c:xMode val="edge"/>
          <c:yMode val="edge"/>
          <c:x val="0.19134886692431866"/>
          <c:y val="0.13020090933195888"/>
          <c:w val="0.52807885856373282"/>
          <c:h val="0.58265451010056368"/>
        </c:manualLayout>
      </c:layout>
      <c:barChart>
        <c:barDir val="col"/>
        <c:grouping val="clustered"/>
        <c:varyColors val="0"/>
        <c:ser>
          <c:idx val="0"/>
          <c:order val="0"/>
          <c:tx>
            <c:strRef>
              <c:f>'2014主要経済指標'!$L$203</c:f>
              <c:strCache>
                <c:ptCount val="1"/>
                <c:pt idx="0">
                  <c:v>歳入</c:v>
                </c:pt>
              </c:strCache>
            </c:strRef>
          </c:tx>
          <c:spPr>
            <a:solidFill>
              <a:srgbClr val="99CCFF"/>
            </a:solidFill>
            <a:ln w="25400">
              <a:noFill/>
            </a:ln>
          </c:spPr>
          <c:invertIfNegative val="0"/>
          <c:cat>
            <c:numRef>
              <c:f>'2014主要経済指標'!$M$202:$N$202</c:f>
              <c:numCache>
                <c:formatCode>yyyy"年"m"月";@</c:formatCode>
                <c:ptCount val="2"/>
                <c:pt idx="0">
                  <c:v>41487</c:v>
                </c:pt>
                <c:pt idx="1">
                  <c:v>41852</c:v>
                </c:pt>
              </c:numCache>
            </c:numRef>
          </c:cat>
          <c:val>
            <c:numRef>
              <c:f>'2014主要経済指標'!$M$203:$N$203</c:f>
              <c:numCache>
                <c:formatCode>#,##0.0;[Red]\-#,##0.0</c:formatCode>
                <c:ptCount val="2"/>
                <c:pt idx="0">
                  <c:v>2178828.6</c:v>
                </c:pt>
                <c:pt idx="1">
                  <c:v>2345026.2000000002</c:v>
                </c:pt>
              </c:numCache>
            </c:numRef>
          </c:val>
        </c:ser>
        <c:ser>
          <c:idx val="1"/>
          <c:order val="1"/>
          <c:tx>
            <c:strRef>
              <c:f>'2014主要経済指標'!$L$204</c:f>
              <c:strCache>
                <c:ptCount val="1"/>
                <c:pt idx="0">
                  <c:v>歳出</c:v>
                </c:pt>
              </c:strCache>
            </c:strRef>
          </c:tx>
          <c:spPr>
            <a:solidFill>
              <a:srgbClr val="CC99FF"/>
            </a:solidFill>
            <a:ln w="25400">
              <a:noFill/>
            </a:ln>
          </c:spPr>
          <c:invertIfNegative val="0"/>
          <c:cat>
            <c:numRef>
              <c:f>'2014主要経済指標'!$M$202:$N$202</c:f>
              <c:numCache>
                <c:formatCode>yyyy"年"m"月";@</c:formatCode>
                <c:ptCount val="2"/>
                <c:pt idx="0">
                  <c:v>41487</c:v>
                </c:pt>
                <c:pt idx="1">
                  <c:v>41852</c:v>
                </c:pt>
              </c:numCache>
            </c:numRef>
          </c:cat>
          <c:val>
            <c:numRef>
              <c:f>'2014主要経済指標'!$M$204:$N$204</c:f>
              <c:numCache>
                <c:formatCode>#,##0.0;[Red]\-#,##0.0</c:formatCode>
                <c:ptCount val="2"/>
                <c:pt idx="0">
                  <c:v>3020309.9</c:v>
                </c:pt>
                <c:pt idx="1">
                  <c:v>3282513</c:v>
                </c:pt>
              </c:numCache>
            </c:numRef>
          </c:val>
        </c:ser>
        <c:ser>
          <c:idx val="2"/>
          <c:order val="2"/>
          <c:tx>
            <c:strRef>
              <c:f>'2014主要経済指標'!$L$205</c:f>
              <c:strCache>
                <c:ptCount val="1"/>
                <c:pt idx="0">
                  <c:v>財政収支</c:v>
                </c:pt>
              </c:strCache>
            </c:strRef>
          </c:tx>
          <c:spPr>
            <a:solidFill>
              <a:srgbClr val="800000"/>
            </a:solidFill>
            <a:ln w="25400">
              <a:noFill/>
            </a:ln>
          </c:spPr>
          <c:invertIfNegative val="0"/>
          <c:cat>
            <c:numRef>
              <c:f>'2014主要経済指標'!$M$202:$N$202</c:f>
              <c:numCache>
                <c:formatCode>yyyy"年"m"月";@</c:formatCode>
                <c:ptCount val="2"/>
                <c:pt idx="0">
                  <c:v>41487</c:v>
                </c:pt>
                <c:pt idx="1">
                  <c:v>41852</c:v>
                </c:pt>
              </c:numCache>
            </c:numRef>
          </c:cat>
          <c:val>
            <c:numRef>
              <c:f>'2014主要経済指標'!$M$205:$N$205</c:f>
              <c:numCache>
                <c:formatCode>#,##0.0;[Red]\-#,##0.0</c:formatCode>
                <c:ptCount val="2"/>
                <c:pt idx="0">
                  <c:v>-841481.29999999667</c:v>
                </c:pt>
                <c:pt idx="1">
                  <c:v>-937486.79999999667</c:v>
                </c:pt>
              </c:numCache>
            </c:numRef>
          </c:val>
        </c:ser>
        <c:dLbls>
          <c:showLegendKey val="0"/>
          <c:showVal val="0"/>
          <c:showCatName val="0"/>
          <c:showSerName val="0"/>
          <c:showPercent val="0"/>
          <c:showBubbleSize val="0"/>
        </c:dLbls>
        <c:gapWidth val="150"/>
        <c:axId val="85772544"/>
        <c:axId val="85782528"/>
      </c:barChart>
      <c:lineChart>
        <c:grouping val="standard"/>
        <c:varyColors val="0"/>
        <c:ser>
          <c:idx val="3"/>
          <c:order val="3"/>
          <c:tx>
            <c:strRef>
              <c:f>'2014主要経済指標'!$L$206</c:f>
              <c:strCache>
                <c:ptCount val="1"/>
                <c:pt idx="0">
                  <c:v>対GDP比</c:v>
                </c:pt>
              </c:strCache>
            </c:strRef>
          </c:tx>
          <c:spPr>
            <a:ln w="25400">
              <a:solidFill>
                <a:srgbClr val="333399"/>
              </a:solidFill>
              <a:prstDash val="solid"/>
            </a:ln>
          </c:spPr>
          <c:marker>
            <c:symbol val="circle"/>
            <c:size val="7"/>
            <c:spPr>
              <a:solidFill>
                <a:srgbClr val="333399"/>
              </a:solidFill>
              <a:ln>
                <a:solidFill>
                  <a:srgbClr val="333399"/>
                </a:solidFill>
                <a:prstDash val="solid"/>
              </a:ln>
            </c:spPr>
          </c:marker>
          <c:dLbls>
            <c:dLbl>
              <c:idx val="0"/>
              <c:layout>
                <c:manualLayout>
                  <c:x val="-6.2639695754205624E-2"/>
                  <c:y val="-5.8150642397918263E-2"/>
                </c:manualLayout>
              </c:layout>
              <c:dLblPos val="r"/>
              <c:showLegendKey val="0"/>
              <c:showVal val="1"/>
              <c:showCatName val="0"/>
              <c:showSerName val="0"/>
              <c:showPercent val="0"/>
              <c:showBubbleSize val="0"/>
            </c:dLbl>
            <c:dLbl>
              <c:idx val="1"/>
              <c:layout>
                <c:manualLayout>
                  <c:x val="-4.3024897330595391E-2"/>
                  <c:y val="-5.5395786677747333E-2"/>
                </c:manualLayout>
              </c:layout>
              <c:showLegendKey val="0"/>
              <c:showVal val="1"/>
              <c:showCatName val="0"/>
              <c:showSerName val="0"/>
              <c:showPercent val="0"/>
              <c:showBubbleSize val="0"/>
            </c:dLbl>
            <c:spPr>
              <a:noFill/>
              <a:ln w="25400">
                <a:noFill/>
              </a:ln>
            </c:spPr>
            <c:txPr>
              <a:bodyPr/>
              <a:lstStyle/>
              <a:p>
                <a:pPr>
                  <a:defRPr sz="800" b="1" i="0" u="none" strike="noStrike" baseline="0">
                    <a:solidFill>
                      <a:srgbClr val="000000"/>
                    </a:solidFill>
                    <a:latin typeface="Calibri"/>
                    <a:ea typeface="Calibri"/>
                    <a:cs typeface="Calibri"/>
                  </a:defRPr>
                </a:pPr>
                <a:endParaRPr lang="ja-JP"/>
              </a:p>
            </c:txPr>
            <c:showLegendKey val="0"/>
            <c:showVal val="1"/>
            <c:showCatName val="0"/>
            <c:showSerName val="0"/>
            <c:showPercent val="0"/>
            <c:showBubbleSize val="0"/>
            <c:showLeaderLines val="0"/>
          </c:dLbls>
          <c:cat>
            <c:numRef>
              <c:f>'2014主要経済指標'!$M$202:$N$202</c:f>
              <c:numCache>
                <c:formatCode>yyyy"年"m"月";@</c:formatCode>
                <c:ptCount val="2"/>
                <c:pt idx="0">
                  <c:v>41487</c:v>
                </c:pt>
                <c:pt idx="1">
                  <c:v>41852</c:v>
                </c:pt>
              </c:numCache>
            </c:numRef>
          </c:cat>
          <c:val>
            <c:numRef>
              <c:f>'2014主要経済指標'!$M$206:$N$206</c:f>
              <c:numCache>
                <c:formatCode>0.0%</c:formatCode>
                <c:ptCount val="2"/>
                <c:pt idx="0">
                  <c:v>-3.4000000000000002E-2</c:v>
                </c:pt>
                <c:pt idx="1">
                  <c:v>-3.4000000000000002E-2</c:v>
                </c:pt>
              </c:numCache>
            </c:numRef>
          </c:val>
          <c:smooth val="0"/>
        </c:ser>
        <c:dLbls>
          <c:showLegendKey val="0"/>
          <c:showVal val="0"/>
          <c:showCatName val="0"/>
          <c:showSerName val="0"/>
          <c:showPercent val="0"/>
          <c:showBubbleSize val="0"/>
        </c:dLbls>
        <c:marker val="1"/>
        <c:smooth val="0"/>
        <c:axId val="85784448"/>
        <c:axId val="85785984"/>
      </c:lineChart>
      <c:catAx>
        <c:axId val="85772544"/>
        <c:scaling>
          <c:orientation val="minMax"/>
        </c:scaling>
        <c:delete val="0"/>
        <c:axPos val="b"/>
        <c:numFmt formatCode="yyyy&quot;年&quot;m&quot;月&quot;;@" sourceLinked="1"/>
        <c:majorTickMark val="in"/>
        <c:minorTickMark val="none"/>
        <c:tickLblPos val="low"/>
        <c:spPr>
          <a:ln w="3175">
            <a:solidFill>
              <a:srgbClr val="000000"/>
            </a:solidFill>
            <a:prstDash val="solid"/>
          </a:ln>
        </c:spPr>
        <c:txPr>
          <a:bodyPr rot="0" vert="horz"/>
          <a:lstStyle/>
          <a:p>
            <a:pPr>
              <a:defRPr sz="800" b="1" i="0" u="none" strike="noStrike" baseline="0">
                <a:solidFill>
                  <a:srgbClr val="000000"/>
                </a:solidFill>
                <a:latin typeface="ＭＳ Ｐゴシック"/>
                <a:ea typeface="ＭＳ Ｐゴシック"/>
                <a:cs typeface="ＭＳ Ｐゴシック"/>
              </a:defRPr>
            </a:pPr>
            <a:endParaRPr lang="ja-JP"/>
          </a:p>
        </c:txPr>
        <c:crossAx val="85782528"/>
        <c:crosses val="autoZero"/>
        <c:auto val="0"/>
        <c:lblAlgn val="ctr"/>
        <c:lblOffset val="100"/>
        <c:tickMarkSkip val="1"/>
        <c:noMultiLvlLbl val="0"/>
      </c:catAx>
      <c:valAx>
        <c:axId val="85782528"/>
        <c:scaling>
          <c:orientation val="minMax"/>
          <c:min val="-1000000"/>
        </c:scaling>
        <c:delete val="0"/>
        <c:axPos val="l"/>
        <c:majorGridlines>
          <c:spPr>
            <a:ln w="3175">
              <a:solidFill>
                <a:srgbClr val="000000"/>
              </a:solidFill>
              <a:prstDash val="sysDash"/>
            </a:ln>
          </c:spPr>
        </c:majorGridlines>
        <c:title>
          <c:tx>
            <c:rich>
              <a:bodyPr rot="0" vert="horz"/>
              <a:lstStyle/>
              <a:p>
                <a:pPr algn="ctr">
                  <a:defRPr sz="800" b="0" i="0" u="none" strike="noStrike" baseline="0">
                    <a:solidFill>
                      <a:srgbClr val="000000"/>
                    </a:solidFill>
                    <a:latin typeface="ＭＳ Ｐゴシック"/>
                    <a:ea typeface="ＭＳ Ｐゴシック"/>
                    <a:cs typeface="ＭＳ Ｐゴシック"/>
                  </a:defRPr>
                </a:pPr>
                <a:r>
                  <a:rPr lang="en-US" altLang="ja-JP" sz="800" b="0" i="0" u="none" strike="noStrike" baseline="0">
                    <a:solidFill>
                      <a:srgbClr val="000000"/>
                    </a:solidFill>
                    <a:latin typeface="ＭＳ Ｐゴシック"/>
                    <a:ea typeface="ＭＳ Ｐゴシック"/>
                  </a:rPr>
                  <a:t>(</a:t>
                </a:r>
                <a:r>
                  <a:rPr lang="ja-JP" altLang="en-US" sz="800" b="0" i="0" u="none" strike="noStrike" baseline="0">
                    <a:solidFill>
                      <a:srgbClr val="000000"/>
                    </a:solidFill>
                    <a:latin typeface="ＭＳ Ｐゴシック"/>
                    <a:ea typeface="ＭＳ Ｐゴシック"/>
                  </a:rPr>
                  <a:t>百万コロン）</a:t>
                </a:r>
              </a:p>
            </c:rich>
          </c:tx>
          <c:layout>
            <c:manualLayout>
              <c:xMode val="edge"/>
              <c:yMode val="edge"/>
              <c:x val="3.8966737234231504E-2"/>
              <c:y val="1.8448752632515948E-2"/>
            </c:manualLayout>
          </c:layout>
          <c:overlay val="0"/>
          <c:spPr>
            <a:noFill/>
            <a:ln w="25400">
              <a:noFill/>
            </a:ln>
          </c:spPr>
        </c:title>
        <c:numFmt formatCode="#,##0_);[Red]\(#,##0\)" sourceLinked="0"/>
        <c:majorTickMark val="in"/>
        <c:minorTickMark val="none"/>
        <c:tickLblPos val="nextTo"/>
        <c:spPr>
          <a:ln w="3175">
            <a:solidFill>
              <a:srgbClr val="000000"/>
            </a:solidFill>
            <a:prstDash val="solid"/>
          </a:ln>
        </c:spPr>
        <c:txPr>
          <a:bodyPr rot="0" vert="horz"/>
          <a:lstStyle/>
          <a:p>
            <a:pPr>
              <a:defRPr sz="900" b="0" i="0" u="none" strike="noStrike" baseline="0">
                <a:solidFill>
                  <a:srgbClr val="000000"/>
                </a:solidFill>
                <a:latin typeface="Calibri"/>
                <a:ea typeface="Calibri"/>
                <a:cs typeface="Calibri"/>
              </a:defRPr>
            </a:pPr>
            <a:endParaRPr lang="ja-JP"/>
          </a:p>
        </c:txPr>
        <c:crossAx val="85772544"/>
        <c:crosses val="autoZero"/>
        <c:crossBetween val="between"/>
        <c:majorUnit val="500000"/>
      </c:valAx>
      <c:dateAx>
        <c:axId val="85784448"/>
        <c:scaling>
          <c:orientation val="minMax"/>
        </c:scaling>
        <c:delete val="1"/>
        <c:axPos val="t"/>
        <c:numFmt formatCode="yyyy&quot;年&quot;m&quot;月&quot;;@" sourceLinked="1"/>
        <c:majorTickMark val="out"/>
        <c:minorTickMark val="none"/>
        <c:tickLblPos val="none"/>
        <c:crossAx val="85785984"/>
        <c:crosses val="autoZero"/>
        <c:auto val="1"/>
        <c:lblOffset val="100"/>
        <c:baseTimeUnit val="years"/>
      </c:dateAx>
      <c:valAx>
        <c:axId val="85785984"/>
        <c:scaling>
          <c:orientation val="maxMin"/>
          <c:max val="5.0000000000000114E-3"/>
          <c:min val="-0.05"/>
        </c:scaling>
        <c:delete val="0"/>
        <c:axPos val="r"/>
        <c:title>
          <c:tx>
            <c:rich>
              <a:bodyPr rot="0" vert="horz"/>
              <a:lstStyle/>
              <a:p>
                <a:pPr>
                  <a:defRPr sz="800"/>
                </a:pPr>
                <a:r>
                  <a:rPr lang="ja-JP" altLang="en-US" sz="800"/>
                  <a:t>対</a:t>
                </a:r>
                <a:r>
                  <a:rPr lang="en-US" altLang="ja-JP" sz="800"/>
                  <a:t>GDP</a:t>
                </a:r>
                <a:r>
                  <a:rPr lang="ja-JP" altLang="en-US" sz="800"/>
                  <a:t>比</a:t>
                </a:r>
              </a:p>
            </c:rich>
          </c:tx>
          <c:layout>
            <c:manualLayout>
              <c:xMode val="edge"/>
              <c:yMode val="edge"/>
              <c:x val="0.81092731829573961"/>
              <c:y val="5.3125080676390844E-2"/>
            </c:manualLayout>
          </c:layout>
          <c:overlay val="0"/>
        </c:title>
        <c:numFmt formatCode="0.0%" sourceLinked="1"/>
        <c:majorTickMark val="in"/>
        <c:minorTickMark val="none"/>
        <c:tickLblPos val="nextTo"/>
        <c:spPr>
          <a:ln w="3175">
            <a:solidFill>
              <a:srgbClr val="000000"/>
            </a:solidFill>
            <a:prstDash val="solid"/>
          </a:ln>
        </c:spPr>
        <c:txPr>
          <a:bodyPr rot="0" vert="horz"/>
          <a:lstStyle/>
          <a:p>
            <a:pPr>
              <a:defRPr sz="900" b="0" i="0" u="none" strike="noStrike" baseline="0">
                <a:solidFill>
                  <a:srgbClr val="000000"/>
                </a:solidFill>
                <a:latin typeface="Calibri"/>
                <a:ea typeface="Calibri"/>
                <a:cs typeface="Calibri"/>
              </a:defRPr>
            </a:pPr>
            <a:endParaRPr lang="ja-JP"/>
          </a:p>
        </c:txPr>
        <c:crossAx val="85784448"/>
        <c:crosses val="max"/>
        <c:crossBetween val="between"/>
        <c:majorUnit val="1.0000000000000005E-2"/>
      </c:valAx>
      <c:dTable>
        <c:showHorzBorder val="1"/>
        <c:showVertBorder val="1"/>
        <c:showOutline val="1"/>
        <c:showKeys val="1"/>
        <c:spPr>
          <a:ln w="3175">
            <a:solidFill>
              <a:srgbClr val="000000"/>
            </a:solidFill>
            <a:prstDash val="solid"/>
          </a:ln>
        </c:spPr>
        <c:txPr>
          <a:bodyPr/>
          <a:lstStyle/>
          <a:p>
            <a:pPr rtl="0">
              <a:defRPr sz="800" b="0" i="0" u="none" strike="noStrike" baseline="0">
                <a:solidFill>
                  <a:srgbClr val="000000"/>
                </a:solidFill>
                <a:latin typeface="Arial"/>
                <a:ea typeface="Arial"/>
                <a:cs typeface="Arial"/>
              </a:defRPr>
            </a:pPr>
            <a:endParaRPr lang="ja-JP"/>
          </a:p>
        </c:txPr>
      </c:dTable>
      <c:spPr>
        <a:noFill/>
        <a:ln w="12700">
          <a:solidFill>
            <a:srgbClr val="808080"/>
          </a:solidFill>
          <a:prstDash val="solid"/>
        </a:ln>
      </c:spPr>
    </c:plotArea>
    <c:plotVisOnly val="1"/>
    <c:dispBlanksAs val="gap"/>
    <c:showDLblsOverMax val="0"/>
  </c:chart>
  <c:spPr>
    <a:solidFill>
      <a:srgbClr val="FFFFFF"/>
    </a:solidFill>
    <a:ln w="3175">
      <a:solidFill>
        <a:srgbClr val="000000"/>
      </a:solidFill>
      <a:prstDash val="solid"/>
    </a:ln>
  </c:spPr>
  <c:txPr>
    <a:bodyPr/>
    <a:lstStyle/>
    <a:p>
      <a:pPr>
        <a:defRPr sz="1000" b="0" i="0" u="none" strike="noStrike" baseline="0">
          <a:solidFill>
            <a:srgbClr val="000000"/>
          </a:solidFill>
          <a:latin typeface="ＭＳ Ｐゴシック"/>
          <a:ea typeface="ＭＳ Ｐゴシック"/>
          <a:cs typeface="ＭＳ Ｐゴシック"/>
        </a:defRPr>
      </a:pPr>
      <a:endParaRPr lang="ja-JP"/>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ja-JP" altLang="en-US" sz="1100"/>
              <a:t>表</a:t>
            </a:r>
            <a:r>
              <a:rPr lang="en-US" altLang="ja-JP" sz="1100"/>
              <a:t>8</a:t>
            </a:r>
            <a:r>
              <a:rPr lang="ja-JP" altLang="en-US" sz="1100"/>
              <a:t>　消費者物価指数</a:t>
            </a:r>
            <a:r>
              <a:rPr lang="en-US" altLang="ja-JP" sz="1100"/>
              <a:t>(</a:t>
            </a:r>
            <a:r>
              <a:rPr lang="ja-JP" altLang="en-US" sz="1100"/>
              <a:t>月間累計</a:t>
            </a:r>
            <a:r>
              <a:rPr lang="en-US" altLang="ja-JP" sz="1100"/>
              <a:t>)</a:t>
            </a:r>
            <a:endParaRPr lang="ja-JP" altLang="en-US" sz="1100"/>
          </a:p>
        </c:rich>
      </c:tx>
      <c:layout/>
      <c:overlay val="0"/>
    </c:title>
    <c:autoTitleDeleted val="0"/>
    <c:plotArea>
      <c:layout/>
      <c:lineChart>
        <c:grouping val="standard"/>
        <c:varyColors val="0"/>
        <c:ser>
          <c:idx val="0"/>
          <c:order val="0"/>
          <c:tx>
            <c:strRef>
              <c:f>Hoja1!$Q$18</c:f>
              <c:strCache>
                <c:ptCount val="1"/>
                <c:pt idx="0">
                  <c:v>2013</c:v>
                </c:pt>
              </c:strCache>
            </c:strRef>
          </c:tx>
          <c:dLbls>
            <c:dLbl>
              <c:idx val="0"/>
              <c:layout>
                <c:manualLayout>
                  <c:x val="-5.2777777777777792E-2"/>
                  <c:y val="-9.4527363184079741E-2"/>
                </c:manualLayout>
              </c:layout>
              <c:showLegendKey val="0"/>
              <c:showVal val="1"/>
              <c:showCatName val="0"/>
              <c:showSerName val="0"/>
              <c:showPercent val="0"/>
              <c:showBubbleSize val="0"/>
            </c:dLbl>
            <c:dLbl>
              <c:idx val="1"/>
              <c:layout>
                <c:manualLayout>
                  <c:x val="-5.8333333333333369E-2"/>
                  <c:y val="-5.9701492537313466E-2"/>
                </c:manualLayout>
              </c:layout>
              <c:showLegendKey val="0"/>
              <c:showVal val="1"/>
              <c:showCatName val="0"/>
              <c:showSerName val="0"/>
              <c:showPercent val="0"/>
              <c:showBubbleSize val="0"/>
            </c:dLbl>
            <c:dLbl>
              <c:idx val="2"/>
              <c:layout>
                <c:manualLayout>
                  <c:x val="-5.8333333333333369E-2"/>
                  <c:y val="-8.45771144278607E-2"/>
                </c:manualLayout>
              </c:layout>
              <c:showLegendKey val="0"/>
              <c:showVal val="1"/>
              <c:showCatName val="0"/>
              <c:showSerName val="0"/>
              <c:showPercent val="0"/>
              <c:showBubbleSize val="0"/>
            </c:dLbl>
            <c:dLbl>
              <c:idx val="3"/>
              <c:layout>
                <c:manualLayout>
                  <c:x val="-3.6111111111111122E-2"/>
                  <c:y val="4.4776119402985086E-2"/>
                </c:manualLayout>
              </c:layout>
              <c:showLegendKey val="0"/>
              <c:showVal val="1"/>
              <c:showCatName val="0"/>
              <c:showSerName val="0"/>
              <c:showPercent val="0"/>
              <c:showBubbleSize val="0"/>
            </c:dLbl>
            <c:dLbl>
              <c:idx val="4"/>
              <c:layout>
                <c:manualLayout>
                  <c:x val="-4.7222222222222235E-2"/>
                  <c:y val="7.4626865671641784E-2"/>
                </c:manualLayout>
              </c:layout>
              <c:showLegendKey val="0"/>
              <c:showVal val="1"/>
              <c:showCatName val="0"/>
              <c:showSerName val="0"/>
              <c:showPercent val="0"/>
              <c:showBubbleSize val="0"/>
            </c:dLbl>
            <c:dLbl>
              <c:idx val="5"/>
              <c:layout>
                <c:manualLayout>
                  <c:x val="-2.7777777777777801E-2"/>
                  <c:y val="3.9800995024875642E-2"/>
                </c:manualLayout>
              </c:layout>
              <c:showLegendKey val="0"/>
              <c:showVal val="1"/>
              <c:showCatName val="0"/>
              <c:showSerName val="0"/>
              <c:showPercent val="0"/>
              <c:showBubbleSize val="0"/>
            </c:dLbl>
            <c:dLbl>
              <c:idx val="6"/>
              <c:layout>
                <c:manualLayout>
                  <c:x val="-3.6111111111111122E-2"/>
                  <c:y val="2.9850746268656716E-2"/>
                </c:manualLayout>
              </c:layout>
              <c:showLegendKey val="0"/>
              <c:showVal val="1"/>
              <c:showCatName val="0"/>
              <c:showSerName val="0"/>
              <c:showPercent val="0"/>
              <c:showBubbleSize val="0"/>
            </c:dLbl>
            <c:dLbl>
              <c:idx val="7"/>
              <c:layout>
                <c:manualLayout>
                  <c:x val="-4.1666666666666664E-2"/>
                  <c:y val="-3.4825870646766191E-2"/>
                </c:manualLayout>
              </c:layout>
              <c:showLegendKey val="0"/>
              <c:showVal val="1"/>
              <c:showCatName val="0"/>
              <c:showSerName val="0"/>
              <c:showPercent val="0"/>
              <c:showBubbleSize val="0"/>
            </c:dLbl>
            <c:dLbl>
              <c:idx val="8"/>
              <c:layout>
                <c:manualLayout>
                  <c:x val="-4.1666666666666664E-2"/>
                  <c:y val="-5.9701492537313466E-2"/>
                </c:manualLayout>
              </c:layout>
              <c:showLegendKey val="0"/>
              <c:showVal val="1"/>
              <c:showCatName val="0"/>
              <c:showSerName val="0"/>
              <c:showPercent val="0"/>
              <c:showBubbleSize val="0"/>
            </c:dLbl>
            <c:dLbl>
              <c:idx val="9"/>
              <c:layout>
                <c:manualLayout>
                  <c:x val="-0.05"/>
                  <c:y val="2.9850746268656716E-2"/>
                </c:manualLayout>
              </c:layout>
              <c:showLegendKey val="0"/>
              <c:showVal val="1"/>
              <c:showCatName val="0"/>
              <c:showSerName val="0"/>
              <c:showPercent val="0"/>
              <c:showBubbleSize val="0"/>
            </c:dLbl>
            <c:dLbl>
              <c:idx val="10"/>
              <c:layout>
                <c:manualLayout>
                  <c:x val="-6.1111111111111123E-2"/>
                  <c:y val="-5.4726368159204002E-2"/>
                </c:manualLayout>
              </c:layout>
              <c:showLegendKey val="0"/>
              <c:showVal val="1"/>
              <c:showCatName val="0"/>
              <c:showSerName val="0"/>
              <c:showPercent val="0"/>
              <c:showBubbleSize val="0"/>
            </c:dLbl>
            <c:dLbl>
              <c:idx val="11"/>
              <c:layout>
                <c:manualLayout>
                  <c:x val="-3.3333333333333444E-2"/>
                  <c:y val="-1.4925373134328316E-2"/>
                </c:manualLayout>
              </c:layout>
              <c:showLegendKey val="0"/>
              <c:showVal val="1"/>
              <c:showCatName val="0"/>
              <c:showSerName val="0"/>
              <c:showPercent val="0"/>
              <c:showBubbleSize val="0"/>
            </c:dLbl>
            <c:txPr>
              <a:bodyPr/>
              <a:lstStyle/>
              <a:p>
                <a:pPr>
                  <a:defRPr sz="800" b="1" i="1"/>
                </a:pPr>
                <a:endParaRPr lang="ja-JP"/>
              </a:p>
            </c:txPr>
            <c:showLegendKey val="0"/>
            <c:showVal val="1"/>
            <c:showCatName val="0"/>
            <c:showSerName val="0"/>
            <c:showPercent val="0"/>
            <c:showBubbleSize val="0"/>
            <c:showLeaderLines val="0"/>
          </c:dLbls>
          <c:cat>
            <c:strRef>
              <c:f>Hoja1!$P$19:$P$30</c:f>
              <c:strCache>
                <c:ptCount val="12"/>
                <c:pt idx="0">
                  <c:v>1月</c:v>
                </c:pt>
                <c:pt idx="1">
                  <c:v>2月</c:v>
                </c:pt>
                <c:pt idx="2">
                  <c:v>3月</c:v>
                </c:pt>
                <c:pt idx="3">
                  <c:v>4月</c:v>
                </c:pt>
                <c:pt idx="4">
                  <c:v>5月</c:v>
                </c:pt>
                <c:pt idx="5">
                  <c:v>6月</c:v>
                </c:pt>
                <c:pt idx="6">
                  <c:v>7月</c:v>
                </c:pt>
                <c:pt idx="7">
                  <c:v>8月</c:v>
                </c:pt>
                <c:pt idx="8">
                  <c:v>9月</c:v>
                </c:pt>
                <c:pt idx="9">
                  <c:v>10月</c:v>
                </c:pt>
                <c:pt idx="10">
                  <c:v>11月</c:v>
                </c:pt>
                <c:pt idx="11">
                  <c:v>12月</c:v>
                </c:pt>
              </c:strCache>
            </c:strRef>
          </c:cat>
          <c:val>
            <c:numRef>
              <c:f>Hoja1!$Q$19:$Q$30</c:f>
              <c:numCache>
                <c:formatCode>General</c:formatCode>
                <c:ptCount val="12"/>
                <c:pt idx="0">
                  <c:v>1.31</c:v>
                </c:pt>
                <c:pt idx="1">
                  <c:v>2.34</c:v>
                </c:pt>
                <c:pt idx="2">
                  <c:v>2.46</c:v>
                </c:pt>
                <c:pt idx="3">
                  <c:v>3.2</c:v>
                </c:pt>
                <c:pt idx="4">
                  <c:v>3.22</c:v>
                </c:pt>
                <c:pt idx="5">
                  <c:v>3.24</c:v>
                </c:pt>
                <c:pt idx="6">
                  <c:v>3.59</c:v>
                </c:pt>
                <c:pt idx="7">
                  <c:v>3.64</c:v>
                </c:pt>
                <c:pt idx="8">
                  <c:v>3.77</c:v>
                </c:pt>
                <c:pt idx="9">
                  <c:v>2.98</c:v>
                </c:pt>
                <c:pt idx="10">
                  <c:v>3.16</c:v>
                </c:pt>
                <c:pt idx="11">
                  <c:v>3.68</c:v>
                </c:pt>
              </c:numCache>
            </c:numRef>
          </c:val>
          <c:smooth val="0"/>
        </c:ser>
        <c:ser>
          <c:idx val="1"/>
          <c:order val="1"/>
          <c:tx>
            <c:strRef>
              <c:f>Hoja1!$R$18</c:f>
              <c:strCache>
                <c:ptCount val="1"/>
                <c:pt idx="0">
                  <c:v>2014</c:v>
                </c:pt>
              </c:strCache>
            </c:strRef>
          </c:tx>
          <c:dLbls>
            <c:dLbl>
              <c:idx val="3"/>
              <c:layout>
                <c:manualLayout>
                  <c:x val="-5.5555555555555525E-2"/>
                  <c:y val="-4.9751243781094509E-2"/>
                </c:manualLayout>
              </c:layout>
              <c:showLegendKey val="0"/>
              <c:showVal val="1"/>
              <c:showCatName val="0"/>
              <c:showSerName val="0"/>
              <c:showPercent val="0"/>
              <c:showBubbleSize val="0"/>
            </c:dLbl>
            <c:dLbl>
              <c:idx val="4"/>
              <c:layout>
                <c:manualLayout>
                  <c:x val="-5.2777777777777792E-2"/>
                  <c:y val="-5.9701492537313466E-2"/>
                </c:manualLayout>
              </c:layout>
              <c:showLegendKey val="0"/>
              <c:showVal val="1"/>
              <c:showCatName val="0"/>
              <c:showSerName val="0"/>
              <c:showPercent val="0"/>
              <c:showBubbleSize val="0"/>
            </c:dLbl>
            <c:dLbl>
              <c:idx val="5"/>
              <c:layout>
                <c:manualLayout>
                  <c:x val="-6.1111111111111123E-2"/>
                  <c:y val="-7.4626865671641784E-2"/>
                </c:manualLayout>
              </c:layout>
              <c:showLegendKey val="0"/>
              <c:showVal val="1"/>
              <c:showCatName val="0"/>
              <c:showSerName val="0"/>
              <c:showPercent val="0"/>
              <c:showBubbleSize val="0"/>
            </c:dLbl>
            <c:dLbl>
              <c:idx val="6"/>
              <c:layout>
                <c:manualLayout>
                  <c:x val="-6.9444444444444475E-2"/>
                  <c:y val="-4.47761194029851E-2"/>
                </c:manualLayout>
              </c:layout>
              <c:showLegendKey val="0"/>
              <c:showVal val="1"/>
              <c:showCatName val="0"/>
              <c:showSerName val="0"/>
              <c:showPercent val="0"/>
              <c:showBubbleSize val="0"/>
            </c:dLbl>
            <c:dLbl>
              <c:idx val="7"/>
              <c:layout>
                <c:manualLayout>
                  <c:x val="-2.5000000000000001E-2"/>
                  <c:y val="-3.9800995024875642E-2"/>
                </c:manualLayout>
              </c:layout>
              <c:showLegendKey val="0"/>
              <c:showVal val="1"/>
              <c:showCatName val="0"/>
              <c:showSerName val="0"/>
              <c:showPercent val="0"/>
              <c:showBubbleSize val="0"/>
            </c:dLbl>
            <c:txPr>
              <a:bodyPr/>
              <a:lstStyle/>
              <a:p>
                <a:pPr>
                  <a:defRPr sz="800"/>
                </a:pPr>
                <a:endParaRPr lang="ja-JP"/>
              </a:p>
            </c:txPr>
            <c:showLegendKey val="0"/>
            <c:showVal val="1"/>
            <c:showCatName val="0"/>
            <c:showSerName val="0"/>
            <c:showPercent val="0"/>
            <c:showBubbleSize val="0"/>
            <c:showLeaderLines val="0"/>
          </c:dLbls>
          <c:cat>
            <c:strRef>
              <c:f>Hoja1!$P$19:$P$30</c:f>
              <c:strCache>
                <c:ptCount val="12"/>
                <c:pt idx="0">
                  <c:v>1月</c:v>
                </c:pt>
                <c:pt idx="1">
                  <c:v>2月</c:v>
                </c:pt>
                <c:pt idx="2">
                  <c:v>3月</c:v>
                </c:pt>
                <c:pt idx="3">
                  <c:v>4月</c:v>
                </c:pt>
                <c:pt idx="4">
                  <c:v>5月</c:v>
                </c:pt>
                <c:pt idx="5">
                  <c:v>6月</c:v>
                </c:pt>
                <c:pt idx="6">
                  <c:v>7月</c:v>
                </c:pt>
                <c:pt idx="7">
                  <c:v>8月</c:v>
                </c:pt>
                <c:pt idx="8">
                  <c:v>9月</c:v>
                </c:pt>
                <c:pt idx="9">
                  <c:v>10月</c:v>
                </c:pt>
                <c:pt idx="10">
                  <c:v>11月</c:v>
                </c:pt>
                <c:pt idx="11">
                  <c:v>12月</c:v>
                </c:pt>
              </c:strCache>
            </c:strRef>
          </c:cat>
          <c:val>
            <c:numRef>
              <c:f>Hoja1!$R$19:$R$30</c:f>
              <c:numCache>
                <c:formatCode>#,##0.00</c:formatCode>
                <c:ptCount val="12"/>
                <c:pt idx="0">
                  <c:v>0.7489788400000017</c:v>
                </c:pt>
                <c:pt idx="1">
                  <c:v>1.41718082</c:v>
                </c:pt>
                <c:pt idx="2">
                  <c:v>2.0409396900000001</c:v>
                </c:pt>
                <c:pt idx="3">
                  <c:v>3.2043793000000012</c:v>
                </c:pt>
                <c:pt idx="4">
                  <c:v>3.7491359500000012</c:v>
                </c:pt>
                <c:pt idx="5">
                  <c:v>4.1448859599999741</c:v>
                </c:pt>
                <c:pt idx="6">
                  <c:v>5.0943295499999879</c:v>
                </c:pt>
                <c:pt idx="7">
                  <c:v>5.4432577499999999</c:v>
                </c:pt>
              </c:numCache>
            </c:numRef>
          </c:val>
          <c:smooth val="0"/>
        </c:ser>
        <c:dLbls>
          <c:showLegendKey val="0"/>
          <c:showVal val="0"/>
          <c:showCatName val="0"/>
          <c:showSerName val="0"/>
          <c:showPercent val="0"/>
          <c:showBubbleSize val="0"/>
        </c:dLbls>
        <c:hiLowLines/>
        <c:marker val="1"/>
        <c:smooth val="0"/>
        <c:axId val="85728256"/>
        <c:axId val="88646400"/>
      </c:lineChart>
      <c:catAx>
        <c:axId val="85728256"/>
        <c:scaling>
          <c:orientation val="minMax"/>
        </c:scaling>
        <c:delete val="0"/>
        <c:axPos val="b"/>
        <c:majorTickMark val="none"/>
        <c:minorTickMark val="none"/>
        <c:tickLblPos val="nextTo"/>
        <c:txPr>
          <a:bodyPr/>
          <a:lstStyle/>
          <a:p>
            <a:pPr>
              <a:defRPr sz="900"/>
            </a:pPr>
            <a:endParaRPr lang="ja-JP"/>
          </a:p>
        </c:txPr>
        <c:crossAx val="88646400"/>
        <c:crosses val="autoZero"/>
        <c:auto val="1"/>
        <c:lblAlgn val="ctr"/>
        <c:lblOffset val="100"/>
        <c:noMultiLvlLbl val="0"/>
      </c:catAx>
      <c:valAx>
        <c:axId val="88646400"/>
        <c:scaling>
          <c:orientation val="minMax"/>
        </c:scaling>
        <c:delete val="0"/>
        <c:axPos val="l"/>
        <c:majorGridlines/>
        <c:title>
          <c:tx>
            <c:rich>
              <a:bodyPr rot="0" vert="horz"/>
              <a:lstStyle/>
              <a:p>
                <a:pPr>
                  <a:defRPr sz="800"/>
                </a:pPr>
                <a:r>
                  <a:rPr lang="en-US" altLang="ja-JP" sz="800"/>
                  <a:t>(</a:t>
                </a:r>
                <a:r>
                  <a:rPr lang="ja-JP" altLang="en-US" sz="800"/>
                  <a:t>％</a:t>
                </a:r>
                <a:r>
                  <a:rPr lang="en-US" altLang="ja-JP" sz="800"/>
                  <a:t>)</a:t>
                </a:r>
                <a:endParaRPr lang="ja-JP" altLang="en-US" sz="800"/>
              </a:p>
            </c:rich>
          </c:tx>
          <c:layout>
            <c:manualLayout>
              <c:xMode val="edge"/>
              <c:yMode val="edge"/>
              <c:x val="6.666666666666668E-2"/>
              <c:y val="6.9026520938614042E-2"/>
            </c:manualLayout>
          </c:layout>
          <c:overlay val="0"/>
        </c:title>
        <c:numFmt formatCode="General" sourceLinked="1"/>
        <c:majorTickMark val="out"/>
        <c:minorTickMark val="none"/>
        <c:tickLblPos val="nextTo"/>
        <c:crossAx val="85728256"/>
        <c:crosses val="autoZero"/>
        <c:crossBetween val="between"/>
      </c:valAx>
    </c:plotArea>
    <c:legend>
      <c:legendPos val="r"/>
      <c:legendEntry>
        <c:idx val="0"/>
        <c:txPr>
          <a:bodyPr/>
          <a:lstStyle/>
          <a:p>
            <a:pPr>
              <a:defRPr b="1" i="1"/>
            </a:pPr>
            <a:endParaRPr lang="ja-JP"/>
          </a:p>
        </c:txPr>
      </c:legendEntry>
      <c:layout/>
      <c:overlay val="0"/>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ja-JP" altLang="en-US" sz="1100"/>
              <a:t>表</a:t>
            </a:r>
            <a:r>
              <a:rPr lang="en-US" altLang="ja-JP" sz="1100"/>
              <a:t>9</a:t>
            </a:r>
            <a:r>
              <a:rPr lang="ja-JP" altLang="en-US" sz="1100"/>
              <a:t>　消費者物価指数</a:t>
            </a:r>
            <a:r>
              <a:rPr lang="en-US" altLang="ja-JP" sz="1100"/>
              <a:t>(</a:t>
            </a:r>
            <a:r>
              <a:rPr lang="ja-JP" altLang="en-US" sz="1100"/>
              <a:t>年率換算</a:t>
            </a:r>
            <a:r>
              <a:rPr lang="en-US" altLang="ja-JP" sz="1100"/>
              <a:t>)</a:t>
            </a:r>
            <a:endParaRPr lang="ja-JP" altLang="en-US" sz="1100"/>
          </a:p>
        </c:rich>
      </c:tx>
      <c:layout/>
      <c:overlay val="0"/>
    </c:title>
    <c:autoTitleDeleted val="0"/>
    <c:plotArea>
      <c:layout/>
      <c:lineChart>
        <c:grouping val="standard"/>
        <c:varyColors val="0"/>
        <c:ser>
          <c:idx val="0"/>
          <c:order val="0"/>
          <c:tx>
            <c:strRef>
              <c:f>Hoja1!$G$5</c:f>
              <c:strCache>
                <c:ptCount val="1"/>
                <c:pt idx="0">
                  <c:v>2013年</c:v>
                </c:pt>
              </c:strCache>
            </c:strRef>
          </c:tx>
          <c:dLbls>
            <c:dLbl>
              <c:idx val="0"/>
              <c:layout>
                <c:manualLayout>
                  <c:x val="-5.2916828019448726E-2"/>
                  <c:y val="-4.9886621315193176E-2"/>
                </c:manualLayout>
              </c:layout>
              <c:dLblPos val="r"/>
              <c:showLegendKey val="0"/>
              <c:showVal val="1"/>
              <c:showCatName val="0"/>
              <c:showSerName val="0"/>
              <c:showPercent val="0"/>
              <c:showBubbleSize val="0"/>
            </c:dLbl>
            <c:dLbl>
              <c:idx val="1"/>
              <c:layout>
                <c:manualLayout>
                  <c:x val="-5.0184587582289886E-2"/>
                  <c:y val="-4.0816326530612485E-2"/>
                </c:manualLayout>
              </c:layout>
              <c:dLblPos val="r"/>
              <c:showLegendKey val="0"/>
              <c:showVal val="1"/>
              <c:showCatName val="0"/>
              <c:showSerName val="0"/>
              <c:showPercent val="0"/>
              <c:showBubbleSize val="0"/>
            </c:dLbl>
            <c:dLbl>
              <c:idx val="2"/>
              <c:layout>
                <c:manualLayout>
                  <c:x val="-4.1987866270814446E-2"/>
                  <c:y val="-3.1746031746031744E-2"/>
                </c:manualLayout>
              </c:layout>
              <c:dLblPos val="r"/>
              <c:showLegendKey val="0"/>
              <c:showVal val="1"/>
              <c:showCatName val="0"/>
              <c:showSerName val="0"/>
              <c:showPercent val="0"/>
              <c:showBubbleSize val="0"/>
            </c:dLbl>
            <c:dLbl>
              <c:idx val="3"/>
              <c:layout>
                <c:manualLayout>
                  <c:x val="-4.1987866270814446E-2"/>
                  <c:y val="-2.7210884353741478E-2"/>
                </c:manualLayout>
              </c:layout>
              <c:dLblPos val="r"/>
              <c:showLegendKey val="0"/>
              <c:showVal val="1"/>
              <c:showCatName val="0"/>
              <c:showSerName val="0"/>
              <c:showPercent val="0"/>
              <c:showBubbleSize val="0"/>
            </c:dLbl>
            <c:dLbl>
              <c:idx val="4"/>
              <c:layout>
                <c:manualLayout>
                  <c:x val="-5.2916828019448726E-2"/>
                  <c:y val="3.6281179138322052E-2"/>
                </c:manualLayout>
              </c:layout>
              <c:dLblPos val="r"/>
              <c:showLegendKey val="0"/>
              <c:showVal val="1"/>
              <c:showCatName val="0"/>
              <c:showSerName val="0"/>
              <c:showPercent val="0"/>
              <c:showBubbleSize val="0"/>
            </c:dLbl>
            <c:dLbl>
              <c:idx val="5"/>
              <c:layout>
                <c:manualLayout>
                  <c:x val="-4.7452347145131787E-2"/>
                  <c:y val="-4.5351473922902716E-2"/>
                </c:manualLayout>
              </c:layout>
              <c:dLblPos val="r"/>
              <c:showLegendKey val="0"/>
              <c:showVal val="1"/>
              <c:showCatName val="0"/>
              <c:showSerName val="0"/>
              <c:showPercent val="0"/>
              <c:showBubbleSize val="0"/>
            </c:dLbl>
            <c:dLbl>
              <c:idx val="6"/>
              <c:layout>
                <c:manualLayout>
                  <c:x val="-5.0184587582289886E-2"/>
                  <c:y val="-4.0816326530612485E-2"/>
                </c:manualLayout>
              </c:layout>
              <c:dLblPos val="r"/>
              <c:showLegendKey val="0"/>
              <c:showVal val="1"/>
              <c:showCatName val="0"/>
              <c:showSerName val="0"/>
              <c:showPercent val="0"/>
              <c:showBubbleSize val="0"/>
            </c:dLbl>
            <c:dLbl>
              <c:idx val="7"/>
              <c:layout>
                <c:manualLayout>
                  <c:x val="-5.0184587582289886E-2"/>
                  <c:y val="-4.0816326530612485E-2"/>
                </c:manualLayout>
              </c:layout>
              <c:dLblPos val="r"/>
              <c:showLegendKey val="0"/>
              <c:showVal val="1"/>
              <c:showCatName val="0"/>
              <c:showSerName val="0"/>
              <c:showPercent val="0"/>
              <c:showBubbleSize val="0"/>
            </c:dLbl>
            <c:dLbl>
              <c:idx val="8"/>
              <c:layout>
                <c:manualLayout>
                  <c:x val="-5.5649068456606859E-2"/>
                  <c:y val="4.9886621315193176E-2"/>
                </c:manualLayout>
              </c:layout>
              <c:dLblPos val="r"/>
              <c:showLegendKey val="0"/>
              <c:showVal val="1"/>
              <c:showCatName val="0"/>
              <c:showSerName val="0"/>
              <c:showPercent val="0"/>
              <c:showBubbleSize val="0"/>
            </c:dLbl>
            <c:dLbl>
              <c:idx val="9"/>
              <c:layout>
                <c:manualLayout>
                  <c:x val="-4.1987866270814446E-2"/>
                  <c:y val="-4.9886621315193176E-2"/>
                </c:manualLayout>
              </c:layout>
              <c:dLblPos val="r"/>
              <c:showLegendKey val="0"/>
              <c:showVal val="1"/>
              <c:showCatName val="0"/>
              <c:showSerName val="0"/>
              <c:showPercent val="0"/>
              <c:showBubbleSize val="0"/>
            </c:dLbl>
            <c:dLbl>
              <c:idx val="10"/>
              <c:layout>
                <c:manualLayout>
                  <c:x val="-5.0184587582289886E-2"/>
                  <c:y val="2.7210884353741478E-2"/>
                </c:manualLayout>
              </c:layout>
              <c:dLblPos val="r"/>
              <c:showLegendKey val="0"/>
              <c:showVal val="1"/>
              <c:showCatName val="0"/>
              <c:showSerName val="0"/>
              <c:showPercent val="0"/>
              <c:showBubbleSize val="0"/>
            </c:dLbl>
            <c:dLbl>
              <c:idx val="11"/>
              <c:layout>
                <c:manualLayout>
                  <c:x val="-5.0184587582289886E-2"/>
                  <c:y val="-4.9886621315193176E-2"/>
                </c:manualLayout>
              </c:layout>
              <c:dLblPos val="r"/>
              <c:showLegendKey val="0"/>
              <c:showVal val="1"/>
              <c:showCatName val="0"/>
              <c:showSerName val="0"/>
              <c:showPercent val="0"/>
              <c:showBubbleSize val="0"/>
            </c:dLbl>
            <c:txPr>
              <a:bodyPr/>
              <a:lstStyle/>
              <a:p>
                <a:pPr>
                  <a:defRPr sz="800"/>
                </a:pPr>
                <a:endParaRPr lang="ja-JP"/>
              </a:p>
            </c:txPr>
            <c:dLblPos val="ctr"/>
            <c:showLegendKey val="0"/>
            <c:showVal val="1"/>
            <c:showCatName val="0"/>
            <c:showSerName val="0"/>
            <c:showPercent val="0"/>
            <c:showBubbleSize val="0"/>
            <c:showLeaderLines val="0"/>
          </c:dLbls>
          <c:cat>
            <c:strRef>
              <c:f>Hoja1!$F$6:$F$17</c:f>
              <c:strCache>
                <c:ptCount val="12"/>
                <c:pt idx="0">
                  <c:v>1月</c:v>
                </c:pt>
                <c:pt idx="1">
                  <c:v>2月</c:v>
                </c:pt>
                <c:pt idx="2">
                  <c:v>3月</c:v>
                </c:pt>
                <c:pt idx="3">
                  <c:v>4月</c:v>
                </c:pt>
                <c:pt idx="4">
                  <c:v>5月</c:v>
                </c:pt>
                <c:pt idx="5">
                  <c:v>6月</c:v>
                </c:pt>
                <c:pt idx="6">
                  <c:v>7月</c:v>
                </c:pt>
                <c:pt idx="7">
                  <c:v>8月</c:v>
                </c:pt>
                <c:pt idx="8">
                  <c:v>9月</c:v>
                </c:pt>
                <c:pt idx="9">
                  <c:v>10月</c:v>
                </c:pt>
                <c:pt idx="10">
                  <c:v>11月</c:v>
                </c:pt>
                <c:pt idx="11">
                  <c:v>12月</c:v>
                </c:pt>
              </c:strCache>
            </c:strRef>
          </c:cat>
          <c:val>
            <c:numRef>
              <c:f>Hoja1!$G$6:$G$17</c:f>
              <c:numCache>
                <c:formatCode>#,##0.00</c:formatCode>
                <c:ptCount val="12"/>
                <c:pt idx="0">
                  <c:v>5.7367026399999999</c:v>
                </c:pt>
                <c:pt idx="1">
                  <c:v>6.5157852999999841</c:v>
                </c:pt>
                <c:pt idx="2">
                  <c:v>6.2058775199999872</c:v>
                </c:pt>
                <c:pt idx="3">
                  <c:v>6.3072692300000002</c:v>
                </c:pt>
                <c:pt idx="4">
                  <c:v>5.2840368699999765</c:v>
                </c:pt>
                <c:pt idx="5">
                  <c:v>5.1379035799999784</c:v>
                </c:pt>
                <c:pt idx="6">
                  <c:v>5.8141562899999784</c:v>
                </c:pt>
                <c:pt idx="7">
                  <c:v>5.3070005399999785</c:v>
                </c:pt>
                <c:pt idx="8">
                  <c:v>5.3718385399999882</c:v>
                </c:pt>
                <c:pt idx="9">
                  <c:v>4.1061599199999872</c:v>
                </c:pt>
                <c:pt idx="10">
                  <c:v>3.4431410600000012</c:v>
                </c:pt>
                <c:pt idx="11">
                  <c:v>3.6795406699999997</c:v>
                </c:pt>
              </c:numCache>
            </c:numRef>
          </c:val>
          <c:smooth val="0"/>
        </c:ser>
        <c:ser>
          <c:idx val="1"/>
          <c:order val="1"/>
          <c:tx>
            <c:strRef>
              <c:f>Hoja1!$H$5</c:f>
              <c:strCache>
                <c:ptCount val="1"/>
                <c:pt idx="0">
                  <c:v>2014年</c:v>
                </c:pt>
              </c:strCache>
            </c:strRef>
          </c:tx>
          <c:dLbls>
            <c:dLbl>
              <c:idx val="0"/>
              <c:layout>
                <c:manualLayout>
                  <c:x val="-5.0184587582289886E-2"/>
                  <c:y val="4.0816326530612485E-2"/>
                </c:manualLayout>
              </c:layout>
              <c:dLblPos val="r"/>
              <c:showLegendKey val="0"/>
              <c:showVal val="1"/>
              <c:showCatName val="0"/>
              <c:showSerName val="0"/>
              <c:showPercent val="0"/>
              <c:showBubbleSize val="0"/>
            </c:dLbl>
            <c:dLbl>
              <c:idx val="1"/>
              <c:layout>
                <c:manualLayout>
                  <c:x val="-5.0184587582289886E-2"/>
                  <c:y val="5.4421768707482956E-2"/>
                </c:manualLayout>
              </c:layout>
              <c:dLblPos val="r"/>
              <c:showLegendKey val="0"/>
              <c:showVal val="1"/>
              <c:showCatName val="0"/>
              <c:showSerName val="0"/>
              <c:showPercent val="0"/>
              <c:showBubbleSize val="0"/>
            </c:dLbl>
            <c:dLbl>
              <c:idx val="7"/>
              <c:layout>
                <c:manualLayout>
                  <c:x val="-1.4467320683275256E-2"/>
                  <c:y val="-8.1632653061224497E-2"/>
                </c:manualLayout>
              </c:layout>
              <c:dLblPos val="r"/>
              <c:showLegendKey val="0"/>
              <c:showVal val="1"/>
              <c:showCatName val="0"/>
              <c:showSerName val="0"/>
              <c:showPercent val="0"/>
              <c:showBubbleSize val="0"/>
            </c:dLbl>
            <c:txPr>
              <a:bodyPr/>
              <a:lstStyle/>
              <a:p>
                <a:pPr>
                  <a:defRPr sz="800" b="1"/>
                </a:pPr>
                <a:endParaRPr lang="ja-JP"/>
              </a:p>
            </c:txPr>
            <c:dLblPos val="ctr"/>
            <c:showLegendKey val="0"/>
            <c:showVal val="1"/>
            <c:showCatName val="0"/>
            <c:showSerName val="0"/>
            <c:showPercent val="0"/>
            <c:showBubbleSize val="0"/>
            <c:showLeaderLines val="0"/>
          </c:dLbls>
          <c:cat>
            <c:strRef>
              <c:f>Hoja1!$F$6:$F$17</c:f>
              <c:strCache>
                <c:ptCount val="12"/>
                <c:pt idx="0">
                  <c:v>1月</c:v>
                </c:pt>
                <c:pt idx="1">
                  <c:v>2月</c:v>
                </c:pt>
                <c:pt idx="2">
                  <c:v>3月</c:v>
                </c:pt>
                <c:pt idx="3">
                  <c:v>4月</c:v>
                </c:pt>
                <c:pt idx="4">
                  <c:v>5月</c:v>
                </c:pt>
                <c:pt idx="5">
                  <c:v>6月</c:v>
                </c:pt>
                <c:pt idx="6">
                  <c:v>7月</c:v>
                </c:pt>
                <c:pt idx="7">
                  <c:v>8月</c:v>
                </c:pt>
                <c:pt idx="8">
                  <c:v>9月</c:v>
                </c:pt>
                <c:pt idx="9">
                  <c:v>10月</c:v>
                </c:pt>
                <c:pt idx="10">
                  <c:v>11月</c:v>
                </c:pt>
                <c:pt idx="11">
                  <c:v>12月</c:v>
                </c:pt>
              </c:strCache>
            </c:strRef>
          </c:cat>
          <c:val>
            <c:numRef>
              <c:f>Hoja1!$H$6:$H$17</c:f>
              <c:numCache>
                <c:formatCode>#,##0.00</c:formatCode>
                <c:ptCount val="12"/>
                <c:pt idx="0">
                  <c:v>3.1</c:v>
                </c:pt>
                <c:pt idx="1">
                  <c:v>2.74</c:v>
                </c:pt>
                <c:pt idx="2">
                  <c:v>3.2600000000000002</c:v>
                </c:pt>
                <c:pt idx="3">
                  <c:v>3.68</c:v>
                </c:pt>
                <c:pt idx="4">
                  <c:v>4.21</c:v>
                </c:pt>
                <c:pt idx="5">
                  <c:v>4.59</c:v>
                </c:pt>
                <c:pt idx="6">
                  <c:v>5.1899999999999995</c:v>
                </c:pt>
                <c:pt idx="7">
                  <c:v>5.49</c:v>
                </c:pt>
              </c:numCache>
            </c:numRef>
          </c:val>
          <c:smooth val="0"/>
        </c:ser>
        <c:dLbls>
          <c:showLegendKey val="0"/>
          <c:showVal val="0"/>
          <c:showCatName val="0"/>
          <c:showSerName val="0"/>
          <c:showPercent val="0"/>
          <c:showBubbleSize val="0"/>
        </c:dLbls>
        <c:hiLowLines/>
        <c:marker val="1"/>
        <c:smooth val="0"/>
        <c:axId val="85732736"/>
        <c:axId val="107189376"/>
      </c:lineChart>
      <c:catAx>
        <c:axId val="85732736"/>
        <c:scaling>
          <c:orientation val="minMax"/>
        </c:scaling>
        <c:delete val="0"/>
        <c:axPos val="b"/>
        <c:majorTickMark val="none"/>
        <c:minorTickMark val="none"/>
        <c:tickLblPos val="nextTo"/>
        <c:crossAx val="107189376"/>
        <c:crosses val="autoZero"/>
        <c:auto val="1"/>
        <c:lblAlgn val="ctr"/>
        <c:lblOffset val="100"/>
        <c:noMultiLvlLbl val="0"/>
      </c:catAx>
      <c:valAx>
        <c:axId val="107189376"/>
        <c:scaling>
          <c:orientation val="minMax"/>
        </c:scaling>
        <c:delete val="0"/>
        <c:axPos val="l"/>
        <c:majorGridlines/>
        <c:title>
          <c:tx>
            <c:rich>
              <a:bodyPr rot="0" vert="horz"/>
              <a:lstStyle/>
              <a:p>
                <a:pPr>
                  <a:defRPr sz="900" b="0"/>
                </a:pPr>
                <a:r>
                  <a:rPr lang="en-US" altLang="ja-JP" sz="900" b="0"/>
                  <a:t>(</a:t>
                </a:r>
                <a:r>
                  <a:rPr lang="ja-JP" altLang="en-US" sz="900" b="0"/>
                  <a:t>％</a:t>
                </a:r>
                <a:r>
                  <a:rPr lang="en-US" altLang="ja-JP" sz="900" b="0"/>
                  <a:t>)</a:t>
                </a:r>
                <a:endParaRPr lang="ja-JP" altLang="en-US" sz="900" b="0"/>
              </a:p>
            </c:rich>
          </c:tx>
          <c:layout>
            <c:manualLayout>
              <c:xMode val="edge"/>
              <c:yMode val="edge"/>
              <c:x val="9.5628415300546971E-2"/>
              <c:y val="5.5833020872390934E-2"/>
            </c:manualLayout>
          </c:layout>
          <c:overlay val="0"/>
        </c:title>
        <c:numFmt formatCode="#,##0.00" sourceLinked="1"/>
        <c:majorTickMark val="out"/>
        <c:minorTickMark val="none"/>
        <c:tickLblPos val="nextTo"/>
        <c:crossAx val="85732736"/>
        <c:crosses val="autoZero"/>
        <c:crossBetween val="between"/>
      </c:valAx>
    </c:plotArea>
    <c:legend>
      <c:legendPos val="r"/>
      <c:layout/>
      <c:overlay val="0"/>
    </c:legend>
    <c:plotVisOnly val="1"/>
    <c:dispBlanksAs val="gap"/>
    <c:showDLblsOverMax val="0"/>
  </c:chart>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0.16346</cdr:x>
      <cdr:y>0.4</cdr:y>
    </cdr:from>
    <cdr:to>
      <cdr:x>0.34808</cdr:x>
      <cdr:y>0.63704</cdr:y>
    </cdr:to>
    <cdr:sp macro="" textlink="">
      <cdr:nvSpPr>
        <cdr:cNvPr id="2" name="テキスト ボックス 1"/>
        <cdr:cNvSpPr txBox="1"/>
      </cdr:nvSpPr>
      <cdr:spPr>
        <a:xfrm xmlns:a="http://schemas.openxmlformats.org/drawingml/2006/main">
          <a:off x="809625" y="1543050"/>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ja-JP" altLang="en-US" sz="1100"/>
        </a:p>
      </cdr:txBody>
    </cdr:sp>
  </cdr:relSizeAnchor>
  <cdr:relSizeAnchor xmlns:cdr="http://schemas.openxmlformats.org/drawingml/2006/chartDrawing">
    <cdr:from>
      <cdr:x>0.15</cdr:x>
      <cdr:y>0.24691</cdr:y>
    </cdr:from>
    <cdr:to>
      <cdr:x>0.29038</cdr:x>
      <cdr:y>0.30123</cdr:y>
    </cdr:to>
    <cdr:sp macro="" textlink="">
      <cdr:nvSpPr>
        <cdr:cNvPr id="3" name="テキスト ボックス 2"/>
        <cdr:cNvSpPr txBox="1"/>
      </cdr:nvSpPr>
      <cdr:spPr>
        <a:xfrm xmlns:a="http://schemas.openxmlformats.org/drawingml/2006/main">
          <a:off x="742950" y="952500"/>
          <a:ext cx="695325" cy="20955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ja-JP" altLang="en-US" sz="800" b="1"/>
            <a:t>コロン建て</a:t>
          </a:r>
        </a:p>
      </cdr:txBody>
    </cdr:sp>
  </cdr:relSizeAnchor>
  <cdr:relSizeAnchor xmlns:cdr="http://schemas.openxmlformats.org/drawingml/2006/chartDrawing">
    <cdr:from>
      <cdr:x>0.05769</cdr:x>
      <cdr:y>0.00988</cdr:y>
    </cdr:from>
    <cdr:to>
      <cdr:x>0.24231</cdr:x>
      <cdr:y>0.24691</cdr:y>
    </cdr:to>
    <cdr:sp macro="" textlink="">
      <cdr:nvSpPr>
        <cdr:cNvPr id="4" name="テキスト ボックス 3"/>
        <cdr:cNvSpPr txBox="1"/>
      </cdr:nvSpPr>
      <cdr:spPr>
        <a:xfrm xmlns:a="http://schemas.openxmlformats.org/drawingml/2006/main">
          <a:off x="285750" y="38100"/>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ja-JP" altLang="en-US" sz="1100"/>
        </a:p>
      </cdr:txBody>
    </cdr:sp>
  </cdr:relSizeAnchor>
  <cdr:relSizeAnchor xmlns:cdr="http://schemas.openxmlformats.org/drawingml/2006/chartDrawing">
    <cdr:from>
      <cdr:x>0.13143</cdr:x>
      <cdr:y>0.40476</cdr:y>
    </cdr:from>
    <cdr:to>
      <cdr:x>0.24489</cdr:x>
      <cdr:y>0.46895</cdr:y>
    </cdr:to>
    <cdr:sp macro="" textlink="">
      <cdr:nvSpPr>
        <cdr:cNvPr id="5" name="テキスト ボックス 4"/>
        <cdr:cNvSpPr txBox="1"/>
      </cdr:nvSpPr>
      <cdr:spPr>
        <a:xfrm xmlns:a="http://schemas.openxmlformats.org/drawingml/2006/main">
          <a:off x="784924" y="1773435"/>
          <a:ext cx="677603" cy="281248"/>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ja-JP" altLang="en-US" sz="800" b="1"/>
            <a:t>ドル建て</a:t>
          </a:r>
        </a:p>
      </cdr:txBody>
    </cdr:sp>
  </cdr:relSizeAnchor>
  <cdr:relSizeAnchor xmlns:cdr="http://schemas.openxmlformats.org/drawingml/2006/chartDrawing">
    <cdr:from>
      <cdr:x>0.225</cdr:x>
      <cdr:y>0.2963</cdr:y>
    </cdr:from>
    <cdr:to>
      <cdr:x>0.23654</cdr:x>
      <cdr:y>0.32346</cdr:y>
    </cdr:to>
    <cdr:sp macro="" textlink="">
      <cdr:nvSpPr>
        <cdr:cNvPr id="6" name="下矢印 5"/>
        <cdr:cNvSpPr/>
      </cdr:nvSpPr>
      <cdr:spPr>
        <a:xfrm xmlns:a="http://schemas.openxmlformats.org/drawingml/2006/main">
          <a:off x="1114425" y="1143000"/>
          <a:ext cx="57150" cy="104775"/>
        </a:xfrm>
        <a:prstGeom xmlns:a="http://schemas.openxmlformats.org/drawingml/2006/main" prst="downArrow">
          <a:avLst/>
        </a:prstGeom>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ja-JP"/>
        </a:p>
      </cdr:txBody>
    </cdr:sp>
  </cdr:relSizeAnchor>
  <cdr:relSizeAnchor xmlns:cdr="http://schemas.openxmlformats.org/drawingml/2006/chartDrawing">
    <cdr:from>
      <cdr:x>0.17533</cdr:x>
      <cdr:y>0.45255</cdr:y>
    </cdr:from>
    <cdr:to>
      <cdr:x>0.18879</cdr:x>
      <cdr:y>0.48711</cdr:y>
    </cdr:to>
    <cdr:sp macro="" textlink="">
      <cdr:nvSpPr>
        <cdr:cNvPr id="7" name="下矢印 6"/>
        <cdr:cNvSpPr/>
      </cdr:nvSpPr>
      <cdr:spPr>
        <a:xfrm xmlns:a="http://schemas.openxmlformats.org/drawingml/2006/main">
          <a:off x="1047072" y="1982863"/>
          <a:ext cx="80386" cy="151425"/>
        </a:xfrm>
        <a:prstGeom xmlns:a="http://schemas.openxmlformats.org/drawingml/2006/main" prst="downArrow">
          <a:avLst/>
        </a:prstGeom>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ja-JP"/>
        </a:p>
      </cdr:txBody>
    </cdr:sp>
  </cdr:relSizeAnchor>
</c:userShape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2DC07E-BA91-4F17-8C83-B25D8ACA18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Pages>
  <Words>1134</Words>
  <Characters>6464</Characters>
  <Application>Microsoft Office Word</Application>
  <DocSecurity>0</DocSecurity>
  <Lines>53</Lines>
  <Paragraphs>15</Paragraphs>
  <ScaleCrop>false</ScaleCrop>
  <HeadingPairs>
    <vt:vector size="2" baseType="variant">
      <vt:variant>
        <vt:lpstr>タイトル</vt:lpstr>
      </vt:variant>
      <vt:variant>
        <vt:i4>1</vt:i4>
      </vt:variant>
    </vt:vector>
  </HeadingPairs>
  <TitlesOfParts>
    <vt:vector size="1" baseType="lpstr">
      <vt:lpstr/>
    </vt:vector>
  </TitlesOfParts>
  <Company>外務省</Company>
  <LinksUpToDate>false</LinksUpToDate>
  <CharactersWithSpaces>7583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情報通信課</dc:creator>
  <cp:lastModifiedBy>情報通信課</cp:lastModifiedBy>
  <cp:revision>2</cp:revision>
  <cp:lastPrinted>2014-10-28T23:12:00Z</cp:lastPrinted>
  <dcterms:created xsi:type="dcterms:W3CDTF">2014-11-06T02:39:00Z</dcterms:created>
  <dcterms:modified xsi:type="dcterms:W3CDTF">2014-11-06T02:39:00Z</dcterms:modified>
</cp:coreProperties>
</file>