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B7C" w:rsidRDefault="00D67D19" w:rsidP="00D67D19">
      <w:pPr>
        <w:jc w:val="center"/>
        <w:rPr>
          <w:rFonts w:hint="eastAsia"/>
        </w:rPr>
      </w:pPr>
      <w:bookmarkStart w:id="0" w:name="_GoBack"/>
      <w:bookmarkEnd w:id="0"/>
      <w:r w:rsidRPr="004C3081">
        <w:rPr>
          <w:rFonts w:hint="eastAsia"/>
        </w:rPr>
        <w:t>グアテマラ</w:t>
      </w:r>
      <w:r w:rsidR="004C3081" w:rsidRPr="004C3081">
        <w:rPr>
          <w:rFonts w:hint="eastAsia"/>
        </w:rPr>
        <w:t>内政・外交・経済</w:t>
      </w:r>
      <w:r w:rsidRPr="004C3081">
        <w:rPr>
          <w:rFonts w:hint="eastAsia"/>
        </w:rPr>
        <w:t>（</w:t>
      </w:r>
      <w:r w:rsidRPr="004C3081">
        <w:rPr>
          <w:rFonts w:hint="eastAsia"/>
        </w:rPr>
        <w:t>2014</w:t>
      </w:r>
      <w:r w:rsidRPr="004C3081">
        <w:rPr>
          <w:rFonts w:hint="eastAsia"/>
        </w:rPr>
        <w:t>年</w:t>
      </w:r>
      <w:r w:rsidR="00774285" w:rsidRPr="004C3081">
        <w:rPr>
          <w:rFonts w:hint="eastAsia"/>
        </w:rPr>
        <w:t>11</w:t>
      </w:r>
      <w:r w:rsidRPr="004C3081">
        <w:rPr>
          <w:rFonts w:hint="eastAsia"/>
        </w:rPr>
        <w:t>月）</w:t>
      </w:r>
    </w:p>
    <w:p w:rsidR="004C3081" w:rsidRPr="004C3081" w:rsidRDefault="004C3081" w:rsidP="00D67D19">
      <w:pPr>
        <w:jc w:val="center"/>
      </w:pPr>
    </w:p>
    <w:p w:rsidR="004907EF" w:rsidRPr="00764C3A" w:rsidRDefault="00D67D19" w:rsidP="004E5764">
      <w:pPr>
        <w:rPr>
          <w:shd w:val="pct15" w:color="auto" w:fill="FFFFFF"/>
        </w:rPr>
      </w:pPr>
      <w:r w:rsidRPr="004E5764">
        <w:rPr>
          <w:rFonts w:hint="eastAsia"/>
          <w:shd w:val="pct15" w:color="auto" w:fill="FFFFFF"/>
        </w:rPr>
        <w:t>１．内政</w:t>
      </w:r>
    </w:p>
    <w:p w:rsidR="00B540B3" w:rsidRDefault="00947ECE" w:rsidP="007524AC">
      <w:r>
        <w:rPr>
          <w:rFonts w:hint="eastAsia"/>
        </w:rPr>
        <w:t>（</w:t>
      </w:r>
      <w:r w:rsidR="006F14B0">
        <w:rPr>
          <w:rFonts w:hint="eastAsia"/>
        </w:rPr>
        <w:t>１</w:t>
      </w:r>
      <w:r>
        <w:rPr>
          <w:rFonts w:hint="eastAsia"/>
        </w:rPr>
        <w:t>）</w:t>
      </w:r>
      <w:r w:rsidR="009F4F82">
        <w:rPr>
          <w:rFonts w:hint="eastAsia"/>
        </w:rPr>
        <w:t>クエバス大統領府広報長官の辞任</w:t>
      </w:r>
    </w:p>
    <w:p w:rsidR="009F4F82" w:rsidRDefault="00E15249" w:rsidP="007524AC">
      <w:r>
        <w:rPr>
          <w:rFonts w:hint="eastAsia"/>
        </w:rPr>
        <w:t xml:space="preserve">　</w:t>
      </w:r>
      <w:r>
        <w:rPr>
          <w:rFonts w:hint="eastAsia"/>
        </w:rPr>
        <w:t>8</w:t>
      </w:r>
      <w:r w:rsidR="009F4F82">
        <w:rPr>
          <w:rFonts w:hint="eastAsia"/>
        </w:rPr>
        <w:t>日、クエバス大統領府広報長官は、健康上の理由（右膝の故障）を理由に辞任した。今後</w:t>
      </w:r>
      <w:r w:rsidR="009F4F82">
        <w:rPr>
          <w:rFonts w:hint="eastAsia"/>
        </w:rPr>
        <w:t>5</w:t>
      </w:r>
      <w:r w:rsidR="009F4F82">
        <w:rPr>
          <w:rFonts w:hint="eastAsia"/>
        </w:rPr>
        <w:t>か月間は治療に専念するが、同長官は公務復帰を希望しており、復帰先として在アルゼンチン大使館や在ロサンゼルス領事館が候補に挙げられている。</w:t>
      </w:r>
      <w:r w:rsidR="00991773">
        <w:rPr>
          <w:rFonts w:hint="eastAsia"/>
        </w:rPr>
        <w:t>10</w:t>
      </w:r>
      <w:r w:rsidR="00991773">
        <w:rPr>
          <w:rFonts w:hint="eastAsia"/>
        </w:rPr>
        <w:t>日、クエバス長官の後任として</w:t>
      </w:r>
      <w:r>
        <w:rPr>
          <w:rFonts w:hint="eastAsia"/>
        </w:rPr>
        <w:t>、エレーラ内務省広報担当官</w:t>
      </w:r>
      <w:r w:rsidR="00704DCA">
        <w:rPr>
          <w:rFonts w:hint="eastAsia"/>
        </w:rPr>
        <w:t>が就任した。</w:t>
      </w:r>
    </w:p>
    <w:p w:rsidR="004A4797" w:rsidRDefault="004A4797" w:rsidP="007524AC">
      <w:r>
        <w:rPr>
          <w:rFonts w:hint="eastAsia"/>
        </w:rPr>
        <w:t>（</w:t>
      </w:r>
      <w:r w:rsidR="006F14B0">
        <w:rPr>
          <w:rFonts w:hint="eastAsia"/>
        </w:rPr>
        <w:t>２</w:t>
      </w:r>
      <w:r>
        <w:rPr>
          <w:rFonts w:hint="eastAsia"/>
        </w:rPr>
        <w:t>）最高裁判事の任命</w:t>
      </w:r>
    </w:p>
    <w:p w:rsidR="004A4797" w:rsidRDefault="004A4797" w:rsidP="007524AC">
      <w:r>
        <w:rPr>
          <w:rFonts w:hint="eastAsia"/>
        </w:rPr>
        <w:t xml:space="preserve">　</w:t>
      </w:r>
      <w:r>
        <w:rPr>
          <w:rFonts w:hint="eastAsia"/>
        </w:rPr>
        <w:t>24</w:t>
      </w:r>
      <w:r>
        <w:rPr>
          <w:rFonts w:hint="eastAsia"/>
        </w:rPr>
        <w:t>日、最高裁判事の任命式が国会で行われた。</w:t>
      </w:r>
      <w:r>
        <w:rPr>
          <w:rFonts w:hint="eastAsia"/>
        </w:rPr>
        <w:t>10</w:t>
      </w:r>
      <w:r>
        <w:rPr>
          <w:rFonts w:hint="eastAsia"/>
        </w:rPr>
        <w:t>月、憲法裁判所は、最高裁判事の選出が適切に実施されなかったとの訴えを受け、同</w:t>
      </w:r>
      <w:r>
        <w:rPr>
          <w:rFonts w:hint="eastAsia"/>
        </w:rPr>
        <w:t>13</w:t>
      </w:r>
      <w:r>
        <w:rPr>
          <w:rFonts w:hint="eastAsia"/>
        </w:rPr>
        <w:t>日に予定されていた国会での任命式延期の仮処分を下していたが、最終的に最高裁判事の任命を認めた。最高裁長官には、</w:t>
      </w:r>
      <w:r w:rsidR="00014A2D">
        <w:rPr>
          <w:rFonts w:hint="eastAsia"/>
        </w:rPr>
        <w:t>フェリペ・</w:t>
      </w:r>
      <w:r>
        <w:rPr>
          <w:rFonts w:hint="eastAsia"/>
        </w:rPr>
        <w:t>バキアシュ氏が選ばれた。</w:t>
      </w:r>
    </w:p>
    <w:p w:rsidR="0027387F" w:rsidRDefault="0027387F" w:rsidP="007524AC">
      <w:r>
        <w:rPr>
          <w:rFonts w:hint="eastAsia"/>
        </w:rPr>
        <w:t>（</w:t>
      </w:r>
      <w:r w:rsidR="006F14B0">
        <w:rPr>
          <w:rFonts w:hint="eastAsia"/>
        </w:rPr>
        <w:t>３</w:t>
      </w:r>
      <w:r>
        <w:rPr>
          <w:rFonts w:hint="eastAsia"/>
        </w:rPr>
        <w:t>）</w:t>
      </w:r>
      <w:r>
        <w:rPr>
          <w:rFonts w:hint="eastAsia"/>
        </w:rPr>
        <w:t>2015</w:t>
      </w:r>
      <w:r w:rsidR="00BF0C8A">
        <w:rPr>
          <w:rFonts w:hint="eastAsia"/>
        </w:rPr>
        <w:t>年</w:t>
      </w:r>
      <w:r>
        <w:rPr>
          <w:rFonts w:hint="eastAsia"/>
        </w:rPr>
        <w:t>予算</w:t>
      </w:r>
      <w:r w:rsidR="0013414C">
        <w:rPr>
          <w:rFonts w:hint="eastAsia"/>
        </w:rPr>
        <w:t>案</w:t>
      </w:r>
      <w:r>
        <w:rPr>
          <w:rFonts w:hint="eastAsia"/>
        </w:rPr>
        <w:t>の可決</w:t>
      </w:r>
    </w:p>
    <w:p w:rsidR="006A6C4A" w:rsidRDefault="0013414C" w:rsidP="007524AC">
      <w:r>
        <w:rPr>
          <w:rFonts w:hint="eastAsia"/>
        </w:rPr>
        <w:t xml:space="preserve">　</w:t>
      </w:r>
      <w:r>
        <w:rPr>
          <w:rFonts w:hint="eastAsia"/>
        </w:rPr>
        <w:t>28</w:t>
      </w:r>
      <w:r>
        <w:rPr>
          <w:rFonts w:hint="eastAsia"/>
        </w:rPr>
        <w:t>日、</w:t>
      </w:r>
      <w:r>
        <w:rPr>
          <w:rFonts w:hint="eastAsia"/>
        </w:rPr>
        <w:t>2015</w:t>
      </w:r>
      <w:r w:rsidR="00BF0C8A">
        <w:rPr>
          <w:rFonts w:hint="eastAsia"/>
        </w:rPr>
        <w:t>年</w:t>
      </w:r>
      <w:r>
        <w:rPr>
          <w:rFonts w:hint="eastAsia"/>
        </w:rPr>
        <w:t>予算案が国会で可決した。</w:t>
      </w:r>
      <w:r>
        <w:rPr>
          <w:rFonts w:hint="eastAsia"/>
        </w:rPr>
        <w:t>2015</w:t>
      </w:r>
      <w:r w:rsidR="00BF0C8A">
        <w:rPr>
          <w:rFonts w:hint="eastAsia"/>
        </w:rPr>
        <w:t>年</w:t>
      </w:r>
      <w:r>
        <w:rPr>
          <w:rFonts w:hint="eastAsia"/>
        </w:rPr>
        <w:t>予算は</w:t>
      </w:r>
      <w:r>
        <w:rPr>
          <w:rFonts w:hint="eastAsia"/>
        </w:rPr>
        <w:t>70,600</w:t>
      </w:r>
      <w:r>
        <w:rPr>
          <w:rFonts w:hint="eastAsia"/>
        </w:rPr>
        <w:t>百万ケツァル（約</w:t>
      </w:r>
      <w:r>
        <w:rPr>
          <w:rFonts w:hint="eastAsia"/>
        </w:rPr>
        <w:t>93</w:t>
      </w:r>
      <w:r>
        <w:rPr>
          <w:rFonts w:hint="eastAsia"/>
        </w:rPr>
        <w:t>億米ドル）。</w:t>
      </w:r>
      <w:r w:rsidR="007B30BF">
        <w:rPr>
          <w:rFonts w:hint="eastAsia"/>
        </w:rPr>
        <w:t>前年比</w:t>
      </w:r>
      <w:r w:rsidR="007B30BF">
        <w:rPr>
          <w:rFonts w:hint="eastAsia"/>
        </w:rPr>
        <w:t>3.1%</w:t>
      </w:r>
      <w:r w:rsidR="007B30BF">
        <w:rPr>
          <w:rFonts w:hint="eastAsia"/>
        </w:rPr>
        <w:t>増。併せて、国債</w:t>
      </w:r>
      <w:r w:rsidR="00A37974">
        <w:rPr>
          <w:rFonts w:hint="eastAsia"/>
        </w:rPr>
        <w:t>発行</w:t>
      </w:r>
      <w:r w:rsidR="007B30BF">
        <w:rPr>
          <w:rFonts w:hint="eastAsia"/>
        </w:rPr>
        <w:t>、</w:t>
      </w:r>
      <w:r w:rsidR="00E04172">
        <w:rPr>
          <w:rFonts w:hint="eastAsia"/>
        </w:rPr>
        <w:t>外国ローン発行、</w:t>
      </w:r>
      <w:r w:rsidR="007B30BF">
        <w:rPr>
          <w:rFonts w:hint="eastAsia"/>
        </w:rPr>
        <w:t>携帯・固定電話に対する新税</w:t>
      </w:r>
      <w:r w:rsidR="00A37974">
        <w:rPr>
          <w:rFonts w:hint="eastAsia"/>
        </w:rPr>
        <w:t>創設</w:t>
      </w:r>
      <w:r w:rsidR="007B30BF">
        <w:rPr>
          <w:rFonts w:hint="eastAsia"/>
        </w:rPr>
        <w:t>、セメント税の増税、鉱山開発にかかるロイヤルティーの増率が承認された。</w:t>
      </w:r>
    </w:p>
    <w:p w:rsidR="00DF29BA" w:rsidRDefault="00DF29BA" w:rsidP="007524AC">
      <w:r>
        <w:rPr>
          <w:noProof/>
        </w:rPr>
        <w:drawing>
          <wp:inline distT="0" distB="0" distL="0" distR="0">
            <wp:extent cx="5083302" cy="3374136"/>
            <wp:effectExtent l="19050" t="0" r="3048" b="0"/>
            <wp:docPr id="20"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083783" cy="3374455"/>
                    </a:xfrm>
                    <a:prstGeom prst="rect">
                      <a:avLst/>
                    </a:prstGeom>
                    <a:noFill/>
                    <a:ln w="9525">
                      <a:noFill/>
                      <a:miter lim="800000"/>
                      <a:headEnd/>
                      <a:tailEnd/>
                    </a:ln>
                  </pic:spPr>
                </pic:pic>
              </a:graphicData>
            </a:graphic>
          </wp:inline>
        </w:drawing>
      </w:r>
    </w:p>
    <w:p w:rsidR="00DF29BA" w:rsidRDefault="00DF29BA" w:rsidP="007524AC"/>
    <w:p w:rsidR="006A6C4A" w:rsidRDefault="006A6C4A" w:rsidP="007524AC">
      <w:r>
        <w:rPr>
          <w:rFonts w:hint="eastAsia"/>
        </w:rPr>
        <w:t>（</w:t>
      </w:r>
      <w:r w:rsidR="006F14B0">
        <w:rPr>
          <w:rFonts w:hint="eastAsia"/>
        </w:rPr>
        <w:t>４</w:t>
      </w:r>
      <w:r>
        <w:rPr>
          <w:rFonts w:hint="eastAsia"/>
        </w:rPr>
        <w:t>）次期大統領選に関する世論調査</w:t>
      </w:r>
    </w:p>
    <w:p w:rsidR="006A6C4A" w:rsidRDefault="006A6C4A" w:rsidP="007524AC">
      <w:r>
        <w:rPr>
          <w:rFonts w:hint="eastAsia"/>
        </w:rPr>
        <w:t xml:space="preserve">　当地主要誌コントラ・ポデール誌及びテレビ局カナル・アンテ</w:t>
      </w:r>
      <w:r w:rsidR="009205C9">
        <w:rPr>
          <w:rFonts w:hint="eastAsia"/>
        </w:rPr>
        <w:t>ィグアが共同で実施した次期大統領選に関する世論</w:t>
      </w:r>
      <w:r>
        <w:rPr>
          <w:rFonts w:hint="eastAsia"/>
        </w:rPr>
        <w:t>調査によれば、</w:t>
      </w:r>
      <w:r w:rsidR="00FE1419">
        <w:rPr>
          <w:rFonts w:hint="eastAsia"/>
        </w:rPr>
        <w:t>2</w:t>
      </w:r>
      <w:r w:rsidR="00FE1419">
        <w:rPr>
          <w:rFonts w:hint="eastAsia"/>
        </w:rPr>
        <w:t>位のシニバルディ与党</w:t>
      </w:r>
      <w:r w:rsidR="00FE1419">
        <w:rPr>
          <w:rFonts w:hint="eastAsia"/>
        </w:rPr>
        <w:t>PP</w:t>
      </w:r>
      <w:r w:rsidR="00FE1419">
        <w:rPr>
          <w:rFonts w:hint="eastAsia"/>
        </w:rPr>
        <w:t>候補が支持率を高め</w:t>
      </w:r>
      <w:r w:rsidR="00FE1419">
        <w:rPr>
          <w:rFonts w:hint="eastAsia"/>
        </w:rPr>
        <w:lastRenderedPageBreak/>
        <w:t>る一方、</w:t>
      </w:r>
      <w:r>
        <w:rPr>
          <w:rFonts w:hint="eastAsia"/>
        </w:rPr>
        <w:t>バルディソン</w:t>
      </w:r>
      <w:r>
        <w:rPr>
          <w:rFonts w:hint="eastAsia"/>
        </w:rPr>
        <w:t>LIDER</w:t>
      </w:r>
      <w:r>
        <w:rPr>
          <w:rFonts w:hint="eastAsia"/>
        </w:rPr>
        <w:t>大統領候補が</w:t>
      </w:r>
      <w:r w:rsidR="00FE1419">
        <w:rPr>
          <w:rFonts w:hint="eastAsia"/>
        </w:rPr>
        <w:t>それ以上の支持を集め、</w:t>
      </w:r>
      <w:r>
        <w:rPr>
          <w:rFonts w:hint="eastAsia"/>
        </w:rPr>
        <w:t>2</w:t>
      </w:r>
      <w:r w:rsidR="00FE1419">
        <w:rPr>
          <w:rFonts w:hint="eastAsia"/>
        </w:rPr>
        <w:t>位との差を更に拡げている</w:t>
      </w:r>
      <w:r>
        <w:rPr>
          <w:rFonts w:hint="eastAsia"/>
        </w:rPr>
        <w:t>。</w:t>
      </w:r>
    </w:p>
    <w:p w:rsidR="006A6C4A" w:rsidRPr="006A6C4A" w:rsidRDefault="00021602" w:rsidP="007524AC">
      <w:r>
        <w:rPr>
          <w:noProof/>
        </w:rPr>
        <w:drawing>
          <wp:inline distT="0" distB="0" distL="0" distR="0">
            <wp:extent cx="5400040" cy="3150235"/>
            <wp:effectExtent l="19050" t="0" r="10160" b="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76F00" w:rsidRDefault="00C20E3A" w:rsidP="00C20E3A">
      <w:pPr>
        <w:jc w:val="right"/>
      </w:pPr>
      <w:r>
        <w:rPr>
          <w:rFonts w:hint="eastAsia"/>
        </w:rPr>
        <w:t>（出所：コントラ・ポデール誌</w:t>
      </w:r>
      <w:r>
        <w:rPr>
          <w:rFonts w:hint="eastAsia"/>
        </w:rPr>
        <w:t>2014</w:t>
      </w:r>
      <w:r>
        <w:rPr>
          <w:rFonts w:hint="eastAsia"/>
        </w:rPr>
        <w:t>年</w:t>
      </w:r>
      <w:r>
        <w:rPr>
          <w:rFonts w:hint="eastAsia"/>
        </w:rPr>
        <w:t>11</w:t>
      </w:r>
      <w:r>
        <w:rPr>
          <w:rFonts w:hint="eastAsia"/>
        </w:rPr>
        <w:t>月</w:t>
      </w:r>
      <w:r>
        <w:rPr>
          <w:rFonts w:hint="eastAsia"/>
        </w:rPr>
        <w:t>28</w:t>
      </w:r>
      <w:r>
        <w:rPr>
          <w:rFonts w:hint="eastAsia"/>
        </w:rPr>
        <w:t>日号）</w:t>
      </w:r>
    </w:p>
    <w:p w:rsidR="00DF29BA" w:rsidRPr="005B37FC" w:rsidRDefault="00DF29BA" w:rsidP="00C20E3A">
      <w:pPr>
        <w:jc w:val="right"/>
      </w:pPr>
    </w:p>
    <w:p w:rsidR="007524AC" w:rsidRPr="006F14B0" w:rsidRDefault="004E5764" w:rsidP="007524AC">
      <w:pPr>
        <w:rPr>
          <w:shd w:val="pct15" w:color="auto" w:fill="FFFFFF"/>
        </w:rPr>
      </w:pPr>
      <w:r w:rsidRPr="004E5764">
        <w:rPr>
          <w:rFonts w:hint="eastAsia"/>
          <w:shd w:val="pct15" w:color="auto" w:fill="FFFFFF"/>
        </w:rPr>
        <w:t>２．外交</w:t>
      </w:r>
    </w:p>
    <w:p w:rsidR="00D25CA9" w:rsidRDefault="00E75BFB" w:rsidP="009079F3">
      <w:r>
        <w:rPr>
          <w:rFonts w:hint="eastAsia"/>
        </w:rPr>
        <w:t>（</w:t>
      </w:r>
      <w:r w:rsidR="006F14B0">
        <w:rPr>
          <w:rFonts w:hint="eastAsia"/>
        </w:rPr>
        <w:t>１</w:t>
      </w:r>
      <w:r>
        <w:rPr>
          <w:rFonts w:hint="eastAsia"/>
        </w:rPr>
        <w:t>）米国におけるグアテマラ出身議員の誕生</w:t>
      </w:r>
    </w:p>
    <w:p w:rsidR="00E75BFB" w:rsidRPr="00E75BFB" w:rsidRDefault="00E75BFB" w:rsidP="009079F3">
      <w:r>
        <w:rPr>
          <w:rFonts w:hint="eastAsia"/>
        </w:rPr>
        <w:t xml:space="preserve">　</w:t>
      </w:r>
      <w:r>
        <w:rPr>
          <w:rFonts w:hint="eastAsia"/>
        </w:rPr>
        <w:t>4</w:t>
      </w:r>
      <w:r>
        <w:rPr>
          <w:rFonts w:hint="eastAsia"/>
        </w:rPr>
        <w:t>日、米国で行われた連邦議会の中間選挙において、グアテマラ・エスクイントラ県出身のトーレス氏（現カリフォルニア州議会上院議員</w:t>
      </w:r>
      <w:r w:rsidR="00F92DDB">
        <w:rPr>
          <w:rFonts w:hint="eastAsia"/>
        </w:rPr>
        <w:t>、民主党</w:t>
      </w:r>
      <w:r>
        <w:rPr>
          <w:rFonts w:hint="eastAsia"/>
        </w:rPr>
        <w:t>）が下院議員に当選した。米国連邦議会議員に当選した中米出身者はトーレス氏が初めてである。</w:t>
      </w:r>
    </w:p>
    <w:p w:rsidR="00E75BFB" w:rsidRDefault="00683B10" w:rsidP="009079F3">
      <w:r>
        <w:rPr>
          <w:rFonts w:hint="eastAsia"/>
        </w:rPr>
        <w:t>（</w:t>
      </w:r>
      <w:r w:rsidR="006F14B0">
        <w:rPr>
          <w:rFonts w:hint="eastAsia"/>
        </w:rPr>
        <w:t>２</w:t>
      </w:r>
      <w:r>
        <w:rPr>
          <w:rFonts w:hint="eastAsia"/>
        </w:rPr>
        <w:t>）ペレス・モリーナ大統領の訪米</w:t>
      </w:r>
    </w:p>
    <w:p w:rsidR="00683B10" w:rsidRPr="00683B10" w:rsidRDefault="001B0EB8" w:rsidP="009079F3">
      <w:r>
        <w:rPr>
          <w:rFonts w:hint="eastAsia"/>
        </w:rPr>
        <w:t xml:space="preserve">　</w:t>
      </w:r>
      <w:r>
        <w:rPr>
          <w:rFonts w:hint="eastAsia"/>
        </w:rPr>
        <w:t>14</w:t>
      </w:r>
      <w:r>
        <w:rPr>
          <w:rFonts w:hint="eastAsia"/>
        </w:rPr>
        <w:t>日、ペレス・モリーナ大統領は、エルナンデス・ホンジュラス大統領及びサンチェス・セレン・エルサルバドル大統領と共に、</w:t>
      </w:r>
      <w:r w:rsidR="001A4702">
        <w:rPr>
          <w:rFonts w:hint="eastAsia"/>
        </w:rPr>
        <w:t>バイデン米副大統領と会談を行った。バイデン</w:t>
      </w:r>
      <w:r w:rsidR="009205C9">
        <w:rPr>
          <w:rFonts w:hint="eastAsia"/>
        </w:rPr>
        <w:t>米</w:t>
      </w:r>
      <w:r w:rsidR="001A4702">
        <w:rPr>
          <w:rFonts w:hint="eastAsia"/>
        </w:rPr>
        <w:t>副大統領は、</w:t>
      </w:r>
      <w:r w:rsidR="001A4702">
        <w:rPr>
          <w:rFonts w:hint="eastAsia"/>
        </w:rPr>
        <w:t>12</w:t>
      </w:r>
      <w:r w:rsidR="001A4702">
        <w:rPr>
          <w:rFonts w:hint="eastAsia"/>
        </w:rPr>
        <w:t>月以降、米国において合法的に滞在しているグアテマラ、ホンジュラス及びエルサルバドル出身者の子供（一定の条件を満たした者）に対して、難民ステータスを申請できる旨発表した。</w:t>
      </w:r>
    </w:p>
    <w:p w:rsidR="00E97719" w:rsidRPr="001A4702" w:rsidRDefault="00E97719" w:rsidP="009079F3"/>
    <w:p w:rsidR="00F662F8" w:rsidRPr="00324552" w:rsidRDefault="00F662F8" w:rsidP="00F662F8">
      <w:pPr>
        <w:rPr>
          <w:shd w:val="pct15" w:color="auto" w:fill="FFFFFF"/>
        </w:rPr>
      </w:pPr>
      <w:r>
        <w:rPr>
          <w:rFonts w:hint="eastAsia"/>
          <w:shd w:val="pct15" w:color="auto" w:fill="FFFFFF"/>
        </w:rPr>
        <w:t>３．経済</w:t>
      </w:r>
    </w:p>
    <w:p w:rsidR="007524AC" w:rsidRDefault="00376229" w:rsidP="007524AC">
      <w:pPr>
        <w:rPr>
          <w:lang w:val="es-ES"/>
        </w:rPr>
      </w:pPr>
      <w:r>
        <w:rPr>
          <w:rFonts w:hint="eastAsia"/>
          <w:lang w:val="es-ES"/>
        </w:rPr>
        <w:t>（</w:t>
      </w:r>
      <w:r w:rsidR="006F14B0">
        <w:rPr>
          <w:rFonts w:hint="eastAsia"/>
          <w:lang w:val="es-ES"/>
        </w:rPr>
        <w:t>１</w:t>
      </w:r>
      <w:r>
        <w:rPr>
          <w:rFonts w:hint="eastAsia"/>
          <w:lang w:val="es-ES"/>
        </w:rPr>
        <w:t>）</w:t>
      </w:r>
      <w:r w:rsidR="00C01547">
        <w:rPr>
          <w:rFonts w:hint="eastAsia"/>
          <w:lang w:val="es-ES"/>
        </w:rPr>
        <w:t>メソアメリカ・エネルギー投資サミットの開催</w:t>
      </w:r>
    </w:p>
    <w:p w:rsidR="00C85E37" w:rsidRDefault="00C85E37" w:rsidP="007524AC">
      <w:pPr>
        <w:rPr>
          <w:lang w:val="es-ES"/>
        </w:rPr>
      </w:pPr>
      <w:r>
        <w:rPr>
          <w:rFonts w:hint="eastAsia"/>
          <w:lang w:val="es-ES"/>
        </w:rPr>
        <w:t xml:space="preserve">　</w:t>
      </w:r>
      <w:r w:rsidR="00C01547">
        <w:rPr>
          <w:rFonts w:hint="eastAsia"/>
          <w:lang w:val="es-ES"/>
        </w:rPr>
        <w:t>4</w:t>
      </w:r>
      <w:r w:rsidR="00C01547">
        <w:rPr>
          <w:rFonts w:hint="eastAsia"/>
          <w:lang w:val="es-ES"/>
        </w:rPr>
        <w:t>日、グアテマラ市において開催された</w:t>
      </w:r>
      <w:r>
        <w:rPr>
          <w:rFonts w:hint="eastAsia"/>
          <w:lang w:val="es-ES"/>
        </w:rPr>
        <w:t>メソアメリカ・エネルギー投資サミットにおいて、</w:t>
      </w:r>
      <w:r w:rsidR="00C01547">
        <w:rPr>
          <w:rFonts w:hint="eastAsia"/>
          <w:lang w:val="es-ES"/>
        </w:rPr>
        <w:t>ペレス・モリーナ大統領は、</w:t>
      </w:r>
      <w:r>
        <w:rPr>
          <w:rFonts w:hint="eastAsia"/>
          <w:lang w:val="es-ES"/>
        </w:rPr>
        <w:t>コールドウェル・メキシコエネルギー大臣と共に、グアテマラ及びメキシコを流れるウスマシンタ川における水力発電所の建設を発表した。両国政府は、同発電所建設の他、グアテマラ－メキシコ間のガスパイプラインや国境付近の石油開</w:t>
      </w:r>
      <w:r w:rsidR="009205C9">
        <w:rPr>
          <w:rFonts w:hint="eastAsia"/>
          <w:lang w:val="es-ES"/>
        </w:rPr>
        <w:lastRenderedPageBreak/>
        <w:t>発計画等、エネルギー分野における協力を推進する旨発表した</w:t>
      </w:r>
      <w:r>
        <w:rPr>
          <w:rFonts w:hint="eastAsia"/>
          <w:lang w:val="es-ES"/>
        </w:rPr>
        <w:t>。</w:t>
      </w:r>
    </w:p>
    <w:p w:rsidR="00F9326B" w:rsidRDefault="00F9326B" w:rsidP="007524AC">
      <w:pPr>
        <w:rPr>
          <w:lang w:val="es-ES"/>
        </w:rPr>
      </w:pPr>
      <w:r>
        <w:rPr>
          <w:rFonts w:hint="eastAsia"/>
          <w:lang w:val="es-ES"/>
        </w:rPr>
        <w:t>（</w:t>
      </w:r>
      <w:r w:rsidR="006F14B0">
        <w:rPr>
          <w:rFonts w:hint="eastAsia"/>
          <w:lang w:val="es-ES"/>
        </w:rPr>
        <w:t>２</w:t>
      </w:r>
      <w:r>
        <w:rPr>
          <w:rFonts w:hint="eastAsia"/>
          <w:lang w:val="es-ES"/>
        </w:rPr>
        <w:t>）ガスパイプライン建設計画</w:t>
      </w:r>
    </w:p>
    <w:p w:rsidR="00F9326B" w:rsidRDefault="00F9326B" w:rsidP="007524AC">
      <w:pPr>
        <w:rPr>
          <w:lang w:val="es-ES"/>
        </w:rPr>
      </w:pPr>
      <w:r>
        <w:rPr>
          <w:rFonts w:hint="eastAsia"/>
          <w:lang w:val="es-ES"/>
        </w:rPr>
        <w:t xml:space="preserve">　コールドウェル・メキシコエネルギー大臣によれば、メキシコ－グアテマラ間のガスパイプライン建設計画（全長</w:t>
      </w:r>
      <w:r>
        <w:rPr>
          <w:rFonts w:hint="eastAsia"/>
          <w:lang w:val="es-ES"/>
        </w:rPr>
        <w:t>600km</w:t>
      </w:r>
      <w:r>
        <w:rPr>
          <w:rFonts w:hint="eastAsia"/>
          <w:lang w:val="es-ES"/>
        </w:rPr>
        <w:t>）は官民パートナーシップではなく、民間事業となる旨発表した。同建設計画の総事業費は</w:t>
      </w:r>
      <w:r>
        <w:rPr>
          <w:rFonts w:hint="eastAsia"/>
          <w:lang w:val="es-ES"/>
        </w:rPr>
        <w:t>527</w:t>
      </w:r>
      <w:r>
        <w:rPr>
          <w:rFonts w:hint="eastAsia"/>
          <w:lang w:val="es-ES"/>
        </w:rPr>
        <w:t>百万米ドル（メキシコ側</w:t>
      </w:r>
      <w:r>
        <w:rPr>
          <w:rFonts w:hint="eastAsia"/>
          <w:lang w:val="es-ES"/>
        </w:rPr>
        <w:t>365</w:t>
      </w:r>
      <w:r>
        <w:rPr>
          <w:rFonts w:hint="eastAsia"/>
          <w:lang w:val="es-ES"/>
        </w:rPr>
        <w:t>百万米ドル、グアテマラ側</w:t>
      </w:r>
      <w:r>
        <w:rPr>
          <w:rFonts w:hint="eastAsia"/>
          <w:lang w:val="es-ES"/>
        </w:rPr>
        <w:t>162</w:t>
      </w:r>
      <w:r>
        <w:rPr>
          <w:rFonts w:hint="eastAsia"/>
          <w:lang w:val="es-ES"/>
        </w:rPr>
        <w:t>百万米ドル）となる予定。グアテマラにおいては、</w:t>
      </w:r>
      <w:r>
        <w:rPr>
          <w:rFonts w:hint="eastAsia"/>
          <w:lang w:val="es-ES"/>
        </w:rPr>
        <w:t>300</w:t>
      </w:r>
      <w:r w:rsidR="007B6C71">
        <w:rPr>
          <w:rFonts w:hint="eastAsia"/>
          <w:lang w:val="es-ES"/>
        </w:rPr>
        <w:t>MW</w:t>
      </w:r>
      <w:r w:rsidR="007B6C71">
        <w:rPr>
          <w:rFonts w:hint="eastAsia"/>
          <w:lang w:val="es-ES"/>
        </w:rPr>
        <w:t>級の</w:t>
      </w:r>
      <w:r>
        <w:rPr>
          <w:rFonts w:hint="eastAsia"/>
          <w:lang w:val="es-ES"/>
        </w:rPr>
        <w:t>発電所建設も計画されている。</w:t>
      </w:r>
    </w:p>
    <w:p w:rsidR="00B240CF" w:rsidRDefault="00B240CF" w:rsidP="007524AC">
      <w:pPr>
        <w:rPr>
          <w:lang w:val="es-ES"/>
        </w:rPr>
      </w:pPr>
      <w:r>
        <w:rPr>
          <w:rFonts w:hint="eastAsia"/>
          <w:lang w:val="es-ES"/>
        </w:rPr>
        <w:t>（</w:t>
      </w:r>
      <w:r w:rsidR="006F14B0">
        <w:rPr>
          <w:rFonts w:hint="eastAsia"/>
          <w:lang w:val="es-ES"/>
        </w:rPr>
        <w:t>３</w:t>
      </w:r>
      <w:r>
        <w:rPr>
          <w:rFonts w:hint="eastAsia"/>
          <w:lang w:val="es-ES"/>
        </w:rPr>
        <w:t>）ロジスティクス改善の必要性</w:t>
      </w:r>
    </w:p>
    <w:p w:rsidR="00B240CF" w:rsidRDefault="00B240CF" w:rsidP="007524AC">
      <w:pPr>
        <w:rPr>
          <w:lang w:val="es-ES"/>
        </w:rPr>
      </w:pPr>
      <w:r>
        <w:rPr>
          <w:rFonts w:hint="eastAsia"/>
          <w:lang w:val="es-ES"/>
        </w:rPr>
        <w:t xml:space="preserve">　ベナトン中米産業会議所連合会頭は、</w:t>
      </w:r>
      <w:r w:rsidR="008B2D6C">
        <w:rPr>
          <w:rFonts w:hint="eastAsia"/>
          <w:lang w:val="es-ES"/>
        </w:rPr>
        <w:t>輸送の速さについて、米国においては平均時速</w:t>
      </w:r>
      <w:r w:rsidR="008B2D6C">
        <w:rPr>
          <w:rFonts w:hint="eastAsia"/>
          <w:lang w:val="es-ES"/>
        </w:rPr>
        <w:t>80km</w:t>
      </w:r>
      <w:r w:rsidR="008B2D6C">
        <w:rPr>
          <w:rFonts w:hint="eastAsia"/>
          <w:lang w:val="es-ES"/>
        </w:rPr>
        <w:t>で輸送している一方、中米地域では平均時速</w:t>
      </w:r>
      <w:r w:rsidR="008B2D6C">
        <w:rPr>
          <w:rFonts w:hint="eastAsia"/>
          <w:lang w:val="es-ES"/>
        </w:rPr>
        <w:t>18km</w:t>
      </w:r>
      <w:r w:rsidR="00BF0C8A">
        <w:rPr>
          <w:rFonts w:hint="eastAsia"/>
          <w:lang w:val="es-ES"/>
        </w:rPr>
        <w:t>でしかない</w:t>
      </w:r>
      <w:r w:rsidR="008B2D6C">
        <w:rPr>
          <w:rFonts w:hint="eastAsia"/>
          <w:lang w:val="es-ES"/>
        </w:rPr>
        <w:t>ため、その分輸送コストが高いことを指摘した上で、中米地域の競争力を高めるためには、輸送及び関税手続きの迅速化が必要であるとの見解を示した。</w:t>
      </w:r>
    </w:p>
    <w:p w:rsidR="002C7D73" w:rsidRDefault="002C7D73" w:rsidP="007524AC">
      <w:pPr>
        <w:rPr>
          <w:lang w:val="es-ES"/>
        </w:rPr>
      </w:pPr>
      <w:r>
        <w:rPr>
          <w:rFonts w:hint="eastAsia"/>
          <w:lang w:val="es-ES"/>
        </w:rPr>
        <w:t>（</w:t>
      </w:r>
      <w:r w:rsidR="006F14B0">
        <w:rPr>
          <w:rFonts w:hint="eastAsia"/>
          <w:lang w:val="es-ES"/>
        </w:rPr>
        <w:t>４</w:t>
      </w:r>
      <w:r>
        <w:rPr>
          <w:rFonts w:hint="eastAsia"/>
          <w:lang w:val="es-ES"/>
        </w:rPr>
        <w:t>）観光客の増加</w:t>
      </w:r>
    </w:p>
    <w:p w:rsidR="002C7D73" w:rsidRDefault="002C7D73" w:rsidP="007524AC">
      <w:pPr>
        <w:rPr>
          <w:lang w:val="es-ES"/>
        </w:rPr>
      </w:pPr>
      <w:r>
        <w:rPr>
          <w:rFonts w:hint="eastAsia"/>
          <w:lang w:val="es-ES"/>
        </w:rPr>
        <w:t xml:space="preserve">　観光庁によれば、</w:t>
      </w:r>
      <w:r>
        <w:rPr>
          <w:rFonts w:hint="eastAsia"/>
          <w:lang w:val="es-ES"/>
        </w:rPr>
        <w:t>9</w:t>
      </w:r>
      <w:r>
        <w:rPr>
          <w:rFonts w:hint="eastAsia"/>
          <w:lang w:val="es-ES"/>
        </w:rPr>
        <w:t>月の外国人観光客は</w:t>
      </w:r>
      <w:r>
        <w:rPr>
          <w:rFonts w:hint="eastAsia"/>
          <w:lang w:val="es-ES"/>
        </w:rPr>
        <w:t>133,602</w:t>
      </w:r>
      <w:r>
        <w:rPr>
          <w:rFonts w:hint="eastAsia"/>
          <w:lang w:val="es-ES"/>
        </w:rPr>
        <w:t>人に上り、前年同期比で</w:t>
      </w:r>
      <w:r>
        <w:rPr>
          <w:rFonts w:hint="eastAsia"/>
          <w:lang w:val="es-ES"/>
        </w:rPr>
        <w:t>3.4%</w:t>
      </w:r>
      <w:r>
        <w:rPr>
          <w:rFonts w:hint="eastAsia"/>
          <w:lang w:val="es-ES"/>
        </w:rPr>
        <w:t>増加した。それに伴い、同月の国際観光収入は</w:t>
      </w:r>
      <w:r>
        <w:rPr>
          <w:rFonts w:hint="eastAsia"/>
          <w:lang w:val="es-ES"/>
        </w:rPr>
        <w:t>3.3%</w:t>
      </w:r>
      <w:r>
        <w:rPr>
          <w:rFonts w:hint="eastAsia"/>
          <w:lang w:val="es-ES"/>
        </w:rPr>
        <w:t>増加した。</w:t>
      </w:r>
      <w:r>
        <w:rPr>
          <w:rFonts w:hint="eastAsia"/>
          <w:lang w:val="es-ES"/>
        </w:rPr>
        <w:t>9</w:t>
      </w:r>
      <w:r w:rsidR="00AF651B">
        <w:rPr>
          <w:rFonts w:hint="eastAsia"/>
          <w:lang w:val="es-ES"/>
        </w:rPr>
        <w:t>月までの累計観光客数は</w:t>
      </w:r>
      <w:r>
        <w:rPr>
          <w:rFonts w:hint="eastAsia"/>
          <w:lang w:val="es-ES"/>
        </w:rPr>
        <w:t>156</w:t>
      </w:r>
      <w:r>
        <w:rPr>
          <w:rFonts w:hint="eastAsia"/>
          <w:lang w:val="es-ES"/>
        </w:rPr>
        <w:t>万人に達しており、前年同期比で</w:t>
      </w:r>
      <w:r>
        <w:rPr>
          <w:rFonts w:hint="eastAsia"/>
          <w:lang w:val="es-ES"/>
        </w:rPr>
        <w:t>7.3%</w:t>
      </w:r>
      <w:r>
        <w:rPr>
          <w:rFonts w:hint="eastAsia"/>
          <w:lang w:val="es-ES"/>
        </w:rPr>
        <w:t>増加</w:t>
      </w:r>
      <w:r w:rsidR="00AF651B">
        <w:rPr>
          <w:rFonts w:hint="eastAsia"/>
          <w:lang w:val="es-ES"/>
        </w:rPr>
        <w:t>、国際観光収入は前年同期比で</w:t>
      </w:r>
      <w:r w:rsidR="00AF651B">
        <w:rPr>
          <w:rFonts w:hint="eastAsia"/>
          <w:lang w:val="es-ES"/>
        </w:rPr>
        <w:t>5.6%</w:t>
      </w:r>
      <w:r w:rsidR="00AF651B">
        <w:rPr>
          <w:rFonts w:hint="eastAsia"/>
          <w:lang w:val="es-ES"/>
        </w:rPr>
        <w:t>増加</w:t>
      </w:r>
      <w:r>
        <w:rPr>
          <w:rFonts w:hint="eastAsia"/>
          <w:lang w:val="es-ES"/>
        </w:rPr>
        <w:t>した。ドゥチェス観光庁長官は、</w:t>
      </w:r>
      <w:r>
        <w:rPr>
          <w:rFonts w:hint="eastAsia"/>
          <w:lang w:val="es-ES"/>
        </w:rPr>
        <w:t>2014</w:t>
      </w:r>
      <w:r>
        <w:rPr>
          <w:rFonts w:hint="eastAsia"/>
          <w:lang w:val="es-ES"/>
        </w:rPr>
        <w:t>年の観光客数は前年比</w:t>
      </w:r>
      <w:r>
        <w:rPr>
          <w:rFonts w:hint="eastAsia"/>
          <w:lang w:val="es-ES"/>
        </w:rPr>
        <w:t>5%</w:t>
      </w:r>
      <w:r>
        <w:rPr>
          <w:rFonts w:hint="eastAsia"/>
          <w:lang w:val="es-ES"/>
        </w:rPr>
        <w:t>増、国際観光収入は前年比</w:t>
      </w:r>
      <w:r>
        <w:rPr>
          <w:rFonts w:hint="eastAsia"/>
          <w:lang w:val="es-ES"/>
        </w:rPr>
        <w:t>3%</w:t>
      </w:r>
      <w:r>
        <w:rPr>
          <w:rFonts w:hint="eastAsia"/>
          <w:lang w:val="es-ES"/>
        </w:rPr>
        <w:t>増となる見通しである旨述べた。</w:t>
      </w:r>
    </w:p>
    <w:p w:rsidR="00111F96" w:rsidRDefault="00111F96" w:rsidP="00BF0C8A">
      <w:pPr>
        <w:tabs>
          <w:tab w:val="left" w:pos="6682"/>
        </w:tabs>
        <w:rPr>
          <w:lang w:val="es-ES"/>
        </w:rPr>
      </w:pPr>
      <w:r>
        <w:rPr>
          <w:rFonts w:hint="eastAsia"/>
          <w:lang w:val="es-ES"/>
        </w:rPr>
        <w:t>（</w:t>
      </w:r>
      <w:r w:rsidR="006F14B0">
        <w:rPr>
          <w:rFonts w:hint="eastAsia"/>
          <w:lang w:val="es-ES"/>
        </w:rPr>
        <w:t>５</w:t>
      </w:r>
      <w:r>
        <w:rPr>
          <w:rFonts w:hint="eastAsia"/>
          <w:lang w:val="es-ES"/>
        </w:rPr>
        <w:t>）韓国経済ミッションの当国訪問</w:t>
      </w:r>
      <w:r w:rsidR="00BF0C8A">
        <w:rPr>
          <w:lang w:val="es-ES"/>
        </w:rPr>
        <w:tab/>
      </w:r>
    </w:p>
    <w:p w:rsidR="00111F96" w:rsidRDefault="00111F96" w:rsidP="007524AC">
      <w:pPr>
        <w:rPr>
          <w:lang w:val="es-ES"/>
        </w:rPr>
      </w:pPr>
      <w:r>
        <w:rPr>
          <w:rFonts w:hint="eastAsia"/>
          <w:lang w:val="es-ES"/>
        </w:rPr>
        <w:t xml:space="preserve">　</w:t>
      </w:r>
      <w:r w:rsidRPr="00BF0C8A">
        <w:rPr>
          <w:rFonts w:hint="eastAsia"/>
          <w:u w:val="single"/>
          <w:lang w:val="es-ES"/>
        </w:rPr>
        <w:t>3</w:t>
      </w:r>
      <w:r w:rsidRPr="00BF0C8A">
        <w:rPr>
          <w:rFonts w:hint="eastAsia"/>
          <w:u w:val="single"/>
          <w:lang w:val="es-ES"/>
        </w:rPr>
        <w:t>日、韓国企業計</w:t>
      </w:r>
      <w:r w:rsidRPr="00BF0C8A">
        <w:rPr>
          <w:rFonts w:hint="eastAsia"/>
          <w:u w:val="single"/>
          <w:lang w:val="es-ES"/>
        </w:rPr>
        <w:t>10</w:t>
      </w:r>
      <w:r w:rsidRPr="00BF0C8A">
        <w:rPr>
          <w:rFonts w:hint="eastAsia"/>
          <w:u w:val="single"/>
          <w:lang w:val="es-ES"/>
        </w:rPr>
        <w:t>社がグアテマラを訪れ、当国企業と</w:t>
      </w:r>
      <w:r w:rsidRPr="00BF0C8A">
        <w:rPr>
          <w:rFonts w:hint="eastAsia"/>
          <w:u w:val="single"/>
          <w:lang w:val="es-ES"/>
        </w:rPr>
        <w:t>50</w:t>
      </w:r>
      <w:r w:rsidRPr="00BF0C8A">
        <w:rPr>
          <w:rFonts w:hint="eastAsia"/>
          <w:u w:val="single"/>
          <w:lang w:val="es-ES"/>
        </w:rPr>
        <w:t>以上の商談を行った。</w:t>
      </w:r>
      <w:r>
        <w:rPr>
          <w:rFonts w:hint="eastAsia"/>
          <w:lang w:val="es-ES"/>
        </w:rPr>
        <w:t>今次の経済ミッションは、大韓貿易投資振興公社（</w:t>
      </w:r>
      <w:r>
        <w:rPr>
          <w:rFonts w:hint="eastAsia"/>
          <w:lang w:val="es-ES"/>
        </w:rPr>
        <w:t>KOTRA</w:t>
      </w:r>
      <w:r>
        <w:rPr>
          <w:rFonts w:hint="eastAsia"/>
          <w:lang w:val="es-ES"/>
        </w:rPr>
        <w:t>）等の支援により実現し、当国の他、ブラジルやアルゼンチンを訪問した。</w:t>
      </w:r>
    </w:p>
    <w:p w:rsidR="00B01B76" w:rsidRDefault="00B01B76" w:rsidP="007524AC">
      <w:pPr>
        <w:rPr>
          <w:lang w:val="es-ES"/>
        </w:rPr>
      </w:pPr>
      <w:r>
        <w:rPr>
          <w:rFonts w:hint="eastAsia"/>
          <w:lang w:val="es-ES"/>
        </w:rPr>
        <w:t>（</w:t>
      </w:r>
      <w:r w:rsidR="006F14B0">
        <w:rPr>
          <w:rFonts w:hint="eastAsia"/>
          <w:lang w:val="es-ES"/>
        </w:rPr>
        <w:t>６</w:t>
      </w:r>
      <w:r>
        <w:rPr>
          <w:rFonts w:hint="eastAsia"/>
          <w:lang w:val="es-ES"/>
        </w:rPr>
        <w:t>）生活の質に関する調査</w:t>
      </w:r>
    </w:p>
    <w:p w:rsidR="00B01B76" w:rsidRDefault="00B01B76" w:rsidP="007524AC">
      <w:pPr>
        <w:rPr>
          <w:lang w:val="es-ES"/>
        </w:rPr>
      </w:pPr>
      <w:r>
        <w:rPr>
          <w:rFonts w:hint="eastAsia"/>
          <w:lang w:val="es-ES"/>
        </w:rPr>
        <w:t xml:space="preserve">　社会発展研究所（</w:t>
      </w:r>
      <w:r>
        <w:rPr>
          <w:rFonts w:hint="eastAsia"/>
          <w:lang w:val="es-ES"/>
        </w:rPr>
        <w:t>Instituto de Progreso Social</w:t>
      </w:r>
      <w:r w:rsidR="00BF0C8A">
        <w:rPr>
          <w:rFonts w:hint="eastAsia"/>
          <w:lang w:val="es-ES"/>
        </w:rPr>
        <w:t>、本部はグアテマラ</w:t>
      </w:r>
      <w:r>
        <w:rPr>
          <w:rFonts w:hint="eastAsia"/>
          <w:lang w:val="es-ES"/>
        </w:rPr>
        <w:t>）が世界</w:t>
      </w:r>
      <w:r>
        <w:rPr>
          <w:rFonts w:hint="eastAsia"/>
          <w:lang w:val="es-ES"/>
        </w:rPr>
        <w:t>132</w:t>
      </w:r>
      <w:r>
        <w:rPr>
          <w:rFonts w:hint="eastAsia"/>
          <w:lang w:val="es-ES"/>
        </w:rPr>
        <w:t>か国を対象に実施した生活の質に関する調査によれば、グアテマラは</w:t>
      </w:r>
      <w:r>
        <w:rPr>
          <w:rFonts w:hint="eastAsia"/>
          <w:lang w:val="es-ES"/>
        </w:rPr>
        <w:t>76</w:t>
      </w:r>
      <w:r>
        <w:rPr>
          <w:rFonts w:hint="eastAsia"/>
          <w:lang w:val="es-ES"/>
        </w:rPr>
        <w:t>位と評価された。同調査は、衛生、栄養、福祉、人権、住居、教育、情報へのアクセス、治安、生態系の持続可能性等の指標に基づき、生活の</w:t>
      </w:r>
      <w:r w:rsidR="007D3461">
        <w:rPr>
          <w:rFonts w:hint="eastAsia"/>
          <w:lang w:val="es-ES"/>
        </w:rPr>
        <w:t>質を評価したもの。アタルビア社会発展研究所副所長は、生活の質の向上のためには、経済成長だけでは不十分であると述べた上で、「社会発展」の必要性を説いた。</w:t>
      </w:r>
    </w:p>
    <w:p w:rsidR="00AF651B" w:rsidRDefault="00AF651B" w:rsidP="007524AC">
      <w:pPr>
        <w:rPr>
          <w:lang w:val="es-ES"/>
        </w:rPr>
      </w:pPr>
      <w:r>
        <w:rPr>
          <w:rFonts w:hint="eastAsia"/>
          <w:lang w:val="es-ES"/>
        </w:rPr>
        <w:t>（</w:t>
      </w:r>
      <w:r w:rsidR="006F14B0">
        <w:rPr>
          <w:rFonts w:hint="eastAsia"/>
          <w:lang w:val="es-ES"/>
        </w:rPr>
        <w:t>７</w:t>
      </w:r>
      <w:r>
        <w:rPr>
          <w:rFonts w:hint="eastAsia"/>
          <w:lang w:val="es-ES"/>
        </w:rPr>
        <w:t>）海外送金の増加</w:t>
      </w:r>
    </w:p>
    <w:p w:rsidR="00AF651B" w:rsidRDefault="00AF651B" w:rsidP="007524AC">
      <w:pPr>
        <w:rPr>
          <w:lang w:val="es-ES"/>
        </w:rPr>
      </w:pPr>
      <w:r>
        <w:rPr>
          <w:rFonts w:hint="eastAsia"/>
          <w:lang w:val="es-ES"/>
        </w:rPr>
        <w:t xml:space="preserve">　グアテマラ中央銀行によれば、本年</w:t>
      </w:r>
      <w:r>
        <w:rPr>
          <w:rFonts w:hint="eastAsia"/>
          <w:lang w:val="es-ES"/>
        </w:rPr>
        <w:t>1</w:t>
      </w:r>
      <w:r>
        <w:rPr>
          <w:rFonts w:hint="eastAsia"/>
          <w:lang w:val="es-ES"/>
        </w:rPr>
        <w:t>月から</w:t>
      </w:r>
      <w:r>
        <w:rPr>
          <w:rFonts w:hint="eastAsia"/>
          <w:lang w:val="es-ES"/>
        </w:rPr>
        <w:t>10</w:t>
      </w:r>
      <w:r>
        <w:rPr>
          <w:rFonts w:hint="eastAsia"/>
          <w:lang w:val="es-ES"/>
        </w:rPr>
        <w:t>月までの当国への米国内出稼ぎグアテマラ人等からの海外送金額は、</w:t>
      </w:r>
      <w:r>
        <w:rPr>
          <w:rFonts w:hint="eastAsia"/>
          <w:lang w:val="es-ES"/>
        </w:rPr>
        <w:t>4,649.7</w:t>
      </w:r>
      <w:r>
        <w:rPr>
          <w:rFonts w:hint="eastAsia"/>
          <w:lang w:val="es-ES"/>
        </w:rPr>
        <w:t>百万米ドルに達し、</w:t>
      </w:r>
      <w:r w:rsidRPr="00BF0C8A">
        <w:rPr>
          <w:rFonts w:hint="eastAsia"/>
          <w:u w:val="single"/>
          <w:lang w:val="es-ES"/>
        </w:rPr>
        <w:t>前年同期比で</w:t>
      </w:r>
      <w:r w:rsidRPr="00BF0C8A">
        <w:rPr>
          <w:rFonts w:hint="eastAsia"/>
          <w:u w:val="single"/>
          <w:lang w:val="es-ES"/>
        </w:rPr>
        <w:t>8.6%</w:t>
      </w:r>
      <w:r w:rsidRPr="00BF0C8A">
        <w:rPr>
          <w:rFonts w:hint="eastAsia"/>
          <w:u w:val="single"/>
          <w:lang w:val="es-ES"/>
        </w:rPr>
        <w:t>増加した。</w:t>
      </w:r>
      <w:r w:rsidR="005B5AFD">
        <w:rPr>
          <w:rFonts w:hint="eastAsia"/>
          <w:lang w:val="es-ES"/>
        </w:rPr>
        <w:t>米国からのグアテマラ人不法移民の強制送還は増加傾向にあるが</w:t>
      </w:r>
      <w:r w:rsidR="00DE3D3E">
        <w:rPr>
          <w:rFonts w:hint="eastAsia"/>
          <w:lang w:val="es-ES"/>
        </w:rPr>
        <w:t>（後述の４．治安・社会（２</w:t>
      </w:r>
      <w:r w:rsidR="00EA1F67">
        <w:rPr>
          <w:rFonts w:hint="eastAsia"/>
          <w:lang w:val="es-ES"/>
        </w:rPr>
        <w:t>）参照）</w:t>
      </w:r>
      <w:r w:rsidR="005B5AFD">
        <w:rPr>
          <w:rFonts w:hint="eastAsia"/>
          <w:lang w:val="es-ES"/>
        </w:rPr>
        <w:t>、米国経済の回復により、当国への海外送金額が増加している。</w:t>
      </w:r>
      <w:r>
        <w:rPr>
          <w:rFonts w:hint="eastAsia"/>
          <w:lang w:val="es-ES"/>
        </w:rPr>
        <w:t>なお、</w:t>
      </w:r>
      <w:r w:rsidR="007476F9">
        <w:rPr>
          <w:rFonts w:hint="eastAsia"/>
          <w:lang w:val="es-ES"/>
        </w:rPr>
        <w:t>年末までには</w:t>
      </w:r>
      <w:r w:rsidR="007476F9">
        <w:rPr>
          <w:rFonts w:hint="eastAsia"/>
          <w:lang w:val="es-ES"/>
        </w:rPr>
        <w:t>5,472</w:t>
      </w:r>
      <w:r w:rsidR="007476F9">
        <w:rPr>
          <w:rFonts w:hint="eastAsia"/>
          <w:lang w:val="es-ES"/>
        </w:rPr>
        <w:t>百万米ドル（前年比</w:t>
      </w:r>
      <w:r w:rsidR="007476F9">
        <w:rPr>
          <w:rFonts w:hint="eastAsia"/>
          <w:lang w:val="es-ES"/>
        </w:rPr>
        <w:t>7.2%</w:t>
      </w:r>
      <w:r w:rsidR="007476F9">
        <w:rPr>
          <w:rFonts w:hint="eastAsia"/>
          <w:lang w:val="es-ES"/>
        </w:rPr>
        <w:t>増）に達する見通しである。</w:t>
      </w:r>
    </w:p>
    <w:p w:rsidR="00D17EE2" w:rsidRDefault="00D17EE2" w:rsidP="007524AC">
      <w:pPr>
        <w:rPr>
          <w:lang w:val="es-ES"/>
        </w:rPr>
      </w:pPr>
      <w:r>
        <w:rPr>
          <w:rFonts w:hint="eastAsia"/>
          <w:lang w:val="es-ES"/>
        </w:rPr>
        <w:t>（</w:t>
      </w:r>
      <w:r w:rsidR="006F14B0">
        <w:rPr>
          <w:rFonts w:hint="eastAsia"/>
          <w:lang w:val="es-ES"/>
        </w:rPr>
        <w:t>８</w:t>
      </w:r>
      <w:r>
        <w:rPr>
          <w:rFonts w:hint="eastAsia"/>
          <w:lang w:val="es-ES"/>
        </w:rPr>
        <w:t>）輸出の増加</w:t>
      </w:r>
    </w:p>
    <w:p w:rsidR="00D17EE2" w:rsidRDefault="00D17EE2" w:rsidP="007524AC">
      <w:pPr>
        <w:rPr>
          <w:lang w:val="es-ES"/>
        </w:rPr>
      </w:pPr>
      <w:r>
        <w:rPr>
          <w:rFonts w:hint="eastAsia"/>
          <w:lang w:val="es-ES"/>
        </w:rPr>
        <w:lastRenderedPageBreak/>
        <w:t xml:space="preserve">　グアテマラ中央銀行によれば、本年</w:t>
      </w:r>
      <w:r>
        <w:rPr>
          <w:rFonts w:hint="eastAsia"/>
          <w:lang w:val="es-ES"/>
        </w:rPr>
        <w:t>9</w:t>
      </w:r>
      <w:r>
        <w:rPr>
          <w:rFonts w:hint="eastAsia"/>
          <w:lang w:val="es-ES"/>
        </w:rPr>
        <w:t>月までの輸出額は</w:t>
      </w:r>
      <w:r>
        <w:rPr>
          <w:rFonts w:hint="eastAsia"/>
          <w:lang w:val="es-ES"/>
        </w:rPr>
        <w:t>8,169.1</w:t>
      </w:r>
      <w:r>
        <w:rPr>
          <w:rFonts w:hint="eastAsia"/>
          <w:lang w:val="es-ES"/>
        </w:rPr>
        <w:t>百万米ドルに達し、前年同期比で</w:t>
      </w:r>
      <w:r>
        <w:rPr>
          <w:rFonts w:hint="eastAsia"/>
          <w:lang w:val="es-ES"/>
        </w:rPr>
        <w:t>7%</w:t>
      </w:r>
      <w:r>
        <w:rPr>
          <w:rFonts w:hint="eastAsia"/>
          <w:lang w:val="es-ES"/>
        </w:rPr>
        <w:t>増加した。増加の要因は</w:t>
      </w:r>
      <w:r w:rsidR="00670624">
        <w:rPr>
          <w:rFonts w:hint="eastAsia"/>
          <w:lang w:val="es-ES"/>
        </w:rPr>
        <w:t>、</w:t>
      </w:r>
      <w:r>
        <w:rPr>
          <w:rFonts w:hint="eastAsia"/>
          <w:lang w:val="es-ES"/>
        </w:rPr>
        <w:t>非伝統産品（電力、石油、鋼鉄</w:t>
      </w:r>
      <w:r w:rsidR="00670624">
        <w:rPr>
          <w:rFonts w:hint="eastAsia"/>
          <w:lang w:val="es-ES"/>
        </w:rPr>
        <w:t>、製薬、化学</w:t>
      </w:r>
      <w:r>
        <w:rPr>
          <w:rFonts w:hint="eastAsia"/>
          <w:lang w:val="es-ES"/>
        </w:rPr>
        <w:t>等）の</w:t>
      </w:r>
      <w:r w:rsidR="00670624">
        <w:rPr>
          <w:rFonts w:hint="eastAsia"/>
          <w:lang w:val="es-ES"/>
        </w:rPr>
        <w:t>輸出増加であり、特に</w:t>
      </w:r>
      <w:r w:rsidR="00670624" w:rsidRPr="00BF0C8A">
        <w:rPr>
          <w:rFonts w:hint="eastAsia"/>
          <w:u w:val="single"/>
          <w:lang w:val="es-ES"/>
        </w:rPr>
        <w:t>電力については、前年同期比で</w:t>
      </w:r>
      <w:r w:rsidR="00670624" w:rsidRPr="00BF0C8A">
        <w:rPr>
          <w:rFonts w:hint="eastAsia"/>
          <w:u w:val="single"/>
          <w:lang w:val="es-ES"/>
        </w:rPr>
        <w:t>1,026.9%</w:t>
      </w:r>
      <w:r w:rsidR="009205C9" w:rsidRPr="00BF0C8A">
        <w:rPr>
          <w:rFonts w:hint="eastAsia"/>
          <w:u w:val="single"/>
          <w:lang w:val="es-ES"/>
        </w:rPr>
        <w:t>増加した。</w:t>
      </w:r>
      <w:r w:rsidR="009205C9">
        <w:rPr>
          <w:rFonts w:hint="eastAsia"/>
          <w:lang w:val="es-ES"/>
        </w:rPr>
        <w:t>一方、伝統産品であるコーヒーや砂糖の輸出は減少した</w:t>
      </w:r>
      <w:r w:rsidR="00670624">
        <w:rPr>
          <w:rFonts w:hint="eastAsia"/>
          <w:lang w:val="es-ES"/>
        </w:rPr>
        <w:t>。</w:t>
      </w:r>
    </w:p>
    <w:p w:rsidR="00BA1B8F" w:rsidRDefault="00BA1B8F" w:rsidP="007524AC">
      <w:pPr>
        <w:rPr>
          <w:lang w:val="es-ES"/>
        </w:rPr>
      </w:pPr>
      <w:r>
        <w:rPr>
          <w:rFonts w:hint="eastAsia"/>
          <w:lang w:val="es-ES"/>
        </w:rPr>
        <w:t>（</w:t>
      </w:r>
      <w:r w:rsidR="006F14B0">
        <w:rPr>
          <w:rFonts w:hint="eastAsia"/>
          <w:lang w:val="es-ES"/>
        </w:rPr>
        <w:t>９</w:t>
      </w:r>
      <w:r>
        <w:rPr>
          <w:rFonts w:hint="eastAsia"/>
          <w:lang w:val="es-ES"/>
        </w:rPr>
        <w:t>）</w:t>
      </w:r>
      <w:r>
        <w:rPr>
          <w:rFonts w:hint="eastAsia"/>
          <w:lang w:val="es-ES"/>
        </w:rPr>
        <w:t>Veca</w:t>
      </w:r>
      <w:r>
        <w:rPr>
          <w:rFonts w:hint="eastAsia"/>
          <w:lang w:val="es-ES"/>
        </w:rPr>
        <w:t>航空の就航</w:t>
      </w:r>
    </w:p>
    <w:p w:rsidR="00BA1B8F" w:rsidRDefault="00BA1B8F" w:rsidP="007524AC">
      <w:pPr>
        <w:rPr>
          <w:lang w:val="es-ES"/>
        </w:rPr>
      </w:pPr>
      <w:r>
        <w:rPr>
          <w:rFonts w:hint="eastAsia"/>
          <w:lang w:val="es-ES"/>
        </w:rPr>
        <w:t xml:space="preserve">　</w:t>
      </w:r>
      <w:r>
        <w:rPr>
          <w:rFonts w:hint="eastAsia"/>
          <w:lang w:val="es-ES"/>
        </w:rPr>
        <w:t>11</w:t>
      </w:r>
      <w:r>
        <w:rPr>
          <w:rFonts w:hint="eastAsia"/>
          <w:lang w:val="es-ES"/>
        </w:rPr>
        <w:t>月末、エルサルバドルの航空会社、</w:t>
      </w:r>
      <w:r>
        <w:rPr>
          <w:rFonts w:hint="eastAsia"/>
          <w:lang w:val="es-ES"/>
        </w:rPr>
        <w:t>Veca</w:t>
      </w:r>
      <w:r>
        <w:rPr>
          <w:rFonts w:hint="eastAsia"/>
          <w:lang w:val="es-ES"/>
        </w:rPr>
        <w:t>航空が就航し、</w:t>
      </w:r>
      <w:r w:rsidR="00827AFC">
        <w:rPr>
          <w:rFonts w:hint="eastAsia"/>
          <w:lang w:val="es-ES"/>
        </w:rPr>
        <w:t>グアテマラ、エルサルバドル及びコスタリカ間の便の運航が開始した。</w:t>
      </w:r>
    </w:p>
    <w:p w:rsidR="007F2887" w:rsidRDefault="007F2887" w:rsidP="007524AC">
      <w:pPr>
        <w:rPr>
          <w:lang w:val="es-ES"/>
        </w:rPr>
      </w:pPr>
      <w:r>
        <w:rPr>
          <w:rFonts w:hint="eastAsia"/>
          <w:lang w:val="es-ES"/>
        </w:rPr>
        <w:t>（</w:t>
      </w:r>
      <w:r w:rsidR="006F14B0">
        <w:rPr>
          <w:rFonts w:hint="eastAsia"/>
          <w:lang w:val="es-ES"/>
        </w:rPr>
        <w:t>１０</w:t>
      </w:r>
      <w:r>
        <w:rPr>
          <w:rFonts w:hint="eastAsia"/>
          <w:lang w:val="es-ES"/>
        </w:rPr>
        <w:t>）コールセンター需要の増加</w:t>
      </w:r>
    </w:p>
    <w:p w:rsidR="007F2887" w:rsidRDefault="007F2887" w:rsidP="007524AC">
      <w:pPr>
        <w:rPr>
          <w:lang w:val="es-ES"/>
        </w:rPr>
      </w:pPr>
      <w:r>
        <w:rPr>
          <w:rFonts w:hint="eastAsia"/>
          <w:lang w:val="es-ES"/>
        </w:rPr>
        <w:t xml:space="preserve">　パイス大統領府競争力・投資コミッショナーによれば、グアテマラにおけるコールセンターの需要が高まっており、数年以内に同産業の雇用者数は</w:t>
      </w:r>
      <w:r>
        <w:rPr>
          <w:rFonts w:hint="eastAsia"/>
          <w:lang w:val="es-ES"/>
        </w:rPr>
        <w:t>10</w:t>
      </w:r>
      <w:r>
        <w:rPr>
          <w:rFonts w:hint="eastAsia"/>
          <w:lang w:val="es-ES"/>
        </w:rPr>
        <w:t>万人に到達する見込みである。現在、グアテマラ市第</w:t>
      </w:r>
      <w:r>
        <w:rPr>
          <w:rFonts w:hint="eastAsia"/>
          <w:lang w:val="es-ES"/>
        </w:rPr>
        <w:t>13</w:t>
      </w:r>
      <w:r>
        <w:rPr>
          <w:rFonts w:hint="eastAsia"/>
          <w:lang w:val="es-ES"/>
        </w:rPr>
        <w:t>区の世界</w:t>
      </w:r>
      <w:r w:rsidR="000F4017">
        <w:rPr>
          <w:rFonts w:hint="eastAsia"/>
          <w:lang w:val="es-ES"/>
        </w:rPr>
        <w:t>科学</w:t>
      </w:r>
      <w:r>
        <w:rPr>
          <w:rFonts w:hint="eastAsia"/>
          <w:lang w:val="es-ES"/>
        </w:rPr>
        <w:t>技術センター（</w:t>
      </w:r>
      <w:r>
        <w:rPr>
          <w:rFonts w:hint="eastAsia"/>
          <w:lang w:val="es-ES"/>
        </w:rPr>
        <w:t>WTC</w:t>
      </w:r>
      <w:r>
        <w:rPr>
          <w:rFonts w:hint="eastAsia"/>
          <w:lang w:val="es-ES"/>
        </w:rPr>
        <w:t>）</w:t>
      </w:r>
      <w:r w:rsidR="000F4017">
        <w:rPr>
          <w:rFonts w:hint="eastAsia"/>
          <w:lang w:val="es-ES"/>
        </w:rPr>
        <w:t>において新ビルの建設が予定されており、コールセンター会社が入居する見通し。</w:t>
      </w:r>
    </w:p>
    <w:p w:rsidR="000C315E" w:rsidRDefault="000C315E" w:rsidP="007524AC">
      <w:pPr>
        <w:rPr>
          <w:lang w:val="es-ES"/>
        </w:rPr>
      </w:pPr>
      <w:r>
        <w:rPr>
          <w:rFonts w:hint="eastAsia"/>
          <w:lang w:val="es-ES"/>
        </w:rPr>
        <w:t>（</w:t>
      </w:r>
      <w:r w:rsidR="006F14B0">
        <w:rPr>
          <w:rFonts w:hint="eastAsia"/>
          <w:lang w:val="es-ES"/>
        </w:rPr>
        <w:t>１１</w:t>
      </w:r>
      <w:r>
        <w:rPr>
          <w:rFonts w:hint="eastAsia"/>
          <w:lang w:val="es-ES"/>
        </w:rPr>
        <w:t>）為替の動向</w:t>
      </w:r>
    </w:p>
    <w:p w:rsidR="000C315E" w:rsidRDefault="000C315E" w:rsidP="007524AC">
      <w:pPr>
        <w:rPr>
          <w:lang w:val="es-ES"/>
        </w:rPr>
      </w:pPr>
      <w:r>
        <w:rPr>
          <w:rFonts w:hint="eastAsia"/>
          <w:lang w:val="es-ES"/>
        </w:rPr>
        <w:t xml:space="preserve">　本年</w:t>
      </w:r>
      <w:r>
        <w:rPr>
          <w:rFonts w:hint="eastAsia"/>
          <w:lang w:val="es-ES"/>
        </w:rPr>
        <w:t>8</w:t>
      </w:r>
      <w:r>
        <w:rPr>
          <w:rFonts w:hint="eastAsia"/>
          <w:lang w:val="es-ES"/>
        </w:rPr>
        <w:t>月以降、ケツァル高ドル安の傾向が続いており、</w:t>
      </w:r>
      <w:r>
        <w:rPr>
          <w:rFonts w:hint="eastAsia"/>
          <w:lang w:val="es-ES"/>
        </w:rPr>
        <w:t>10</w:t>
      </w:r>
      <w:r>
        <w:rPr>
          <w:rFonts w:hint="eastAsia"/>
          <w:lang w:val="es-ES"/>
        </w:rPr>
        <w:t>月の対ドル月平均は</w:t>
      </w:r>
      <w:r>
        <w:rPr>
          <w:rFonts w:hint="eastAsia"/>
          <w:lang w:val="es-ES"/>
        </w:rPr>
        <w:t>1</w:t>
      </w:r>
      <w:r>
        <w:rPr>
          <w:rFonts w:hint="eastAsia"/>
          <w:lang w:val="es-ES"/>
        </w:rPr>
        <w:t>ドル</w:t>
      </w:r>
      <w:r>
        <w:rPr>
          <w:rFonts w:hint="eastAsia"/>
          <w:lang w:val="es-ES"/>
        </w:rPr>
        <w:t>7.64</w:t>
      </w:r>
      <w:r>
        <w:rPr>
          <w:rFonts w:hint="eastAsia"/>
          <w:lang w:val="es-ES"/>
        </w:rPr>
        <w:t>ケツァルとなり、本年</w:t>
      </w:r>
      <w:r>
        <w:rPr>
          <w:rFonts w:hint="eastAsia"/>
          <w:lang w:val="es-ES"/>
        </w:rPr>
        <w:t>8</w:t>
      </w:r>
      <w:r>
        <w:rPr>
          <w:rFonts w:hint="eastAsia"/>
          <w:lang w:val="es-ES"/>
        </w:rPr>
        <w:t>月と比較して</w:t>
      </w:r>
      <w:r>
        <w:rPr>
          <w:rFonts w:hint="eastAsia"/>
          <w:lang w:val="es-ES"/>
        </w:rPr>
        <w:t>16</w:t>
      </w:r>
      <w:r>
        <w:rPr>
          <w:rFonts w:hint="eastAsia"/>
          <w:lang w:val="es-ES"/>
        </w:rPr>
        <w:t>銭低下した。スアレス中央銀行総裁によれば、原因は、米国の出稼ぎ労働者からの当国へのドル送金に伴う国内市場の米ドル供給増加である。</w:t>
      </w:r>
    </w:p>
    <w:p w:rsidR="00D25CA9" w:rsidRDefault="0085230A" w:rsidP="009079F3">
      <w:pPr>
        <w:rPr>
          <w:lang w:val="es-ES"/>
        </w:rPr>
      </w:pPr>
      <w:r>
        <w:rPr>
          <w:rFonts w:hint="eastAsia"/>
          <w:lang w:val="es-ES"/>
        </w:rPr>
        <w:t>（</w:t>
      </w:r>
      <w:r w:rsidR="006F14B0">
        <w:rPr>
          <w:rFonts w:hint="eastAsia"/>
          <w:lang w:val="es-ES"/>
        </w:rPr>
        <w:t>１２</w:t>
      </w:r>
      <w:r>
        <w:rPr>
          <w:rFonts w:hint="eastAsia"/>
          <w:lang w:val="es-ES"/>
        </w:rPr>
        <w:t>）風力発電の推進</w:t>
      </w:r>
    </w:p>
    <w:p w:rsidR="00B576A9" w:rsidRDefault="00B576A9" w:rsidP="009079F3">
      <w:pPr>
        <w:rPr>
          <w:lang w:val="es-ES"/>
        </w:rPr>
      </w:pPr>
      <w:r>
        <w:rPr>
          <w:rFonts w:hint="eastAsia"/>
          <w:lang w:val="es-ES"/>
        </w:rPr>
        <w:t xml:space="preserve">　グアテマラでは再生可能エネルギーの活用が推進されており、現在、風力発電所の建設が進められている。</w:t>
      </w:r>
      <w:r>
        <w:rPr>
          <w:rFonts w:hint="eastAsia"/>
          <w:lang w:val="es-ES"/>
        </w:rPr>
        <w:t>2015</w:t>
      </w:r>
      <w:r>
        <w:rPr>
          <w:rFonts w:hint="eastAsia"/>
          <w:lang w:val="es-ES"/>
        </w:rPr>
        <w:t>年</w:t>
      </w:r>
      <w:r>
        <w:rPr>
          <w:rFonts w:hint="eastAsia"/>
          <w:lang w:val="es-ES"/>
        </w:rPr>
        <w:t>5</w:t>
      </w:r>
      <w:r>
        <w:rPr>
          <w:rFonts w:hint="eastAsia"/>
          <w:lang w:val="es-ES"/>
        </w:rPr>
        <w:t>月以降は、</w:t>
      </w:r>
      <w:r>
        <w:rPr>
          <w:rFonts w:hint="eastAsia"/>
          <w:lang w:val="es-ES"/>
        </w:rPr>
        <w:t>3</w:t>
      </w:r>
      <w:r>
        <w:rPr>
          <w:rFonts w:hint="eastAsia"/>
          <w:lang w:val="es-ES"/>
        </w:rPr>
        <w:t>つの風力発電事業が開始され、計</w:t>
      </w:r>
      <w:r>
        <w:rPr>
          <w:rFonts w:hint="eastAsia"/>
          <w:lang w:val="es-ES"/>
        </w:rPr>
        <w:t>101MW</w:t>
      </w:r>
      <w:r>
        <w:rPr>
          <w:rFonts w:hint="eastAsia"/>
          <w:lang w:val="es-ES"/>
        </w:rPr>
        <w:t>の電力が供給される予定。</w:t>
      </w:r>
    </w:p>
    <w:p w:rsidR="00F662F8" w:rsidRDefault="00A2023E" w:rsidP="009079F3">
      <w:pPr>
        <w:rPr>
          <w:lang w:val="es-ES"/>
        </w:rPr>
      </w:pPr>
      <w:r>
        <w:rPr>
          <w:rFonts w:hint="eastAsia"/>
          <w:lang w:val="es-ES"/>
        </w:rPr>
        <w:t>（</w:t>
      </w:r>
      <w:r w:rsidR="006F14B0">
        <w:rPr>
          <w:rFonts w:hint="eastAsia"/>
          <w:lang w:val="es-ES"/>
        </w:rPr>
        <w:t>１３</w:t>
      </w:r>
      <w:r>
        <w:rPr>
          <w:rFonts w:hint="eastAsia"/>
          <w:lang w:val="es-ES"/>
        </w:rPr>
        <w:t>）電力普及率の上昇</w:t>
      </w:r>
    </w:p>
    <w:p w:rsidR="00A2023E" w:rsidRDefault="00A2023E" w:rsidP="009079F3">
      <w:pPr>
        <w:rPr>
          <w:lang w:val="es-ES"/>
        </w:rPr>
      </w:pPr>
      <w:r>
        <w:rPr>
          <w:rFonts w:hint="eastAsia"/>
          <w:lang w:val="es-ES"/>
        </w:rPr>
        <w:t xml:space="preserve">　エネルギー鉱山省の発表によれば、</w:t>
      </w:r>
      <w:r w:rsidR="00A0037A">
        <w:rPr>
          <w:rFonts w:hint="eastAsia"/>
          <w:lang w:val="es-ES"/>
        </w:rPr>
        <w:t>グアテマラの電力普及率は</w:t>
      </w:r>
      <w:r w:rsidR="00A0037A">
        <w:rPr>
          <w:rFonts w:hint="eastAsia"/>
          <w:lang w:val="es-ES"/>
        </w:rPr>
        <w:t>90.45%</w:t>
      </w:r>
      <w:r w:rsidR="00A0037A">
        <w:rPr>
          <w:rFonts w:hint="eastAsia"/>
          <w:lang w:val="es-ES"/>
        </w:rPr>
        <w:t>に達し、現政権の</w:t>
      </w:r>
      <w:r w:rsidR="00A0037A">
        <w:rPr>
          <w:rFonts w:hint="eastAsia"/>
          <w:lang w:val="es-ES"/>
        </w:rPr>
        <w:t>2015</w:t>
      </w:r>
      <w:r w:rsidR="00A0037A">
        <w:rPr>
          <w:rFonts w:hint="eastAsia"/>
          <w:lang w:val="es-ES"/>
        </w:rPr>
        <w:t>年までの政策目標である</w:t>
      </w:r>
      <w:r w:rsidR="00A0037A">
        <w:rPr>
          <w:rFonts w:hint="eastAsia"/>
          <w:lang w:val="es-ES"/>
        </w:rPr>
        <w:t>90%</w:t>
      </w:r>
      <w:r w:rsidR="00A0037A">
        <w:rPr>
          <w:rFonts w:hint="eastAsia"/>
          <w:lang w:val="es-ES"/>
        </w:rPr>
        <w:t>を超えた（</w:t>
      </w:r>
      <w:r w:rsidR="00A0037A">
        <w:rPr>
          <w:rFonts w:hint="eastAsia"/>
          <w:lang w:val="es-ES"/>
        </w:rPr>
        <w:t>3</w:t>
      </w:r>
      <w:r w:rsidR="00A0037A">
        <w:rPr>
          <w:rFonts w:hint="eastAsia"/>
          <w:lang w:val="es-ES"/>
        </w:rPr>
        <w:t>年前の電力普及率は</w:t>
      </w:r>
      <w:r w:rsidR="00A0037A">
        <w:rPr>
          <w:rFonts w:hint="eastAsia"/>
          <w:lang w:val="es-ES"/>
        </w:rPr>
        <w:t>84.1%</w:t>
      </w:r>
      <w:r w:rsidR="00A0037A">
        <w:rPr>
          <w:rFonts w:hint="eastAsia"/>
          <w:lang w:val="es-ES"/>
        </w:rPr>
        <w:t>）。</w:t>
      </w:r>
    </w:p>
    <w:p w:rsidR="00020ECD" w:rsidRDefault="00020ECD" w:rsidP="009079F3">
      <w:pPr>
        <w:rPr>
          <w:lang w:val="es-ES"/>
        </w:rPr>
      </w:pPr>
      <w:r>
        <w:rPr>
          <w:rFonts w:hint="eastAsia"/>
          <w:lang w:val="es-ES"/>
        </w:rPr>
        <w:t>（</w:t>
      </w:r>
      <w:r w:rsidR="006F14B0">
        <w:rPr>
          <w:rFonts w:hint="eastAsia"/>
          <w:lang w:val="es-ES"/>
        </w:rPr>
        <w:t>１４</w:t>
      </w:r>
      <w:r>
        <w:rPr>
          <w:rFonts w:hint="eastAsia"/>
          <w:lang w:val="es-ES"/>
        </w:rPr>
        <w:t>）アウトソーシング・フォーラムの開催</w:t>
      </w:r>
    </w:p>
    <w:p w:rsidR="00020ECD" w:rsidRDefault="00020ECD" w:rsidP="009079F3">
      <w:pPr>
        <w:rPr>
          <w:lang w:val="es-ES"/>
        </w:rPr>
      </w:pPr>
      <w:r>
        <w:rPr>
          <w:rFonts w:hint="eastAsia"/>
          <w:lang w:val="es-ES"/>
        </w:rPr>
        <w:t xml:space="preserve">　</w:t>
      </w:r>
      <w:r>
        <w:rPr>
          <w:rFonts w:hint="eastAsia"/>
          <w:lang w:val="es-ES"/>
        </w:rPr>
        <w:t>12</w:t>
      </w:r>
      <w:r>
        <w:rPr>
          <w:rFonts w:hint="eastAsia"/>
          <w:lang w:val="es-ES"/>
        </w:rPr>
        <w:t>日、グアテマラ市において、</w:t>
      </w:r>
      <w:r w:rsidRPr="00BF0C8A">
        <w:rPr>
          <w:rFonts w:hint="eastAsia"/>
          <w:u w:val="single"/>
          <w:lang w:val="es-ES"/>
        </w:rPr>
        <w:t>第</w:t>
      </w:r>
      <w:r w:rsidRPr="00BF0C8A">
        <w:rPr>
          <w:rFonts w:hint="eastAsia"/>
          <w:u w:val="single"/>
          <w:lang w:val="es-ES"/>
        </w:rPr>
        <w:t>4</w:t>
      </w:r>
      <w:r w:rsidRPr="00BF0C8A">
        <w:rPr>
          <w:rFonts w:hint="eastAsia"/>
          <w:u w:val="single"/>
          <w:lang w:val="es-ES"/>
        </w:rPr>
        <w:t>回アウトソーシング・フォーラム（</w:t>
      </w:r>
      <w:r w:rsidRPr="00BF0C8A">
        <w:rPr>
          <w:rFonts w:hint="eastAsia"/>
          <w:u w:val="single"/>
          <w:lang w:val="es-ES"/>
        </w:rPr>
        <w:t>Outsource2Lac</w:t>
      </w:r>
      <w:r w:rsidRPr="00BF0C8A">
        <w:rPr>
          <w:rFonts w:hint="eastAsia"/>
          <w:u w:val="single"/>
          <w:lang w:val="es-ES"/>
        </w:rPr>
        <w:t>）が開催され、世界</w:t>
      </w:r>
      <w:r w:rsidRPr="00BF0C8A">
        <w:rPr>
          <w:rFonts w:hint="eastAsia"/>
          <w:u w:val="single"/>
          <w:lang w:val="es-ES"/>
        </w:rPr>
        <w:t>35</w:t>
      </w:r>
      <w:r w:rsidRPr="00BF0C8A">
        <w:rPr>
          <w:rFonts w:hint="eastAsia"/>
          <w:u w:val="single"/>
          <w:lang w:val="es-ES"/>
        </w:rPr>
        <w:t>か国から</w:t>
      </w:r>
      <w:r w:rsidRPr="00BF0C8A">
        <w:rPr>
          <w:rFonts w:hint="eastAsia"/>
          <w:u w:val="single"/>
          <w:lang w:val="es-ES"/>
        </w:rPr>
        <w:t>700</w:t>
      </w:r>
      <w:r w:rsidRPr="00BF0C8A">
        <w:rPr>
          <w:rFonts w:hint="eastAsia"/>
          <w:u w:val="single"/>
          <w:lang w:val="es-ES"/>
        </w:rPr>
        <w:t>名以上の企業関係者が出席した。</w:t>
      </w:r>
      <w:r>
        <w:rPr>
          <w:rFonts w:hint="eastAsia"/>
          <w:lang w:val="es-ES"/>
        </w:rPr>
        <w:t>デル・アギラ経済次官は、「アウトソーシング産業の発展は、フォーマルセクターの雇用創出を促し、</w:t>
      </w:r>
      <w:r w:rsidR="00BD32C7">
        <w:rPr>
          <w:rFonts w:hint="eastAsia"/>
          <w:lang w:val="es-ES"/>
        </w:rPr>
        <w:t>当国</w:t>
      </w:r>
      <w:r>
        <w:rPr>
          <w:rFonts w:hint="eastAsia"/>
          <w:lang w:val="es-ES"/>
        </w:rPr>
        <w:t>政府としても推進している分野のひとつである」と述べた。</w:t>
      </w:r>
    </w:p>
    <w:p w:rsidR="008E56B9" w:rsidRDefault="008E56B9" w:rsidP="009079F3">
      <w:pPr>
        <w:rPr>
          <w:lang w:val="es-ES"/>
        </w:rPr>
      </w:pPr>
      <w:r>
        <w:rPr>
          <w:rFonts w:hint="eastAsia"/>
          <w:lang w:val="es-ES"/>
        </w:rPr>
        <w:t>（</w:t>
      </w:r>
      <w:r w:rsidR="006F14B0">
        <w:rPr>
          <w:rFonts w:hint="eastAsia"/>
          <w:lang w:val="es-ES"/>
        </w:rPr>
        <w:t>１５</w:t>
      </w:r>
      <w:r>
        <w:rPr>
          <w:rFonts w:hint="eastAsia"/>
          <w:lang w:val="es-ES"/>
        </w:rPr>
        <w:t>）インフラ計画</w:t>
      </w:r>
    </w:p>
    <w:p w:rsidR="008E56B9" w:rsidRDefault="008E56B9" w:rsidP="009079F3">
      <w:pPr>
        <w:rPr>
          <w:lang w:val="es-ES"/>
        </w:rPr>
      </w:pPr>
      <w:r>
        <w:rPr>
          <w:rFonts w:hint="eastAsia"/>
          <w:lang w:val="es-ES"/>
        </w:rPr>
        <w:t xml:space="preserve">　国家競争力プログラム（</w:t>
      </w:r>
      <w:r>
        <w:rPr>
          <w:rFonts w:hint="eastAsia"/>
          <w:lang w:val="es-ES"/>
        </w:rPr>
        <w:t>PRONACOM</w:t>
      </w:r>
      <w:r>
        <w:rPr>
          <w:rFonts w:hint="eastAsia"/>
          <w:lang w:val="es-ES"/>
        </w:rPr>
        <w:t>）は、グアテマラ市近郊鉄道建設、テクン・ウマン・ドライポート建設、ケツァル港及びサント・トマス港の拡張を含む</w:t>
      </w:r>
      <w:r>
        <w:rPr>
          <w:rFonts w:hint="eastAsia"/>
          <w:lang w:val="es-ES"/>
        </w:rPr>
        <w:t>87</w:t>
      </w:r>
      <w:r>
        <w:rPr>
          <w:rFonts w:hint="eastAsia"/>
          <w:lang w:val="es-ES"/>
        </w:rPr>
        <w:t>のインフラプロジェクトにより、</w:t>
      </w:r>
      <w:r>
        <w:rPr>
          <w:rFonts w:hint="eastAsia"/>
          <w:lang w:val="es-ES"/>
        </w:rPr>
        <w:t>2017</w:t>
      </w:r>
      <w:r>
        <w:rPr>
          <w:rFonts w:hint="eastAsia"/>
          <w:lang w:val="es-ES"/>
        </w:rPr>
        <w:t>年までに</w:t>
      </w:r>
      <w:r>
        <w:rPr>
          <w:rFonts w:hint="eastAsia"/>
          <w:lang w:val="es-ES"/>
        </w:rPr>
        <w:t>90</w:t>
      </w:r>
      <w:r>
        <w:rPr>
          <w:rFonts w:hint="eastAsia"/>
          <w:lang w:val="es-ES"/>
        </w:rPr>
        <w:t>億米ドルの投資を創出する見通しである旨発表した。また、グアテマラにおけるアウトソーシング産業を推進することにより、</w:t>
      </w:r>
      <w:r>
        <w:rPr>
          <w:rFonts w:hint="eastAsia"/>
          <w:lang w:val="es-ES"/>
        </w:rPr>
        <w:t>2020</w:t>
      </w:r>
      <w:r>
        <w:rPr>
          <w:rFonts w:hint="eastAsia"/>
          <w:lang w:val="es-ES"/>
        </w:rPr>
        <w:t>年までに</w:t>
      </w:r>
      <w:r>
        <w:rPr>
          <w:rFonts w:hint="eastAsia"/>
          <w:lang w:val="es-ES"/>
        </w:rPr>
        <w:t>10</w:t>
      </w:r>
      <w:r>
        <w:rPr>
          <w:rFonts w:hint="eastAsia"/>
          <w:lang w:val="es-ES"/>
        </w:rPr>
        <w:t>万の雇用を生み出すことができると述べた。</w:t>
      </w:r>
    </w:p>
    <w:p w:rsidR="008E56B9" w:rsidRPr="00020ECD" w:rsidRDefault="008E56B9" w:rsidP="009079F3">
      <w:pPr>
        <w:rPr>
          <w:lang w:val="es-ES"/>
        </w:rPr>
      </w:pPr>
      <w:r>
        <w:rPr>
          <w:rFonts w:hint="eastAsia"/>
          <w:lang w:val="es-ES"/>
        </w:rPr>
        <w:t>（</w:t>
      </w:r>
      <w:r w:rsidR="006F14B0">
        <w:rPr>
          <w:rFonts w:hint="eastAsia"/>
          <w:lang w:val="es-ES"/>
        </w:rPr>
        <w:t>１６</w:t>
      </w:r>
      <w:r>
        <w:rPr>
          <w:rFonts w:hint="eastAsia"/>
          <w:lang w:val="es-ES"/>
        </w:rPr>
        <w:t>）政策金利の引下げ</w:t>
      </w:r>
    </w:p>
    <w:p w:rsidR="00A2023E" w:rsidRDefault="00915A06" w:rsidP="009079F3">
      <w:pPr>
        <w:rPr>
          <w:lang w:val="es-ES"/>
        </w:rPr>
      </w:pPr>
      <w:r>
        <w:rPr>
          <w:rFonts w:hint="eastAsia"/>
          <w:lang w:val="es-ES"/>
        </w:rPr>
        <w:lastRenderedPageBreak/>
        <w:t xml:space="preserve">　中央銀行は、政策金利を</w:t>
      </w:r>
      <w:r>
        <w:rPr>
          <w:rFonts w:hint="eastAsia"/>
          <w:lang w:val="es-ES"/>
        </w:rPr>
        <w:t>4.50%</w:t>
      </w:r>
      <w:r>
        <w:rPr>
          <w:rFonts w:hint="eastAsia"/>
          <w:lang w:val="es-ES"/>
        </w:rPr>
        <w:t>から</w:t>
      </w:r>
      <w:r>
        <w:rPr>
          <w:rFonts w:hint="eastAsia"/>
          <w:lang w:val="es-ES"/>
        </w:rPr>
        <w:t>4.00%</w:t>
      </w:r>
      <w:r>
        <w:rPr>
          <w:rFonts w:hint="eastAsia"/>
          <w:lang w:val="es-ES"/>
        </w:rPr>
        <w:t>に引き下げる旨発表した。エコノミストは、今次引下げの理由をインフレ率の低迷及び小麦・トウモロコシ・石油価格等の外部環境の変化であると分析している。</w:t>
      </w:r>
    </w:p>
    <w:p w:rsidR="008307C9" w:rsidRDefault="008307C9" w:rsidP="009079F3">
      <w:pPr>
        <w:rPr>
          <w:lang w:val="es-ES"/>
        </w:rPr>
      </w:pPr>
    </w:p>
    <w:p w:rsidR="008307C9" w:rsidRDefault="008307C9" w:rsidP="008307C9">
      <w:pPr>
        <w:rPr>
          <w:lang w:val="es-ES"/>
        </w:rPr>
      </w:pPr>
      <w:r>
        <w:rPr>
          <w:rFonts w:hint="eastAsia"/>
          <w:szCs w:val="21"/>
        </w:rPr>
        <w:t>◇主要経済指標◇</w:t>
      </w:r>
    </w:p>
    <w:p w:rsidR="008307C9" w:rsidRDefault="008307C9" w:rsidP="008307C9">
      <w:r w:rsidRPr="008307C9">
        <w:rPr>
          <w:rFonts w:hint="eastAsia"/>
          <w:noProof/>
        </w:rPr>
        <w:drawing>
          <wp:inline distT="0" distB="0" distL="0" distR="0" wp14:anchorId="61F363D4" wp14:editId="5149A2F7">
            <wp:extent cx="5404104" cy="1627632"/>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1626408"/>
                    </a:xfrm>
                    <a:prstGeom prst="rect">
                      <a:avLst/>
                    </a:prstGeom>
                    <a:noFill/>
                    <a:ln>
                      <a:noFill/>
                    </a:ln>
                  </pic:spPr>
                </pic:pic>
              </a:graphicData>
            </a:graphic>
          </wp:inline>
        </w:drawing>
      </w:r>
    </w:p>
    <w:p w:rsidR="008307C9" w:rsidRPr="008307C9" w:rsidRDefault="008307C9" w:rsidP="009079F3">
      <w:r>
        <w:rPr>
          <w:rFonts w:hint="eastAsia"/>
        </w:rPr>
        <w:t>（出所：中銀、国立統計局）　　　　　注）</w:t>
      </w:r>
      <w:r>
        <w:t>2012</w:t>
      </w:r>
      <w:r>
        <w:rPr>
          <w:rFonts w:hint="eastAsia"/>
        </w:rPr>
        <w:t>年及び</w:t>
      </w:r>
      <w:r>
        <w:t>2013</w:t>
      </w:r>
      <w:r>
        <w:rPr>
          <w:rFonts w:hint="eastAsia"/>
        </w:rPr>
        <w:t>年の為替レートは年平均</w:t>
      </w:r>
    </w:p>
    <w:p w:rsidR="00A2023E" w:rsidRPr="00425AFD" w:rsidRDefault="00A2023E" w:rsidP="009079F3">
      <w:pPr>
        <w:rPr>
          <w:lang w:val="es-ES"/>
        </w:rPr>
      </w:pPr>
    </w:p>
    <w:p w:rsidR="009079F3" w:rsidRPr="00324552" w:rsidRDefault="009079F3" w:rsidP="009079F3">
      <w:pPr>
        <w:rPr>
          <w:shd w:val="pct15" w:color="auto" w:fill="FFFFFF"/>
        </w:rPr>
      </w:pPr>
      <w:r w:rsidRPr="00324552">
        <w:rPr>
          <w:rFonts w:hint="eastAsia"/>
          <w:shd w:val="pct15" w:color="auto" w:fill="FFFFFF"/>
        </w:rPr>
        <w:t>４．治安・社会</w:t>
      </w:r>
    </w:p>
    <w:p w:rsidR="007524AC" w:rsidRDefault="00113FE3" w:rsidP="007524AC">
      <w:r>
        <w:rPr>
          <w:rFonts w:hint="eastAsia"/>
        </w:rPr>
        <w:t>（</w:t>
      </w:r>
      <w:r w:rsidR="006F14B0">
        <w:rPr>
          <w:rFonts w:hint="eastAsia"/>
        </w:rPr>
        <w:t>１</w:t>
      </w:r>
      <w:r>
        <w:rPr>
          <w:rFonts w:hint="eastAsia"/>
        </w:rPr>
        <w:t>）</w:t>
      </w:r>
      <w:r w:rsidR="002B3D96">
        <w:rPr>
          <w:rFonts w:hint="eastAsia"/>
        </w:rPr>
        <w:t>ソーシャルメディアの普及</w:t>
      </w:r>
    </w:p>
    <w:p w:rsidR="002B3D96" w:rsidRDefault="002B3D96" w:rsidP="007524AC">
      <w:r>
        <w:rPr>
          <w:rFonts w:hint="eastAsia"/>
        </w:rPr>
        <w:t xml:space="preserve">　グアテマラにおいて、ソーシャルメディアが流行しており、</w:t>
      </w:r>
      <w:r>
        <w:rPr>
          <w:rFonts w:hint="eastAsia"/>
        </w:rPr>
        <w:t>2014</w:t>
      </w:r>
      <w:r>
        <w:rPr>
          <w:rFonts w:hint="eastAsia"/>
        </w:rPr>
        <w:t>年中米ソーシャルネットワーク研究報告書によれば、</w:t>
      </w:r>
      <w:r w:rsidRPr="00BF0C8A">
        <w:rPr>
          <w:rFonts w:hint="eastAsia"/>
          <w:u w:val="single"/>
        </w:rPr>
        <w:t>Facebook</w:t>
      </w:r>
      <w:r w:rsidRPr="00BF0C8A">
        <w:rPr>
          <w:rFonts w:hint="eastAsia"/>
          <w:u w:val="single"/>
        </w:rPr>
        <w:t>の利用者は</w:t>
      </w:r>
      <w:r w:rsidRPr="00BF0C8A">
        <w:rPr>
          <w:rFonts w:hint="eastAsia"/>
          <w:u w:val="single"/>
        </w:rPr>
        <w:t>336</w:t>
      </w:r>
      <w:r w:rsidRPr="00BF0C8A">
        <w:rPr>
          <w:rFonts w:hint="eastAsia"/>
          <w:u w:val="single"/>
        </w:rPr>
        <w:t>万人</w:t>
      </w:r>
      <w:r w:rsidR="00BF0C8A" w:rsidRPr="00BF0C8A">
        <w:rPr>
          <w:rFonts w:hint="eastAsia"/>
          <w:u w:val="single"/>
        </w:rPr>
        <w:t>（当国人口の約</w:t>
      </w:r>
      <w:r w:rsidR="00BF0C8A" w:rsidRPr="00BF0C8A">
        <w:rPr>
          <w:rFonts w:hint="eastAsia"/>
          <w:u w:val="single"/>
        </w:rPr>
        <w:t>5</w:t>
      </w:r>
      <w:r w:rsidR="00BF0C8A" w:rsidRPr="00BF0C8A">
        <w:rPr>
          <w:rFonts w:hint="eastAsia"/>
          <w:u w:val="single"/>
        </w:rPr>
        <w:t>人に</w:t>
      </w:r>
      <w:r w:rsidR="00BF0C8A" w:rsidRPr="00BF0C8A">
        <w:rPr>
          <w:rFonts w:hint="eastAsia"/>
          <w:u w:val="single"/>
        </w:rPr>
        <w:t>1</w:t>
      </w:r>
      <w:r w:rsidR="00BF0C8A" w:rsidRPr="00BF0C8A">
        <w:rPr>
          <w:rFonts w:hint="eastAsia"/>
          <w:u w:val="single"/>
        </w:rPr>
        <w:t>人）</w:t>
      </w:r>
      <w:r>
        <w:rPr>
          <w:rFonts w:hint="eastAsia"/>
        </w:rPr>
        <w:t>、</w:t>
      </w:r>
      <w:r>
        <w:rPr>
          <w:rFonts w:hint="eastAsia"/>
        </w:rPr>
        <w:t>Google+</w:t>
      </w:r>
      <w:r>
        <w:rPr>
          <w:rFonts w:hint="eastAsia"/>
        </w:rPr>
        <w:t>の利用者は</w:t>
      </w:r>
      <w:r>
        <w:rPr>
          <w:rFonts w:hint="eastAsia"/>
        </w:rPr>
        <w:t>210</w:t>
      </w:r>
      <w:r>
        <w:rPr>
          <w:rFonts w:hint="eastAsia"/>
        </w:rPr>
        <w:t>万人、</w:t>
      </w:r>
      <w:r>
        <w:rPr>
          <w:rFonts w:hint="eastAsia"/>
        </w:rPr>
        <w:t>Twitter</w:t>
      </w:r>
      <w:r>
        <w:rPr>
          <w:rFonts w:hint="eastAsia"/>
        </w:rPr>
        <w:t>の利用者は</w:t>
      </w:r>
      <w:r>
        <w:rPr>
          <w:rFonts w:hint="eastAsia"/>
        </w:rPr>
        <w:t>196</w:t>
      </w:r>
      <w:r>
        <w:rPr>
          <w:rFonts w:hint="eastAsia"/>
        </w:rPr>
        <w:t>万人に上る。</w:t>
      </w:r>
    </w:p>
    <w:p w:rsidR="00E44FF2" w:rsidRDefault="00E44FF2" w:rsidP="007524AC">
      <w:r>
        <w:rPr>
          <w:rFonts w:hint="eastAsia"/>
        </w:rPr>
        <w:t>（</w:t>
      </w:r>
      <w:r w:rsidR="006F14B0">
        <w:rPr>
          <w:rFonts w:hint="eastAsia"/>
        </w:rPr>
        <w:t>２</w:t>
      </w:r>
      <w:r>
        <w:rPr>
          <w:rFonts w:hint="eastAsia"/>
        </w:rPr>
        <w:t>）米国からの強制送還の増加</w:t>
      </w:r>
    </w:p>
    <w:p w:rsidR="00E44FF2" w:rsidRDefault="00E44FF2" w:rsidP="007524AC">
      <w:r>
        <w:rPr>
          <w:rFonts w:hint="eastAsia"/>
        </w:rPr>
        <w:t xml:space="preserve">　本年</w:t>
      </w:r>
      <w:r>
        <w:rPr>
          <w:rFonts w:hint="eastAsia"/>
        </w:rPr>
        <w:t>1</w:t>
      </w:r>
      <w:r>
        <w:rPr>
          <w:rFonts w:hint="eastAsia"/>
        </w:rPr>
        <w:t>月から</w:t>
      </w:r>
      <w:r>
        <w:rPr>
          <w:rFonts w:hint="eastAsia"/>
        </w:rPr>
        <w:t>10</w:t>
      </w:r>
      <w:r>
        <w:rPr>
          <w:rFonts w:hint="eastAsia"/>
        </w:rPr>
        <w:t>月までの米国からの強制送還者は</w:t>
      </w:r>
      <w:r>
        <w:rPr>
          <w:rFonts w:hint="eastAsia"/>
        </w:rPr>
        <w:t>45,424</w:t>
      </w:r>
      <w:r>
        <w:rPr>
          <w:rFonts w:hint="eastAsia"/>
        </w:rPr>
        <w:t>人に上り、前年同期の</w:t>
      </w:r>
      <w:r>
        <w:rPr>
          <w:rFonts w:hint="eastAsia"/>
        </w:rPr>
        <w:t>42,473</w:t>
      </w:r>
      <w:r>
        <w:rPr>
          <w:rFonts w:hint="eastAsia"/>
        </w:rPr>
        <w:t>人と比較して</w:t>
      </w:r>
      <w:r>
        <w:rPr>
          <w:rFonts w:hint="eastAsia"/>
        </w:rPr>
        <w:t>6.9%</w:t>
      </w:r>
      <w:r>
        <w:rPr>
          <w:rFonts w:hint="eastAsia"/>
        </w:rPr>
        <w:t>増加した。現在、国外に在住するグアテマラ人は約</w:t>
      </w:r>
      <w:r>
        <w:rPr>
          <w:rFonts w:hint="eastAsia"/>
        </w:rPr>
        <w:t>150</w:t>
      </w:r>
      <w:r>
        <w:rPr>
          <w:rFonts w:hint="eastAsia"/>
        </w:rPr>
        <w:t>万人であるが、そのうち約</w:t>
      </w:r>
      <w:r>
        <w:rPr>
          <w:rFonts w:hint="eastAsia"/>
        </w:rPr>
        <w:t>130</w:t>
      </w:r>
      <w:r>
        <w:rPr>
          <w:rFonts w:hint="eastAsia"/>
        </w:rPr>
        <w:t>万人が米国に在住している。</w:t>
      </w:r>
    </w:p>
    <w:p w:rsidR="00690AFA" w:rsidRDefault="00690AFA" w:rsidP="007524AC">
      <w:r>
        <w:rPr>
          <w:rFonts w:hint="eastAsia"/>
        </w:rPr>
        <w:t>（</w:t>
      </w:r>
      <w:r w:rsidR="006F14B0">
        <w:rPr>
          <w:rFonts w:hint="eastAsia"/>
        </w:rPr>
        <w:t>３</w:t>
      </w:r>
      <w:r>
        <w:rPr>
          <w:rFonts w:hint="eastAsia"/>
        </w:rPr>
        <w:t>）監視カメラ設置の遅れ</w:t>
      </w:r>
    </w:p>
    <w:p w:rsidR="00690AFA" w:rsidRDefault="00690AFA" w:rsidP="007524AC">
      <w:r>
        <w:rPr>
          <w:rFonts w:hint="eastAsia"/>
        </w:rPr>
        <w:t xml:space="preserve">　本年</w:t>
      </w:r>
      <w:r>
        <w:rPr>
          <w:rFonts w:hint="eastAsia"/>
        </w:rPr>
        <w:t>7</w:t>
      </w:r>
      <w:r>
        <w:rPr>
          <w:rFonts w:hint="eastAsia"/>
        </w:rPr>
        <w:t>月、内務省は、年内に監視カメラを</w:t>
      </w:r>
      <w:r>
        <w:rPr>
          <w:rFonts w:hint="eastAsia"/>
        </w:rPr>
        <w:t>1</w:t>
      </w:r>
      <w:r>
        <w:rPr>
          <w:rFonts w:hint="eastAsia"/>
        </w:rPr>
        <w:t>万台設置し、治安対策強化を図る旨発表していたが、ロペス・ボニージャ内務大臣によれば、現在までに</w:t>
      </w:r>
      <w:r>
        <w:rPr>
          <w:rFonts w:hint="eastAsia"/>
        </w:rPr>
        <w:t>4</w:t>
      </w:r>
      <w:r>
        <w:rPr>
          <w:rFonts w:hint="eastAsia"/>
        </w:rPr>
        <w:t>千台しか設置できていないことが明らかとなった。同大臣によれば、犯罪率の高いグアテマラ市、ミスコ市、ビジャヌエバ市を中心に残りの監視カメラ設置を進め、</w:t>
      </w:r>
      <w:r>
        <w:rPr>
          <w:rFonts w:hint="eastAsia"/>
        </w:rPr>
        <w:t>2015</w:t>
      </w:r>
      <w:r>
        <w:rPr>
          <w:rFonts w:hint="eastAsia"/>
        </w:rPr>
        <w:t>年初めには完了予定。</w:t>
      </w:r>
    </w:p>
    <w:p w:rsidR="002C67CD" w:rsidRDefault="002C67CD" w:rsidP="007524AC">
      <w:r>
        <w:rPr>
          <w:rFonts w:hint="eastAsia"/>
        </w:rPr>
        <w:t>（</w:t>
      </w:r>
      <w:r w:rsidR="006F14B0">
        <w:rPr>
          <w:rFonts w:hint="eastAsia"/>
        </w:rPr>
        <w:t>４</w:t>
      </w:r>
      <w:r>
        <w:rPr>
          <w:rFonts w:hint="eastAsia"/>
        </w:rPr>
        <w:t>）アンティグア市における治安対策強化</w:t>
      </w:r>
    </w:p>
    <w:p w:rsidR="002C67CD" w:rsidRDefault="002C67CD" w:rsidP="007524AC">
      <w:r>
        <w:rPr>
          <w:rFonts w:hint="eastAsia"/>
        </w:rPr>
        <w:t xml:space="preserve">　アンティグア市はグアテマラ有数の観光地となっているが、犯罪も多発している。そのため、</w:t>
      </w:r>
      <w:r w:rsidR="005C07E5">
        <w:rPr>
          <w:rFonts w:hint="eastAsia"/>
        </w:rPr>
        <w:t>サカテペケス県（アンティグア市が所在する県）をはじめとする関係諸機関は、</w:t>
      </w:r>
      <w:r w:rsidR="005C07E5">
        <w:rPr>
          <w:rFonts w:hint="eastAsia"/>
        </w:rPr>
        <w:t>11</w:t>
      </w:r>
      <w:r w:rsidR="005C07E5">
        <w:rPr>
          <w:rFonts w:hint="eastAsia"/>
        </w:rPr>
        <w:t>月</w:t>
      </w:r>
      <w:r w:rsidR="005C07E5">
        <w:rPr>
          <w:rFonts w:hint="eastAsia"/>
        </w:rPr>
        <w:t>1</w:t>
      </w:r>
      <w:r w:rsidR="005C07E5">
        <w:rPr>
          <w:rFonts w:hint="eastAsia"/>
        </w:rPr>
        <w:t>日から来年</w:t>
      </w:r>
      <w:r w:rsidR="005C07E5">
        <w:rPr>
          <w:rFonts w:hint="eastAsia"/>
        </w:rPr>
        <w:t>1</w:t>
      </w:r>
      <w:r w:rsidR="005C07E5">
        <w:rPr>
          <w:rFonts w:hint="eastAsia"/>
        </w:rPr>
        <w:t>月</w:t>
      </w:r>
      <w:r w:rsidR="005C07E5">
        <w:rPr>
          <w:rFonts w:hint="eastAsia"/>
        </w:rPr>
        <w:t>3</w:t>
      </w:r>
      <w:r w:rsidR="005C07E5">
        <w:rPr>
          <w:rFonts w:hint="eastAsia"/>
        </w:rPr>
        <w:t>日まで犯罪予防策を実行することを決定した。同期間中は、金曜日午前中から時計台付近に警備員を配置する他、中央公園付近の歩行者専用エリアを拡大する。</w:t>
      </w:r>
    </w:p>
    <w:p w:rsidR="001621CE" w:rsidRDefault="00DD7EF4" w:rsidP="007524AC">
      <w:r>
        <w:rPr>
          <w:rFonts w:hint="eastAsia"/>
        </w:rPr>
        <w:t>（</w:t>
      </w:r>
      <w:r w:rsidR="006F14B0">
        <w:rPr>
          <w:rFonts w:hint="eastAsia"/>
        </w:rPr>
        <w:t>５</w:t>
      </w:r>
      <w:r>
        <w:rPr>
          <w:rFonts w:hint="eastAsia"/>
        </w:rPr>
        <w:t>）先住民に対する</w:t>
      </w:r>
      <w:r w:rsidR="001621CE">
        <w:rPr>
          <w:rFonts w:hint="eastAsia"/>
        </w:rPr>
        <w:t>差別</w:t>
      </w:r>
    </w:p>
    <w:p w:rsidR="001621CE" w:rsidRDefault="00DD7EF4" w:rsidP="007524AC">
      <w:r>
        <w:rPr>
          <w:rFonts w:hint="eastAsia"/>
        </w:rPr>
        <w:lastRenderedPageBreak/>
        <w:t xml:space="preserve">　大統領府人種差別対策委員会（</w:t>
      </w:r>
      <w:proofErr w:type="spellStart"/>
      <w:r>
        <w:rPr>
          <w:rFonts w:hint="eastAsia"/>
        </w:rPr>
        <w:t>Codisra</w:t>
      </w:r>
      <w:proofErr w:type="spellEnd"/>
      <w:r>
        <w:rPr>
          <w:rFonts w:hint="eastAsia"/>
        </w:rPr>
        <w:t>）は</w:t>
      </w:r>
      <w:r w:rsidR="001621CE">
        <w:rPr>
          <w:rFonts w:hint="eastAsia"/>
        </w:rPr>
        <w:t>、本年</w:t>
      </w:r>
      <w:r>
        <w:rPr>
          <w:rFonts w:hint="eastAsia"/>
        </w:rPr>
        <w:t>、主にグアテマラ県、アルタ・ベラパス県、ケツァルテナンゴ県、イサバル県、ウエウエテナンゴ県及びサンタ・ロサ県を中心に</w:t>
      </w:r>
      <w:r w:rsidR="00491909">
        <w:rPr>
          <w:rFonts w:hint="eastAsia"/>
        </w:rPr>
        <w:t>、</w:t>
      </w:r>
      <w:r>
        <w:rPr>
          <w:rFonts w:hint="eastAsia"/>
        </w:rPr>
        <w:t>計</w:t>
      </w:r>
      <w:r>
        <w:rPr>
          <w:rFonts w:hint="eastAsia"/>
        </w:rPr>
        <w:t>158</w:t>
      </w:r>
      <w:r>
        <w:rPr>
          <w:rFonts w:hint="eastAsia"/>
        </w:rPr>
        <w:t>件の</w:t>
      </w:r>
      <w:r w:rsidR="00491909">
        <w:rPr>
          <w:rFonts w:hint="eastAsia"/>
        </w:rPr>
        <w:t>民族や言語の違いに起因する</w:t>
      </w:r>
      <w:r>
        <w:rPr>
          <w:rFonts w:hint="eastAsia"/>
        </w:rPr>
        <w:t>差別に関する訴訟提起が行われ</w:t>
      </w:r>
      <w:r w:rsidR="00491909">
        <w:rPr>
          <w:rFonts w:hint="eastAsia"/>
        </w:rPr>
        <w:t>たことを明らかにした。</w:t>
      </w:r>
      <w:r>
        <w:rPr>
          <w:rFonts w:hint="eastAsia"/>
        </w:rPr>
        <w:t>過去</w:t>
      </w:r>
      <w:r>
        <w:rPr>
          <w:rFonts w:hint="eastAsia"/>
        </w:rPr>
        <w:t>12</w:t>
      </w:r>
      <w:r>
        <w:rPr>
          <w:rFonts w:hint="eastAsia"/>
        </w:rPr>
        <w:t>年間に</w:t>
      </w:r>
      <w:r>
        <w:rPr>
          <w:rFonts w:hint="eastAsia"/>
        </w:rPr>
        <w:t>4,300</w:t>
      </w:r>
      <w:r w:rsidR="00491909">
        <w:rPr>
          <w:rFonts w:hint="eastAsia"/>
        </w:rPr>
        <w:t>件以上、同様の</w:t>
      </w:r>
      <w:r>
        <w:rPr>
          <w:rFonts w:hint="eastAsia"/>
        </w:rPr>
        <w:t>訴訟が提起されたが、被害者が勝訴</w:t>
      </w:r>
      <w:r w:rsidR="00491909">
        <w:rPr>
          <w:rFonts w:hint="eastAsia"/>
        </w:rPr>
        <w:t>した例はわずか</w:t>
      </w:r>
      <w:r w:rsidR="00491909">
        <w:rPr>
          <w:rFonts w:hint="eastAsia"/>
        </w:rPr>
        <w:t>9</w:t>
      </w:r>
      <w:r w:rsidR="00491909">
        <w:rPr>
          <w:rFonts w:hint="eastAsia"/>
        </w:rPr>
        <w:t>件である。</w:t>
      </w:r>
      <w:r>
        <w:rPr>
          <w:rFonts w:hint="eastAsia"/>
        </w:rPr>
        <w:t>同委員会は、民</w:t>
      </w:r>
      <w:r w:rsidR="00491909">
        <w:rPr>
          <w:rFonts w:hint="eastAsia"/>
        </w:rPr>
        <w:t>族衣装を着た人々や先住民特有の苗字を持つ人々に対する差別が未だに</w:t>
      </w:r>
      <w:r>
        <w:rPr>
          <w:rFonts w:hint="eastAsia"/>
        </w:rPr>
        <w:t>なくなっていないと指摘した。</w:t>
      </w:r>
    </w:p>
    <w:p w:rsidR="00435615" w:rsidRDefault="00435615" w:rsidP="007524AC">
      <w:r>
        <w:rPr>
          <w:rFonts w:hint="eastAsia"/>
        </w:rPr>
        <w:t>（</w:t>
      </w:r>
      <w:r w:rsidR="006F14B0">
        <w:rPr>
          <w:rFonts w:hint="eastAsia"/>
        </w:rPr>
        <w:t>６</w:t>
      </w:r>
      <w:r>
        <w:rPr>
          <w:rFonts w:hint="eastAsia"/>
        </w:rPr>
        <w:t>）日本による貧困地域支援</w:t>
      </w:r>
    </w:p>
    <w:p w:rsidR="004C3081" w:rsidRDefault="00435615" w:rsidP="004C3081">
      <w:pPr>
        <w:rPr>
          <w:rFonts w:hint="eastAsia"/>
        </w:rPr>
      </w:pPr>
      <w:r>
        <w:rPr>
          <w:rFonts w:hint="eastAsia"/>
        </w:rPr>
        <w:t xml:space="preserve">　</w:t>
      </w:r>
      <w:r>
        <w:rPr>
          <w:rFonts w:hint="eastAsia"/>
        </w:rPr>
        <w:t>7</w:t>
      </w:r>
      <w:r>
        <w:rPr>
          <w:rFonts w:hint="eastAsia"/>
        </w:rPr>
        <w:t>日、日本政府、世界銀行及びチャイルド・ファンド・インターナショナルは、貧困地域における乳幼児の健康を改善する支援プロジェクトの開始を発表した。同プロジェクトは、世界銀行内に設置されている日本社会開発基金から</w:t>
      </w:r>
      <w:r>
        <w:rPr>
          <w:rFonts w:hint="eastAsia"/>
        </w:rPr>
        <w:t>275</w:t>
      </w:r>
      <w:r>
        <w:rPr>
          <w:rFonts w:hint="eastAsia"/>
        </w:rPr>
        <w:t>百万米ドル拠出され、</w:t>
      </w:r>
      <w:r w:rsidR="00FE7FC8">
        <w:rPr>
          <w:rFonts w:hint="eastAsia"/>
        </w:rPr>
        <w:t>ウエウエテナンゴ県、キチェ県、サン・マルコス県及びトトニカパン県の貧困地域で実施される。</w:t>
      </w:r>
    </w:p>
    <w:p w:rsidR="00512130" w:rsidRPr="00034B03" w:rsidRDefault="00512130" w:rsidP="004C3081">
      <w:r>
        <w:rPr>
          <w:rFonts w:hint="eastAsia"/>
        </w:rPr>
        <w:t>（了）</w:t>
      </w:r>
    </w:p>
    <w:sectPr w:rsidR="00512130" w:rsidRPr="00034B03" w:rsidSect="00966B7C">
      <w:footerReference w:type="defaul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CC3" w:rsidRDefault="006D7CC3" w:rsidP="005F4391">
      <w:r>
        <w:separator/>
      </w:r>
    </w:p>
  </w:endnote>
  <w:endnote w:type="continuationSeparator" w:id="0">
    <w:p w:rsidR="006D7CC3" w:rsidRDefault="006D7CC3" w:rsidP="005F4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05487"/>
      <w:docPartObj>
        <w:docPartGallery w:val="Page Numbers (Bottom of Page)"/>
        <w:docPartUnique/>
      </w:docPartObj>
    </w:sdtPr>
    <w:sdtEndPr/>
    <w:sdtContent>
      <w:sdt>
        <w:sdtPr>
          <w:id w:val="46958467"/>
          <w:docPartObj>
            <w:docPartGallery w:val="Page Numbers (Top of Page)"/>
            <w:docPartUnique/>
          </w:docPartObj>
        </w:sdtPr>
        <w:sdtEndPr/>
        <w:sdtContent>
          <w:p w:rsidR="006D7CC3" w:rsidRDefault="006D7CC3">
            <w:pPr>
              <w:pStyle w:val="a5"/>
              <w:jc w:val="center"/>
            </w:pPr>
            <w:r>
              <w:rPr>
                <w:lang w:val="ja-JP"/>
              </w:rPr>
              <w:t xml:space="preserve"> </w:t>
            </w:r>
            <w:r>
              <w:rPr>
                <w:b/>
                <w:sz w:val="24"/>
                <w:szCs w:val="24"/>
              </w:rPr>
              <w:fldChar w:fldCharType="begin"/>
            </w:r>
            <w:r>
              <w:rPr>
                <w:b/>
              </w:rPr>
              <w:instrText>PAGE</w:instrText>
            </w:r>
            <w:r>
              <w:rPr>
                <w:b/>
                <w:sz w:val="24"/>
                <w:szCs w:val="24"/>
              </w:rPr>
              <w:fldChar w:fldCharType="separate"/>
            </w:r>
            <w:r w:rsidR="004C3081">
              <w:rPr>
                <w:b/>
                <w:noProof/>
              </w:rPr>
              <w:t>1</w:t>
            </w:r>
            <w:r>
              <w:rPr>
                <w:b/>
                <w:sz w:val="24"/>
                <w:szCs w:val="24"/>
              </w:rPr>
              <w:fldChar w:fldCharType="end"/>
            </w:r>
            <w:r>
              <w:rPr>
                <w:lang w:val="ja-JP"/>
              </w:rPr>
              <w:t xml:space="preserve"> / </w:t>
            </w:r>
            <w:r>
              <w:rPr>
                <w:b/>
                <w:sz w:val="24"/>
                <w:szCs w:val="24"/>
              </w:rPr>
              <w:fldChar w:fldCharType="begin"/>
            </w:r>
            <w:r>
              <w:rPr>
                <w:b/>
              </w:rPr>
              <w:instrText>NUMPAGES</w:instrText>
            </w:r>
            <w:r>
              <w:rPr>
                <w:b/>
                <w:sz w:val="24"/>
                <w:szCs w:val="24"/>
              </w:rPr>
              <w:fldChar w:fldCharType="separate"/>
            </w:r>
            <w:r w:rsidR="004C3081">
              <w:rPr>
                <w:b/>
                <w:noProof/>
              </w:rPr>
              <w:t>6</w:t>
            </w:r>
            <w:r>
              <w:rPr>
                <w:b/>
                <w:sz w:val="24"/>
                <w:szCs w:val="24"/>
              </w:rPr>
              <w:fldChar w:fldCharType="end"/>
            </w:r>
          </w:p>
        </w:sdtContent>
      </w:sdt>
    </w:sdtContent>
  </w:sdt>
  <w:p w:rsidR="006D7CC3" w:rsidRDefault="006D7CC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CC3" w:rsidRDefault="006D7CC3" w:rsidP="005F4391">
      <w:r>
        <w:separator/>
      </w:r>
    </w:p>
  </w:footnote>
  <w:footnote w:type="continuationSeparator" w:id="0">
    <w:p w:rsidR="006D7CC3" w:rsidRDefault="006D7CC3" w:rsidP="005F43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B0796"/>
    <w:multiLevelType w:val="hybridMultilevel"/>
    <w:tmpl w:val="37AE90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F4391"/>
    <w:rsid w:val="00001396"/>
    <w:rsid w:val="00001BB9"/>
    <w:rsid w:val="000021AB"/>
    <w:rsid w:val="00002787"/>
    <w:rsid w:val="00006DF2"/>
    <w:rsid w:val="00010833"/>
    <w:rsid w:val="00013DD2"/>
    <w:rsid w:val="00014A2D"/>
    <w:rsid w:val="00015409"/>
    <w:rsid w:val="00017EC1"/>
    <w:rsid w:val="00020ECD"/>
    <w:rsid w:val="00021602"/>
    <w:rsid w:val="0002443D"/>
    <w:rsid w:val="000337D1"/>
    <w:rsid w:val="00034B03"/>
    <w:rsid w:val="00035D3D"/>
    <w:rsid w:val="000374B3"/>
    <w:rsid w:val="000418CC"/>
    <w:rsid w:val="00041924"/>
    <w:rsid w:val="00042191"/>
    <w:rsid w:val="0004273A"/>
    <w:rsid w:val="000435C5"/>
    <w:rsid w:val="0005170E"/>
    <w:rsid w:val="00051ACF"/>
    <w:rsid w:val="00052D51"/>
    <w:rsid w:val="00055314"/>
    <w:rsid w:val="00056DF0"/>
    <w:rsid w:val="00062E1F"/>
    <w:rsid w:val="000644AB"/>
    <w:rsid w:val="000726C4"/>
    <w:rsid w:val="00073D76"/>
    <w:rsid w:val="00083F1B"/>
    <w:rsid w:val="00085150"/>
    <w:rsid w:val="000922B2"/>
    <w:rsid w:val="00096DE4"/>
    <w:rsid w:val="000A6314"/>
    <w:rsid w:val="000B597B"/>
    <w:rsid w:val="000C0D5A"/>
    <w:rsid w:val="000C315E"/>
    <w:rsid w:val="000D2112"/>
    <w:rsid w:val="000D478D"/>
    <w:rsid w:val="000D676D"/>
    <w:rsid w:val="000E5775"/>
    <w:rsid w:val="000E63C1"/>
    <w:rsid w:val="000F4017"/>
    <w:rsid w:val="000F4172"/>
    <w:rsid w:val="000F69B9"/>
    <w:rsid w:val="00104D60"/>
    <w:rsid w:val="00111F96"/>
    <w:rsid w:val="00113FE3"/>
    <w:rsid w:val="00114E07"/>
    <w:rsid w:val="001152A6"/>
    <w:rsid w:val="00117495"/>
    <w:rsid w:val="00120749"/>
    <w:rsid w:val="00121BC5"/>
    <w:rsid w:val="00121ED7"/>
    <w:rsid w:val="00123815"/>
    <w:rsid w:val="0013048A"/>
    <w:rsid w:val="001333B4"/>
    <w:rsid w:val="0013414C"/>
    <w:rsid w:val="00135A1A"/>
    <w:rsid w:val="00146B77"/>
    <w:rsid w:val="00153C03"/>
    <w:rsid w:val="001555AA"/>
    <w:rsid w:val="001605D9"/>
    <w:rsid w:val="001621CE"/>
    <w:rsid w:val="00162496"/>
    <w:rsid w:val="00166129"/>
    <w:rsid w:val="00180419"/>
    <w:rsid w:val="00181CAE"/>
    <w:rsid w:val="00182E0C"/>
    <w:rsid w:val="00185BA7"/>
    <w:rsid w:val="00191384"/>
    <w:rsid w:val="0019469B"/>
    <w:rsid w:val="0019489D"/>
    <w:rsid w:val="001A3959"/>
    <w:rsid w:val="001A4702"/>
    <w:rsid w:val="001A5575"/>
    <w:rsid w:val="001B0EB8"/>
    <w:rsid w:val="001C0C8D"/>
    <w:rsid w:val="001D1609"/>
    <w:rsid w:val="001D34F4"/>
    <w:rsid w:val="001D35E7"/>
    <w:rsid w:val="001E1A74"/>
    <w:rsid w:val="001F00E9"/>
    <w:rsid w:val="001F3553"/>
    <w:rsid w:val="001F6AEB"/>
    <w:rsid w:val="0020186D"/>
    <w:rsid w:val="0020585F"/>
    <w:rsid w:val="00213D48"/>
    <w:rsid w:val="00216520"/>
    <w:rsid w:val="00223140"/>
    <w:rsid w:val="002275D3"/>
    <w:rsid w:val="00234001"/>
    <w:rsid w:val="00234F22"/>
    <w:rsid w:val="0023618F"/>
    <w:rsid w:val="00240409"/>
    <w:rsid w:val="002532BE"/>
    <w:rsid w:val="002557CB"/>
    <w:rsid w:val="002577F7"/>
    <w:rsid w:val="0026000F"/>
    <w:rsid w:val="002673B1"/>
    <w:rsid w:val="002675FA"/>
    <w:rsid w:val="00270B0A"/>
    <w:rsid w:val="002723A5"/>
    <w:rsid w:val="0027387F"/>
    <w:rsid w:val="00276F00"/>
    <w:rsid w:val="002777D5"/>
    <w:rsid w:val="00287BB1"/>
    <w:rsid w:val="00295D0A"/>
    <w:rsid w:val="00297E6F"/>
    <w:rsid w:val="002A7C6D"/>
    <w:rsid w:val="002B1F36"/>
    <w:rsid w:val="002B3D96"/>
    <w:rsid w:val="002B3FF6"/>
    <w:rsid w:val="002B4E12"/>
    <w:rsid w:val="002C1764"/>
    <w:rsid w:val="002C3513"/>
    <w:rsid w:val="002C562F"/>
    <w:rsid w:val="002C67CD"/>
    <w:rsid w:val="002C7D73"/>
    <w:rsid w:val="002D718D"/>
    <w:rsid w:val="002E3930"/>
    <w:rsid w:val="002E3B01"/>
    <w:rsid w:val="00301691"/>
    <w:rsid w:val="00306F9C"/>
    <w:rsid w:val="00307E42"/>
    <w:rsid w:val="00314328"/>
    <w:rsid w:val="00324552"/>
    <w:rsid w:val="00325306"/>
    <w:rsid w:val="0033227C"/>
    <w:rsid w:val="003440EA"/>
    <w:rsid w:val="0034541A"/>
    <w:rsid w:val="0035397A"/>
    <w:rsid w:val="003614D9"/>
    <w:rsid w:val="0036495B"/>
    <w:rsid w:val="00364A23"/>
    <w:rsid w:val="003724DD"/>
    <w:rsid w:val="00374657"/>
    <w:rsid w:val="00376229"/>
    <w:rsid w:val="00376E40"/>
    <w:rsid w:val="00382009"/>
    <w:rsid w:val="0039321E"/>
    <w:rsid w:val="003944A8"/>
    <w:rsid w:val="003959A8"/>
    <w:rsid w:val="0039644C"/>
    <w:rsid w:val="003A5C1B"/>
    <w:rsid w:val="003A7F04"/>
    <w:rsid w:val="003B116A"/>
    <w:rsid w:val="003B7522"/>
    <w:rsid w:val="003C14AF"/>
    <w:rsid w:val="003C1973"/>
    <w:rsid w:val="003C39C0"/>
    <w:rsid w:val="003C3A1D"/>
    <w:rsid w:val="003D184F"/>
    <w:rsid w:val="003D5178"/>
    <w:rsid w:val="003D5206"/>
    <w:rsid w:val="003E15E6"/>
    <w:rsid w:val="003E19FD"/>
    <w:rsid w:val="003E4115"/>
    <w:rsid w:val="003F0418"/>
    <w:rsid w:val="003F17F7"/>
    <w:rsid w:val="003F2F0D"/>
    <w:rsid w:val="003F3A8E"/>
    <w:rsid w:val="003F3D6E"/>
    <w:rsid w:val="003F7786"/>
    <w:rsid w:val="003F7DD7"/>
    <w:rsid w:val="00405287"/>
    <w:rsid w:val="00407DFE"/>
    <w:rsid w:val="00411247"/>
    <w:rsid w:val="00421828"/>
    <w:rsid w:val="00422253"/>
    <w:rsid w:val="00424DFB"/>
    <w:rsid w:val="00425AFD"/>
    <w:rsid w:val="00427136"/>
    <w:rsid w:val="00433880"/>
    <w:rsid w:val="00434A9D"/>
    <w:rsid w:val="00435615"/>
    <w:rsid w:val="004369C4"/>
    <w:rsid w:val="00445E0F"/>
    <w:rsid w:val="004659C0"/>
    <w:rsid w:val="00465C8B"/>
    <w:rsid w:val="004757B3"/>
    <w:rsid w:val="004757BC"/>
    <w:rsid w:val="00483939"/>
    <w:rsid w:val="004901DB"/>
    <w:rsid w:val="004907EF"/>
    <w:rsid w:val="00491909"/>
    <w:rsid w:val="004938B2"/>
    <w:rsid w:val="004A2DCD"/>
    <w:rsid w:val="004A4797"/>
    <w:rsid w:val="004A6639"/>
    <w:rsid w:val="004B6270"/>
    <w:rsid w:val="004B74B8"/>
    <w:rsid w:val="004C3081"/>
    <w:rsid w:val="004C6A05"/>
    <w:rsid w:val="004D23D4"/>
    <w:rsid w:val="004D2C0C"/>
    <w:rsid w:val="004D6373"/>
    <w:rsid w:val="004D7B31"/>
    <w:rsid w:val="004E09BB"/>
    <w:rsid w:val="004E5764"/>
    <w:rsid w:val="004E58BC"/>
    <w:rsid w:val="004F07CD"/>
    <w:rsid w:val="004F1A01"/>
    <w:rsid w:val="00502C83"/>
    <w:rsid w:val="00504DF8"/>
    <w:rsid w:val="00505E12"/>
    <w:rsid w:val="0051165E"/>
    <w:rsid w:val="00512130"/>
    <w:rsid w:val="00514CB2"/>
    <w:rsid w:val="00520D2D"/>
    <w:rsid w:val="00537EF8"/>
    <w:rsid w:val="00544578"/>
    <w:rsid w:val="005550CB"/>
    <w:rsid w:val="00555B85"/>
    <w:rsid w:val="00555D7B"/>
    <w:rsid w:val="00561800"/>
    <w:rsid w:val="00566FAD"/>
    <w:rsid w:val="005855BE"/>
    <w:rsid w:val="00586864"/>
    <w:rsid w:val="00587C11"/>
    <w:rsid w:val="00590294"/>
    <w:rsid w:val="005911C0"/>
    <w:rsid w:val="00592E6B"/>
    <w:rsid w:val="00597169"/>
    <w:rsid w:val="005974F6"/>
    <w:rsid w:val="0059792D"/>
    <w:rsid w:val="005A0254"/>
    <w:rsid w:val="005A16D1"/>
    <w:rsid w:val="005B37FC"/>
    <w:rsid w:val="005B5AFD"/>
    <w:rsid w:val="005C07E5"/>
    <w:rsid w:val="005C4221"/>
    <w:rsid w:val="005D2856"/>
    <w:rsid w:val="005D45CE"/>
    <w:rsid w:val="005D4C74"/>
    <w:rsid w:val="005F0C2B"/>
    <w:rsid w:val="005F13FA"/>
    <w:rsid w:val="005F167C"/>
    <w:rsid w:val="005F4391"/>
    <w:rsid w:val="005F475B"/>
    <w:rsid w:val="006065C4"/>
    <w:rsid w:val="00610170"/>
    <w:rsid w:val="00610C39"/>
    <w:rsid w:val="00614078"/>
    <w:rsid w:val="0062491B"/>
    <w:rsid w:val="00625540"/>
    <w:rsid w:val="00626024"/>
    <w:rsid w:val="0063602B"/>
    <w:rsid w:val="00637A6D"/>
    <w:rsid w:val="0064009B"/>
    <w:rsid w:val="00644294"/>
    <w:rsid w:val="0064683F"/>
    <w:rsid w:val="00656C12"/>
    <w:rsid w:val="0066186F"/>
    <w:rsid w:val="00661AAD"/>
    <w:rsid w:val="00670624"/>
    <w:rsid w:val="00670D78"/>
    <w:rsid w:val="00673EB2"/>
    <w:rsid w:val="006838DF"/>
    <w:rsid w:val="00683B10"/>
    <w:rsid w:val="00685485"/>
    <w:rsid w:val="0068606A"/>
    <w:rsid w:val="0068659E"/>
    <w:rsid w:val="00690AFA"/>
    <w:rsid w:val="0069179B"/>
    <w:rsid w:val="00694C78"/>
    <w:rsid w:val="00696571"/>
    <w:rsid w:val="006A1C85"/>
    <w:rsid w:val="006A2826"/>
    <w:rsid w:val="006A32AF"/>
    <w:rsid w:val="006A550D"/>
    <w:rsid w:val="006A6C4A"/>
    <w:rsid w:val="006A7400"/>
    <w:rsid w:val="006B2054"/>
    <w:rsid w:val="006B2D97"/>
    <w:rsid w:val="006B5398"/>
    <w:rsid w:val="006B57B9"/>
    <w:rsid w:val="006B5B69"/>
    <w:rsid w:val="006C063B"/>
    <w:rsid w:val="006C0D03"/>
    <w:rsid w:val="006C1ABB"/>
    <w:rsid w:val="006C2619"/>
    <w:rsid w:val="006D1478"/>
    <w:rsid w:val="006D1527"/>
    <w:rsid w:val="006D192D"/>
    <w:rsid w:val="006D1A4C"/>
    <w:rsid w:val="006D7CC3"/>
    <w:rsid w:val="006E16F6"/>
    <w:rsid w:val="006E2C7B"/>
    <w:rsid w:val="006E6CC6"/>
    <w:rsid w:val="006F14B0"/>
    <w:rsid w:val="006F28CB"/>
    <w:rsid w:val="006F3007"/>
    <w:rsid w:val="006F6352"/>
    <w:rsid w:val="00702A6E"/>
    <w:rsid w:val="00704DCA"/>
    <w:rsid w:val="007073C2"/>
    <w:rsid w:val="007157F7"/>
    <w:rsid w:val="00725C9D"/>
    <w:rsid w:val="00726A13"/>
    <w:rsid w:val="00730039"/>
    <w:rsid w:val="00733178"/>
    <w:rsid w:val="0073418F"/>
    <w:rsid w:val="007345AA"/>
    <w:rsid w:val="00735CD8"/>
    <w:rsid w:val="00742F93"/>
    <w:rsid w:val="00745436"/>
    <w:rsid w:val="007476F9"/>
    <w:rsid w:val="00747803"/>
    <w:rsid w:val="00750CC7"/>
    <w:rsid w:val="007524AC"/>
    <w:rsid w:val="00760CB5"/>
    <w:rsid w:val="00764BD0"/>
    <w:rsid w:val="00764C3A"/>
    <w:rsid w:val="0076589D"/>
    <w:rsid w:val="007660B7"/>
    <w:rsid w:val="00774285"/>
    <w:rsid w:val="00780DC4"/>
    <w:rsid w:val="00785EE4"/>
    <w:rsid w:val="0079600D"/>
    <w:rsid w:val="007A127D"/>
    <w:rsid w:val="007A4750"/>
    <w:rsid w:val="007A6966"/>
    <w:rsid w:val="007B1AE2"/>
    <w:rsid w:val="007B30BF"/>
    <w:rsid w:val="007B6351"/>
    <w:rsid w:val="007B6C71"/>
    <w:rsid w:val="007C156F"/>
    <w:rsid w:val="007C1FC0"/>
    <w:rsid w:val="007C6635"/>
    <w:rsid w:val="007D32E1"/>
    <w:rsid w:val="007D3461"/>
    <w:rsid w:val="007D3FB5"/>
    <w:rsid w:val="007D5DFF"/>
    <w:rsid w:val="007D5F76"/>
    <w:rsid w:val="007E76D1"/>
    <w:rsid w:val="007F2887"/>
    <w:rsid w:val="00800821"/>
    <w:rsid w:val="00801699"/>
    <w:rsid w:val="00801846"/>
    <w:rsid w:val="00801AF3"/>
    <w:rsid w:val="00802EE0"/>
    <w:rsid w:val="00811569"/>
    <w:rsid w:val="00815647"/>
    <w:rsid w:val="00817B46"/>
    <w:rsid w:val="00823ABA"/>
    <w:rsid w:val="00827AFC"/>
    <w:rsid w:val="008307C9"/>
    <w:rsid w:val="00831C30"/>
    <w:rsid w:val="00831D45"/>
    <w:rsid w:val="00832E2E"/>
    <w:rsid w:val="00833854"/>
    <w:rsid w:val="008377E5"/>
    <w:rsid w:val="008400EB"/>
    <w:rsid w:val="0085230A"/>
    <w:rsid w:val="00853489"/>
    <w:rsid w:val="0085545B"/>
    <w:rsid w:val="008609DB"/>
    <w:rsid w:val="00865880"/>
    <w:rsid w:val="00873334"/>
    <w:rsid w:val="00875B49"/>
    <w:rsid w:val="00877621"/>
    <w:rsid w:val="008801BF"/>
    <w:rsid w:val="00881B70"/>
    <w:rsid w:val="00885358"/>
    <w:rsid w:val="00887760"/>
    <w:rsid w:val="00890C23"/>
    <w:rsid w:val="00897D99"/>
    <w:rsid w:val="008A374B"/>
    <w:rsid w:val="008A5B46"/>
    <w:rsid w:val="008B2D6C"/>
    <w:rsid w:val="008B31D0"/>
    <w:rsid w:val="008B6842"/>
    <w:rsid w:val="008C0F69"/>
    <w:rsid w:val="008C0F90"/>
    <w:rsid w:val="008C13A8"/>
    <w:rsid w:val="008C157D"/>
    <w:rsid w:val="008C46C4"/>
    <w:rsid w:val="008C5AA8"/>
    <w:rsid w:val="008C69AD"/>
    <w:rsid w:val="008D4364"/>
    <w:rsid w:val="008D472A"/>
    <w:rsid w:val="008D51EE"/>
    <w:rsid w:val="008D5F0B"/>
    <w:rsid w:val="008E3B1A"/>
    <w:rsid w:val="008E56B9"/>
    <w:rsid w:val="008F6EE7"/>
    <w:rsid w:val="008F74F5"/>
    <w:rsid w:val="00903A3D"/>
    <w:rsid w:val="009076BC"/>
    <w:rsid w:val="009079F3"/>
    <w:rsid w:val="00907BEE"/>
    <w:rsid w:val="00915A06"/>
    <w:rsid w:val="00915D17"/>
    <w:rsid w:val="009205C9"/>
    <w:rsid w:val="00920F10"/>
    <w:rsid w:val="00934CCB"/>
    <w:rsid w:val="0094060B"/>
    <w:rsid w:val="00941F79"/>
    <w:rsid w:val="0094501F"/>
    <w:rsid w:val="00945FD5"/>
    <w:rsid w:val="00947ECE"/>
    <w:rsid w:val="00952996"/>
    <w:rsid w:val="009606D9"/>
    <w:rsid w:val="00960976"/>
    <w:rsid w:val="00966B7C"/>
    <w:rsid w:val="009745B6"/>
    <w:rsid w:val="00974C2F"/>
    <w:rsid w:val="0097515E"/>
    <w:rsid w:val="00975292"/>
    <w:rsid w:val="00976E32"/>
    <w:rsid w:val="00980D5C"/>
    <w:rsid w:val="00981EF4"/>
    <w:rsid w:val="00990EE8"/>
    <w:rsid w:val="00991773"/>
    <w:rsid w:val="009A2FCA"/>
    <w:rsid w:val="009A53E3"/>
    <w:rsid w:val="009A59E1"/>
    <w:rsid w:val="009A7D64"/>
    <w:rsid w:val="009B009A"/>
    <w:rsid w:val="009B0E90"/>
    <w:rsid w:val="009B7038"/>
    <w:rsid w:val="009D0CF6"/>
    <w:rsid w:val="009D21F0"/>
    <w:rsid w:val="009D3986"/>
    <w:rsid w:val="009E523A"/>
    <w:rsid w:val="009E7B13"/>
    <w:rsid w:val="009F0DBF"/>
    <w:rsid w:val="009F1EAE"/>
    <w:rsid w:val="009F4F82"/>
    <w:rsid w:val="00A0037A"/>
    <w:rsid w:val="00A0262D"/>
    <w:rsid w:val="00A02E95"/>
    <w:rsid w:val="00A112AC"/>
    <w:rsid w:val="00A139EF"/>
    <w:rsid w:val="00A15F8A"/>
    <w:rsid w:val="00A2023E"/>
    <w:rsid w:val="00A262A1"/>
    <w:rsid w:val="00A271AC"/>
    <w:rsid w:val="00A37974"/>
    <w:rsid w:val="00A41BAC"/>
    <w:rsid w:val="00A500A5"/>
    <w:rsid w:val="00A5501A"/>
    <w:rsid w:val="00A62A48"/>
    <w:rsid w:val="00A63D8A"/>
    <w:rsid w:val="00A674FC"/>
    <w:rsid w:val="00A7249F"/>
    <w:rsid w:val="00A7451D"/>
    <w:rsid w:val="00A76371"/>
    <w:rsid w:val="00A8190C"/>
    <w:rsid w:val="00A830DD"/>
    <w:rsid w:val="00AA5F26"/>
    <w:rsid w:val="00AB0947"/>
    <w:rsid w:val="00AB3ECE"/>
    <w:rsid w:val="00AB6B7E"/>
    <w:rsid w:val="00AB788E"/>
    <w:rsid w:val="00AC08F0"/>
    <w:rsid w:val="00AC1A28"/>
    <w:rsid w:val="00AC5A51"/>
    <w:rsid w:val="00AD01DF"/>
    <w:rsid w:val="00AD40E5"/>
    <w:rsid w:val="00AD60A9"/>
    <w:rsid w:val="00AD71D9"/>
    <w:rsid w:val="00AE00D4"/>
    <w:rsid w:val="00AE25DB"/>
    <w:rsid w:val="00AF517A"/>
    <w:rsid w:val="00AF5BD0"/>
    <w:rsid w:val="00AF651B"/>
    <w:rsid w:val="00AF71D1"/>
    <w:rsid w:val="00B01B76"/>
    <w:rsid w:val="00B124CA"/>
    <w:rsid w:val="00B13E28"/>
    <w:rsid w:val="00B1760F"/>
    <w:rsid w:val="00B23B63"/>
    <w:rsid w:val="00B240CF"/>
    <w:rsid w:val="00B24672"/>
    <w:rsid w:val="00B33E3A"/>
    <w:rsid w:val="00B377EA"/>
    <w:rsid w:val="00B445C3"/>
    <w:rsid w:val="00B457F4"/>
    <w:rsid w:val="00B465B2"/>
    <w:rsid w:val="00B47A3F"/>
    <w:rsid w:val="00B508C8"/>
    <w:rsid w:val="00B51161"/>
    <w:rsid w:val="00B512E3"/>
    <w:rsid w:val="00B540B3"/>
    <w:rsid w:val="00B54EEE"/>
    <w:rsid w:val="00B576A9"/>
    <w:rsid w:val="00B64078"/>
    <w:rsid w:val="00B71E78"/>
    <w:rsid w:val="00B741C9"/>
    <w:rsid w:val="00B7581A"/>
    <w:rsid w:val="00B826D2"/>
    <w:rsid w:val="00B82DD7"/>
    <w:rsid w:val="00B91063"/>
    <w:rsid w:val="00B9140B"/>
    <w:rsid w:val="00B95F90"/>
    <w:rsid w:val="00BA1B8F"/>
    <w:rsid w:val="00BA41BD"/>
    <w:rsid w:val="00BC2672"/>
    <w:rsid w:val="00BC3134"/>
    <w:rsid w:val="00BC4E9F"/>
    <w:rsid w:val="00BD0ED5"/>
    <w:rsid w:val="00BD32C7"/>
    <w:rsid w:val="00BD5E90"/>
    <w:rsid w:val="00BD7AF7"/>
    <w:rsid w:val="00BE080B"/>
    <w:rsid w:val="00BE0E3B"/>
    <w:rsid w:val="00BE78A0"/>
    <w:rsid w:val="00BF0C8A"/>
    <w:rsid w:val="00BF1249"/>
    <w:rsid w:val="00BF1BD2"/>
    <w:rsid w:val="00BF1F68"/>
    <w:rsid w:val="00BF3076"/>
    <w:rsid w:val="00BF446E"/>
    <w:rsid w:val="00BF46AA"/>
    <w:rsid w:val="00C012FD"/>
    <w:rsid w:val="00C01547"/>
    <w:rsid w:val="00C07DA4"/>
    <w:rsid w:val="00C07F63"/>
    <w:rsid w:val="00C15D8E"/>
    <w:rsid w:val="00C15E0E"/>
    <w:rsid w:val="00C17DCD"/>
    <w:rsid w:val="00C20E3A"/>
    <w:rsid w:val="00C24773"/>
    <w:rsid w:val="00C32514"/>
    <w:rsid w:val="00C404B3"/>
    <w:rsid w:val="00C40B4A"/>
    <w:rsid w:val="00C45F9B"/>
    <w:rsid w:val="00C47874"/>
    <w:rsid w:val="00C506D6"/>
    <w:rsid w:val="00C55A1F"/>
    <w:rsid w:val="00C5750F"/>
    <w:rsid w:val="00C62CF5"/>
    <w:rsid w:val="00C62DF0"/>
    <w:rsid w:val="00C658E1"/>
    <w:rsid w:val="00C71D90"/>
    <w:rsid w:val="00C73859"/>
    <w:rsid w:val="00C80140"/>
    <w:rsid w:val="00C81353"/>
    <w:rsid w:val="00C83069"/>
    <w:rsid w:val="00C83455"/>
    <w:rsid w:val="00C8496F"/>
    <w:rsid w:val="00C84CE4"/>
    <w:rsid w:val="00C85E37"/>
    <w:rsid w:val="00CA3BC2"/>
    <w:rsid w:val="00CA6D02"/>
    <w:rsid w:val="00CB060B"/>
    <w:rsid w:val="00CB196D"/>
    <w:rsid w:val="00CB643B"/>
    <w:rsid w:val="00CC01B0"/>
    <w:rsid w:val="00CC2571"/>
    <w:rsid w:val="00CC4E09"/>
    <w:rsid w:val="00CD3E1A"/>
    <w:rsid w:val="00CD4157"/>
    <w:rsid w:val="00CD7B1F"/>
    <w:rsid w:val="00CE08E9"/>
    <w:rsid w:val="00CE42D9"/>
    <w:rsid w:val="00CE4F74"/>
    <w:rsid w:val="00CE6857"/>
    <w:rsid w:val="00CF4C45"/>
    <w:rsid w:val="00D00A55"/>
    <w:rsid w:val="00D03238"/>
    <w:rsid w:val="00D0477E"/>
    <w:rsid w:val="00D047BB"/>
    <w:rsid w:val="00D101DE"/>
    <w:rsid w:val="00D106C0"/>
    <w:rsid w:val="00D119E8"/>
    <w:rsid w:val="00D13273"/>
    <w:rsid w:val="00D137CF"/>
    <w:rsid w:val="00D14AAC"/>
    <w:rsid w:val="00D17EE2"/>
    <w:rsid w:val="00D22BC1"/>
    <w:rsid w:val="00D25CA9"/>
    <w:rsid w:val="00D26D3D"/>
    <w:rsid w:val="00D318AD"/>
    <w:rsid w:val="00D41AF4"/>
    <w:rsid w:val="00D41CF5"/>
    <w:rsid w:val="00D55E50"/>
    <w:rsid w:val="00D63544"/>
    <w:rsid w:val="00D66575"/>
    <w:rsid w:val="00D67D19"/>
    <w:rsid w:val="00D73A02"/>
    <w:rsid w:val="00D75841"/>
    <w:rsid w:val="00D76820"/>
    <w:rsid w:val="00D812B2"/>
    <w:rsid w:val="00D82E0F"/>
    <w:rsid w:val="00D837BA"/>
    <w:rsid w:val="00D86FD0"/>
    <w:rsid w:val="00D918B8"/>
    <w:rsid w:val="00D95944"/>
    <w:rsid w:val="00DA0008"/>
    <w:rsid w:val="00DA05DF"/>
    <w:rsid w:val="00DA4CE1"/>
    <w:rsid w:val="00DB5C60"/>
    <w:rsid w:val="00DB66FB"/>
    <w:rsid w:val="00DC1FE4"/>
    <w:rsid w:val="00DD446D"/>
    <w:rsid w:val="00DD6D62"/>
    <w:rsid w:val="00DD71AA"/>
    <w:rsid w:val="00DD7EF4"/>
    <w:rsid w:val="00DE3D3E"/>
    <w:rsid w:val="00DF29BA"/>
    <w:rsid w:val="00DF76E8"/>
    <w:rsid w:val="00E04172"/>
    <w:rsid w:val="00E1245F"/>
    <w:rsid w:val="00E15249"/>
    <w:rsid w:val="00E15B94"/>
    <w:rsid w:val="00E16246"/>
    <w:rsid w:val="00E208E7"/>
    <w:rsid w:val="00E44399"/>
    <w:rsid w:val="00E44FF2"/>
    <w:rsid w:val="00E459F8"/>
    <w:rsid w:val="00E46EF9"/>
    <w:rsid w:val="00E5110A"/>
    <w:rsid w:val="00E62D86"/>
    <w:rsid w:val="00E64FC1"/>
    <w:rsid w:val="00E661B9"/>
    <w:rsid w:val="00E66D19"/>
    <w:rsid w:val="00E72DFA"/>
    <w:rsid w:val="00E75BFB"/>
    <w:rsid w:val="00E802CF"/>
    <w:rsid w:val="00E820F8"/>
    <w:rsid w:val="00E90E23"/>
    <w:rsid w:val="00E96ADD"/>
    <w:rsid w:val="00E97719"/>
    <w:rsid w:val="00EA1F67"/>
    <w:rsid w:val="00EA6B3C"/>
    <w:rsid w:val="00EA7877"/>
    <w:rsid w:val="00EB1FDA"/>
    <w:rsid w:val="00EB7B98"/>
    <w:rsid w:val="00EC12EA"/>
    <w:rsid w:val="00EC3A8A"/>
    <w:rsid w:val="00EC716F"/>
    <w:rsid w:val="00ED245B"/>
    <w:rsid w:val="00ED6805"/>
    <w:rsid w:val="00EE2552"/>
    <w:rsid w:val="00EE5ADA"/>
    <w:rsid w:val="00EE6C56"/>
    <w:rsid w:val="00EF22DC"/>
    <w:rsid w:val="00EF565B"/>
    <w:rsid w:val="00EF5AA0"/>
    <w:rsid w:val="00F050D3"/>
    <w:rsid w:val="00F053E6"/>
    <w:rsid w:val="00F05837"/>
    <w:rsid w:val="00F05F93"/>
    <w:rsid w:val="00F15B92"/>
    <w:rsid w:val="00F228A5"/>
    <w:rsid w:val="00F310D0"/>
    <w:rsid w:val="00F32BB4"/>
    <w:rsid w:val="00F40C75"/>
    <w:rsid w:val="00F429FC"/>
    <w:rsid w:val="00F42AA2"/>
    <w:rsid w:val="00F4647B"/>
    <w:rsid w:val="00F500A5"/>
    <w:rsid w:val="00F64D45"/>
    <w:rsid w:val="00F662F8"/>
    <w:rsid w:val="00F66968"/>
    <w:rsid w:val="00F705A0"/>
    <w:rsid w:val="00F76496"/>
    <w:rsid w:val="00F7757C"/>
    <w:rsid w:val="00F85A18"/>
    <w:rsid w:val="00F92DDB"/>
    <w:rsid w:val="00F9326B"/>
    <w:rsid w:val="00F96FD3"/>
    <w:rsid w:val="00FB3DC4"/>
    <w:rsid w:val="00FC1797"/>
    <w:rsid w:val="00FD0893"/>
    <w:rsid w:val="00FD4556"/>
    <w:rsid w:val="00FD4ACE"/>
    <w:rsid w:val="00FD6F6D"/>
    <w:rsid w:val="00FE11C8"/>
    <w:rsid w:val="00FE1419"/>
    <w:rsid w:val="00FE2996"/>
    <w:rsid w:val="00FE5C08"/>
    <w:rsid w:val="00FE60D4"/>
    <w:rsid w:val="00FE7FC8"/>
    <w:rsid w:val="00FF2104"/>
    <w:rsid w:val="00FF2984"/>
    <w:rsid w:val="00FF6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B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4391"/>
    <w:pPr>
      <w:tabs>
        <w:tab w:val="center" w:pos="4252"/>
        <w:tab w:val="right" w:pos="8504"/>
      </w:tabs>
      <w:snapToGrid w:val="0"/>
    </w:pPr>
  </w:style>
  <w:style w:type="character" w:customStyle="1" w:styleId="a4">
    <w:name w:val="ヘッダー (文字)"/>
    <w:basedOn w:val="a0"/>
    <w:link w:val="a3"/>
    <w:uiPriority w:val="99"/>
    <w:rsid w:val="005F4391"/>
  </w:style>
  <w:style w:type="paragraph" w:styleId="a5">
    <w:name w:val="footer"/>
    <w:basedOn w:val="a"/>
    <w:link w:val="a6"/>
    <w:uiPriority w:val="99"/>
    <w:unhideWhenUsed/>
    <w:rsid w:val="005F4391"/>
    <w:pPr>
      <w:tabs>
        <w:tab w:val="center" w:pos="4252"/>
        <w:tab w:val="right" w:pos="8504"/>
      </w:tabs>
      <w:snapToGrid w:val="0"/>
    </w:pPr>
  </w:style>
  <w:style w:type="character" w:customStyle="1" w:styleId="a6">
    <w:name w:val="フッター (文字)"/>
    <w:basedOn w:val="a0"/>
    <w:link w:val="a5"/>
    <w:uiPriority w:val="99"/>
    <w:rsid w:val="005F4391"/>
  </w:style>
  <w:style w:type="paragraph" w:styleId="a7">
    <w:name w:val="Date"/>
    <w:basedOn w:val="a"/>
    <w:next w:val="a"/>
    <w:link w:val="a8"/>
    <w:uiPriority w:val="99"/>
    <w:semiHidden/>
    <w:unhideWhenUsed/>
    <w:rsid w:val="00D67D19"/>
  </w:style>
  <w:style w:type="character" w:customStyle="1" w:styleId="a8">
    <w:name w:val="日付 (文字)"/>
    <w:basedOn w:val="a0"/>
    <w:link w:val="a7"/>
    <w:uiPriority w:val="99"/>
    <w:semiHidden/>
    <w:rsid w:val="00D67D19"/>
  </w:style>
  <w:style w:type="paragraph" w:styleId="a9">
    <w:name w:val="List Paragraph"/>
    <w:basedOn w:val="a"/>
    <w:uiPriority w:val="34"/>
    <w:qFormat/>
    <w:rsid w:val="00D67D19"/>
    <w:pPr>
      <w:ind w:leftChars="400" w:left="840"/>
    </w:pPr>
  </w:style>
  <w:style w:type="paragraph" w:styleId="aa">
    <w:name w:val="Balloon Text"/>
    <w:basedOn w:val="a"/>
    <w:link w:val="ab"/>
    <w:uiPriority w:val="99"/>
    <w:semiHidden/>
    <w:unhideWhenUsed/>
    <w:rsid w:val="007A696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A696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83439">
      <w:bodyDiv w:val="1"/>
      <w:marLeft w:val="0"/>
      <w:marRight w:val="0"/>
      <w:marTop w:val="0"/>
      <w:marBottom w:val="0"/>
      <w:divBdr>
        <w:top w:val="none" w:sz="0" w:space="0" w:color="auto"/>
        <w:left w:val="none" w:sz="0" w:space="0" w:color="auto"/>
        <w:bottom w:val="none" w:sz="0" w:space="0" w:color="auto"/>
        <w:right w:val="none" w:sz="0" w:space="0" w:color="auto"/>
      </w:divBdr>
    </w:div>
    <w:div w:id="79398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ja-JP"/>
              <a:t>次期大統領選に関する世論調査</a:t>
            </a:r>
          </a:p>
        </c:rich>
      </c:tx>
      <c:layout/>
      <c:overlay val="0"/>
    </c:title>
    <c:autoTitleDeleted val="0"/>
    <c:plotArea>
      <c:layout/>
      <c:lineChart>
        <c:grouping val="standard"/>
        <c:varyColors val="0"/>
        <c:ser>
          <c:idx val="0"/>
          <c:order val="0"/>
          <c:tx>
            <c:strRef>
              <c:f>Sheet1!$B$1</c:f>
              <c:strCache>
                <c:ptCount val="1"/>
                <c:pt idx="0">
                  <c:v>バルディソン候補</c:v>
                </c:pt>
              </c:strCache>
            </c:strRef>
          </c:tx>
          <c:dLbls>
            <c:dLbl>
              <c:idx val="0"/>
              <c:layout>
                <c:manualLayout>
                  <c:x val="-2.3518344308560675E-3"/>
                  <c:y val="-4.4345898004434628E-2"/>
                </c:manualLayout>
              </c:layout>
              <c:showLegendKey val="0"/>
              <c:showVal val="1"/>
              <c:showCatName val="0"/>
              <c:showSerName val="0"/>
              <c:showPercent val="0"/>
              <c:showBubbleSize val="0"/>
            </c:dLbl>
            <c:dLbl>
              <c:idx val="1"/>
              <c:layout>
                <c:manualLayout>
                  <c:x val="-4.4684854186265284E-2"/>
                  <c:y val="-6.0471679096956256E-2"/>
                </c:manualLayout>
              </c:layout>
              <c:showLegendKey val="0"/>
              <c:showVal val="1"/>
              <c:showCatName val="0"/>
              <c:showSerName val="0"/>
              <c:showPercent val="0"/>
              <c:showBubbleSize val="0"/>
            </c:dLbl>
            <c:numFmt formatCode="#,##0.0_);\(#,##0.0\)" sourceLinked="0"/>
            <c:showLegendKey val="0"/>
            <c:showVal val="1"/>
            <c:showCatName val="0"/>
            <c:showSerName val="0"/>
            <c:showPercent val="0"/>
            <c:showBubbleSize val="0"/>
            <c:showLeaderLines val="0"/>
          </c:dLbls>
          <c:cat>
            <c:numRef>
              <c:f>Sheet1!$A$2:$A$4</c:f>
              <c:numCache>
                <c:formatCode>General</c:formatCode>
                <c:ptCount val="3"/>
                <c:pt idx="0">
                  <c:v>2013.12</c:v>
                </c:pt>
                <c:pt idx="1">
                  <c:v>2014.7</c:v>
                </c:pt>
                <c:pt idx="2">
                  <c:v>2014.11</c:v>
                </c:pt>
              </c:numCache>
            </c:numRef>
          </c:cat>
          <c:val>
            <c:numRef>
              <c:f>Sheet1!$B$2:$B$4</c:f>
              <c:numCache>
                <c:formatCode>General</c:formatCode>
                <c:ptCount val="3"/>
                <c:pt idx="0">
                  <c:v>32.6</c:v>
                </c:pt>
                <c:pt idx="1">
                  <c:v>29.1</c:v>
                </c:pt>
                <c:pt idx="2">
                  <c:v>40</c:v>
                </c:pt>
              </c:numCache>
            </c:numRef>
          </c:val>
          <c:smooth val="0"/>
        </c:ser>
        <c:ser>
          <c:idx val="1"/>
          <c:order val="1"/>
          <c:tx>
            <c:strRef>
              <c:f>Sheet1!$C$1</c:f>
              <c:strCache>
                <c:ptCount val="1"/>
                <c:pt idx="0">
                  <c:v>シニバルディ候補</c:v>
                </c:pt>
              </c:strCache>
            </c:strRef>
          </c:tx>
          <c:dLbls>
            <c:dLbl>
              <c:idx val="0"/>
              <c:layout>
                <c:manualLayout>
                  <c:x val="-1.4111006585136407E-2"/>
                  <c:y val="-4.4345898004434517E-2"/>
                </c:manualLayout>
              </c:layout>
              <c:showLegendKey val="0"/>
              <c:showVal val="1"/>
              <c:showCatName val="0"/>
              <c:showSerName val="0"/>
              <c:showPercent val="0"/>
              <c:showBubbleSize val="0"/>
            </c:dLbl>
            <c:dLbl>
              <c:idx val="1"/>
              <c:layout>
                <c:manualLayout>
                  <c:x val="-1.881467544684854E-2"/>
                  <c:y val="-6.047167909695625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Sheet1!$A$2:$A$4</c:f>
              <c:numCache>
                <c:formatCode>General</c:formatCode>
                <c:ptCount val="3"/>
                <c:pt idx="0">
                  <c:v>2013.12</c:v>
                </c:pt>
                <c:pt idx="1">
                  <c:v>2014.7</c:v>
                </c:pt>
                <c:pt idx="2">
                  <c:v>2014.11</c:v>
                </c:pt>
              </c:numCache>
            </c:numRef>
          </c:cat>
          <c:val>
            <c:numRef>
              <c:f>Sheet1!$C$2:$C$4</c:f>
              <c:numCache>
                <c:formatCode>General</c:formatCode>
                <c:ptCount val="3"/>
                <c:pt idx="0">
                  <c:v>9.6999999999999993</c:v>
                </c:pt>
                <c:pt idx="1">
                  <c:v>14.4</c:v>
                </c:pt>
                <c:pt idx="2">
                  <c:v>19.7</c:v>
                </c:pt>
              </c:numCache>
            </c:numRef>
          </c:val>
          <c:smooth val="0"/>
        </c:ser>
        <c:ser>
          <c:idx val="2"/>
          <c:order val="2"/>
          <c:tx>
            <c:strRef>
              <c:f>Sheet1!$D$1</c:f>
              <c:strCache>
                <c:ptCount val="1"/>
                <c:pt idx="0">
                  <c:v>トーレス候補</c:v>
                </c:pt>
              </c:strCache>
            </c:strRef>
          </c:tx>
          <c:dLbls>
            <c:showLegendKey val="0"/>
            <c:showVal val="1"/>
            <c:showCatName val="0"/>
            <c:showSerName val="0"/>
            <c:showPercent val="0"/>
            <c:showBubbleSize val="0"/>
            <c:showLeaderLines val="0"/>
          </c:dLbls>
          <c:cat>
            <c:numRef>
              <c:f>Sheet1!$A$2:$A$4</c:f>
              <c:numCache>
                <c:formatCode>General</c:formatCode>
                <c:ptCount val="3"/>
                <c:pt idx="0">
                  <c:v>2013.12</c:v>
                </c:pt>
                <c:pt idx="1">
                  <c:v>2014.7</c:v>
                </c:pt>
                <c:pt idx="2">
                  <c:v>2014.11</c:v>
                </c:pt>
              </c:numCache>
            </c:numRef>
          </c:cat>
          <c:val>
            <c:numRef>
              <c:f>Sheet1!$D$2:$D$4</c:f>
              <c:numCache>
                <c:formatCode>General</c:formatCode>
                <c:ptCount val="3"/>
                <c:pt idx="0">
                  <c:v>7.5</c:v>
                </c:pt>
                <c:pt idx="1">
                  <c:v>11.8</c:v>
                </c:pt>
                <c:pt idx="2">
                  <c:v>10.3</c:v>
                </c:pt>
              </c:numCache>
            </c:numRef>
          </c:val>
          <c:smooth val="0"/>
        </c:ser>
        <c:dLbls>
          <c:showLegendKey val="0"/>
          <c:showVal val="0"/>
          <c:showCatName val="0"/>
          <c:showSerName val="0"/>
          <c:showPercent val="0"/>
          <c:showBubbleSize val="0"/>
        </c:dLbls>
        <c:marker val="1"/>
        <c:smooth val="0"/>
        <c:axId val="85918080"/>
        <c:axId val="85919616"/>
      </c:lineChart>
      <c:catAx>
        <c:axId val="85918080"/>
        <c:scaling>
          <c:orientation val="minMax"/>
        </c:scaling>
        <c:delete val="0"/>
        <c:axPos val="b"/>
        <c:numFmt formatCode="General" sourceLinked="1"/>
        <c:majorTickMark val="none"/>
        <c:minorTickMark val="none"/>
        <c:tickLblPos val="nextTo"/>
        <c:crossAx val="85919616"/>
        <c:crosses val="autoZero"/>
        <c:auto val="1"/>
        <c:lblAlgn val="ctr"/>
        <c:lblOffset val="100"/>
        <c:noMultiLvlLbl val="0"/>
      </c:catAx>
      <c:valAx>
        <c:axId val="85919616"/>
        <c:scaling>
          <c:orientation val="minMax"/>
        </c:scaling>
        <c:delete val="0"/>
        <c:axPos val="l"/>
        <c:majorGridlines/>
        <c:minorGridlines/>
        <c:numFmt formatCode="General" sourceLinked="1"/>
        <c:majorTickMark val="none"/>
        <c:minorTickMark val="none"/>
        <c:tickLblPos val="nextTo"/>
        <c:crossAx val="85918080"/>
        <c:crosses val="autoZero"/>
        <c:crossBetween val="between"/>
      </c:valAx>
    </c:plotArea>
    <c:legend>
      <c:legendPos val="b"/>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3075FC-0AEE-467E-87AB-E8235E856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700</Words>
  <Characters>3996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2014-12-01T15:59:00Z</cp:lastPrinted>
  <dcterms:created xsi:type="dcterms:W3CDTF">2014-12-04T06:13:00Z</dcterms:created>
  <dcterms:modified xsi:type="dcterms:W3CDTF">2014-12-04T06:13:00Z</dcterms:modified>
</cp:coreProperties>
</file>