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B7C" w:rsidRDefault="00A84869" w:rsidP="00A84869">
      <w:pPr>
        <w:jc w:val="center"/>
      </w:pPr>
      <w:bookmarkStart w:id="0" w:name="_GoBack"/>
      <w:bookmarkEnd w:id="0"/>
      <w:r>
        <w:rPr>
          <w:rFonts w:hint="eastAsia"/>
        </w:rPr>
        <w:t>コスタリカ経済</w:t>
      </w:r>
      <w:r>
        <w:rPr>
          <w:rFonts w:hint="eastAsia"/>
        </w:rPr>
        <w:t>(2014</w:t>
      </w:r>
      <w:r>
        <w:rPr>
          <w:rFonts w:hint="eastAsia"/>
        </w:rPr>
        <w:t>年</w:t>
      </w:r>
      <w:r>
        <w:rPr>
          <w:rFonts w:hint="eastAsia"/>
        </w:rPr>
        <w:t>9-10</w:t>
      </w:r>
      <w:r>
        <w:rPr>
          <w:rFonts w:hint="eastAsia"/>
        </w:rPr>
        <w:t>月</w:t>
      </w:r>
      <w:r>
        <w:rPr>
          <w:rFonts w:hint="eastAsia"/>
        </w:rPr>
        <w:t>)</w:t>
      </w:r>
    </w:p>
    <w:p w:rsidR="00A84869" w:rsidRDefault="00A84869" w:rsidP="008804D7">
      <w:pPr>
        <w:jc w:val="center"/>
        <w:rPr>
          <w:sz w:val="20"/>
          <w:szCs w:val="20"/>
        </w:rPr>
      </w:pPr>
      <w:r>
        <w:rPr>
          <w:rFonts w:hint="eastAsia"/>
        </w:rPr>
        <w:t xml:space="preserve">　　　　　　　　　　　　　　　　　　　　　　　　　　　　　　　　　　　　</w:t>
      </w:r>
    </w:p>
    <w:p w:rsidR="00A84869" w:rsidRPr="00EF22BB" w:rsidRDefault="00A84869" w:rsidP="00A84869">
      <w:pPr>
        <w:rPr>
          <w:sz w:val="18"/>
          <w:szCs w:val="18"/>
        </w:rPr>
      </w:pPr>
      <w:r w:rsidRPr="00EF22BB">
        <w:rPr>
          <w:rFonts w:hint="eastAsia"/>
          <w:sz w:val="18"/>
          <w:szCs w:val="18"/>
        </w:rPr>
        <w:t>※出典：コスタリカ中央銀行</w:t>
      </w:r>
      <w:r w:rsidR="00B847D9" w:rsidRPr="00EF22BB">
        <w:rPr>
          <w:rFonts w:hint="eastAsia"/>
          <w:sz w:val="18"/>
          <w:szCs w:val="18"/>
        </w:rPr>
        <w:t>、</w:t>
      </w:r>
      <w:r w:rsidRPr="00EF22BB">
        <w:rPr>
          <w:rFonts w:hint="eastAsia"/>
          <w:sz w:val="18"/>
          <w:szCs w:val="18"/>
        </w:rPr>
        <w:t>財務省</w:t>
      </w:r>
      <w:r w:rsidR="008405CC" w:rsidRPr="00EF22BB">
        <w:rPr>
          <w:rFonts w:hint="eastAsia"/>
          <w:sz w:val="18"/>
          <w:szCs w:val="18"/>
        </w:rPr>
        <w:t>、貿易省</w:t>
      </w:r>
      <w:r w:rsidR="008405CC" w:rsidRPr="00EF22BB">
        <w:rPr>
          <w:rFonts w:hint="eastAsia"/>
          <w:sz w:val="18"/>
          <w:szCs w:val="18"/>
        </w:rPr>
        <w:t>(COMEX)</w:t>
      </w:r>
      <w:r w:rsidR="00B847D9" w:rsidRPr="00EF22BB">
        <w:rPr>
          <w:rFonts w:hint="eastAsia"/>
          <w:sz w:val="18"/>
          <w:szCs w:val="18"/>
        </w:rPr>
        <w:t>及び貿易振興機構</w:t>
      </w:r>
      <w:r w:rsidR="00B847D9" w:rsidRPr="00EF22BB">
        <w:rPr>
          <w:rFonts w:hint="eastAsia"/>
          <w:sz w:val="18"/>
          <w:szCs w:val="18"/>
        </w:rPr>
        <w:t>(PROCOMER)</w:t>
      </w:r>
      <w:r w:rsidRPr="00EF22BB">
        <w:rPr>
          <w:rFonts w:hint="eastAsia"/>
          <w:sz w:val="18"/>
          <w:szCs w:val="18"/>
        </w:rPr>
        <w:t>(9-10</w:t>
      </w:r>
      <w:r w:rsidRPr="00EF22BB">
        <w:rPr>
          <w:rFonts w:hint="eastAsia"/>
          <w:sz w:val="18"/>
          <w:szCs w:val="18"/>
        </w:rPr>
        <w:t>月分数値</w:t>
      </w:r>
      <w:r w:rsidRPr="00EF22BB">
        <w:rPr>
          <w:rFonts w:hint="eastAsia"/>
          <w:sz w:val="18"/>
          <w:szCs w:val="18"/>
        </w:rPr>
        <w:t>)</w:t>
      </w:r>
      <w:r w:rsidRPr="00EF22BB">
        <w:rPr>
          <w:rFonts w:hint="eastAsia"/>
          <w:sz w:val="18"/>
          <w:szCs w:val="18"/>
        </w:rPr>
        <w:t>。主な出来事については当地新聞記事</w:t>
      </w:r>
      <w:r w:rsidRPr="00EF22BB">
        <w:rPr>
          <w:rStyle w:val="a5"/>
          <w:sz w:val="18"/>
          <w:szCs w:val="18"/>
        </w:rPr>
        <w:footnoteReference w:id="1"/>
      </w:r>
      <w:r w:rsidRPr="00EF22BB">
        <w:rPr>
          <w:rFonts w:hint="eastAsia"/>
          <w:sz w:val="18"/>
          <w:szCs w:val="18"/>
        </w:rPr>
        <w:t>による。</w:t>
      </w:r>
    </w:p>
    <w:p w:rsidR="00B847D9" w:rsidRDefault="00B847D9" w:rsidP="00A84869">
      <w:pPr>
        <w:rPr>
          <w:sz w:val="20"/>
          <w:szCs w:val="20"/>
        </w:rPr>
      </w:pPr>
    </w:p>
    <w:p w:rsidR="000430EB" w:rsidRDefault="00E7201B" w:rsidP="00A84869">
      <w:pPr>
        <w:rPr>
          <w:sz w:val="20"/>
          <w:szCs w:val="20"/>
        </w:rPr>
      </w:pPr>
      <w:r>
        <w:rPr>
          <w:rFonts w:hint="eastAsia"/>
          <w:sz w:val="20"/>
          <w:szCs w:val="20"/>
        </w:rPr>
        <w:t>１</w:t>
      </w:r>
      <w:r w:rsidR="000430EB">
        <w:rPr>
          <w:rFonts w:hint="eastAsia"/>
          <w:sz w:val="20"/>
          <w:szCs w:val="20"/>
        </w:rPr>
        <w:t xml:space="preserve">　経済活動指標</w:t>
      </w:r>
    </w:p>
    <w:p w:rsidR="00C56709" w:rsidRPr="00CE7916" w:rsidRDefault="00C56709" w:rsidP="00A84869">
      <w:pPr>
        <w:rPr>
          <w:sz w:val="20"/>
          <w:szCs w:val="20"/>
        </w:rPr>
      </w:pPr>
      <w:r w:rsidRPr="00CE7916">
        <w:rPr>
          <w:rFonts w:hint="eastAsia"/>
          <w:sz w:val="20"/>
          <w:szCs w:val="20"/>
        </w:rPr>
        <w:t>●</w:t>
      </w:r>
      <w:r w:rsidRPr="00CE7916">
        <w:rPr>
          <w:rFonts w:hint="eastAsia"/>
          <w:sz w:val="20"/>
          <w:szCs w:val="20"/>
        </w:rPr>
        <w:t>9</w:t>
      </w:r>
      <w:r w:rsidR="0018143A">
        <w:rPr>
          <w:rFonts w:hint="eastAsia"/>
          <w:sz w:val="20"/>
          <w:szCs w:val="20"/>
        </w:rPr>
        <w:t>-</w:t>
      </w:r>
      <w:r w:rsidRPr="00CE7916">
        <w:rPr>
          <w:rFonts w:hint="eastAsia"/>
          <w:sz w:val="20"/>
          <w:szCs w:val="20"/>
        </w:rPr>
        <w:t>10</w:t>
      </w:r>
      <w:r w:rsidRPr="00CE7916">
        <w:rPr>
          <w:rFonts w:hint="eastAsia"/>
          <w:sz w:val="20"/>
          <w:szCs w:val="20"/>
        </w:rPr>
        <w:t>月は</w:t>
      </w:r>
      <w:r w:rsidR="0018143A">
        <w:rPr>
          <w:rFonts w:hint="eastAsia"/>
          <w:sz w:val="20"/>
          <w:szCs w:val="20"/>
        </w:rPr>
        <w:t>、</w:t>
      </w:r>
      <w:r w:rsidR="00396BE1">
        <w:rPr>
          <w:rFonts w:hint="eastAsia"/>
          <w:sz w:val="20"/>
          <w:szCs w:val="20"/>
        </w:rPr>
        <w:t>製造業における</w:t>
      </w:r>
      <w:r w:rsidRPr="00CE7916">
        <w:rPr>
          <w:rFonts w:hint="eastAsia"/>
          <w:sz w:val="20"/>
          <w:szCs w:val="20"/>
        </w:rPr>
        <w:t>成長率の鈍化が顕著だった。同指標は、</w:t>
      </w:r>
      <w:r w:rsidRPr="00CE7916">
        <w:rPr>
          <w:rFonts w:hint="eastAsia"/>
          <w:sz w:val="20"/>
          <w:szCs w:val="20"/>
        </w:rPr>
        <w:t>9</w:t>
      </w:r>
      <w:r w:rsidRPr="00CE7916">
        <w:rPr>
          <w:rFonts w:hint="eastAsia"/>
          <w:sz w:val="20"/>
          <w:szCs w:val="20"/>
        </w:rPr>
        <w:t>月に関しては</w:t>
      </w:r>
      <w:r w:rsidR="00F81D6C">
        <w:rPr>
          <w:rFonts w:hint="eastAsia"/>
          <w:sz w:val="20"/>
          <w:szCs w:val="20"/>
        </w:rPr>
        <w:t>前年の値から</w:t>
      </w:r>
      <w:r w:rsidRPr="00CE7916">
        <w:rPr>
          <w:rFonts w:hint="eastAsia"/>
          <w:sz w:val="20"/>
          <w:szCs w:val="20"/>
        </w:rPr>
        <w:t>7.4</w:t>
      </w:r>
      <w:r w:rsidRPr="00CE7916">
        <w:rPr>
          <w:rFonts w:hint="eastAsia"/>
          <w:sz w:val="20"/>
          <w:szCs w:val="20"/>
        </w:rPr>
        <w:t>ポイント近く下回る</w:t>
      </w:r>
      <w:r w:rsidRPr="00CE7916">
        <w:rPr>
          <w:rFonts w:hint="eastAsia"/>
          <w:sz w:val="20"/>
          <w:szCs w:val="20"/>
        </w:rPr>
        <w:t>3.18</w:t>
      </w:r>
      <w:r w:rsidRPr="00CE7916">
        <w:rPr>
          <w:rFonts w:hint="eastAsia"/>
          <w:sz w:val="20"/>
          <w:szCs w:val="20"/>
        </w:rPr>
        <w:t>％</w:t>
      </w:r>
      <w:r w:rsidR="0018143A">
        <w:rPr>
          <w:rFonts w:hint="eastAsia"/>
          <w:sz w:val="20"/>
          <w:szCs w:val="20"/>
        </w:rPr>
        <w:t>を記録し</w:t>
      </w:r>
      <w:r w:rsidRPr="00CE7916">
        <w:rPr>
          <w:rFonts w:hint="eastAsia"/>
          <w:sz w:val="20"/>
          <w:szCs w:val="20"/>
        </w:rPr>
        <w:t>、</w:t>
      </w:r>
      <w:r w:rsidRPr="00CE7916">
        <w:rPr>
          <w:rFonts w:hint="eastAsia"/>
          <w:sz w:val="20"/>
          <w:szCs w:val="20"/>
        </w:rPr>
        <w:t>10</w:t>
      </w:r>
      <w:r w:rsidRPr="00CE7916">
        <w:rPr>
          <w:rFonts w:hint="eastAsia"/>
          <w:sz w:val="20"/>
          <w:szCs w:val="20"/>
        </w:rPr>
        <w:t>月</w:t>
      </w:r>
      <w:r w:rsidR="0018143A">
        <w:rPr>
          <w:rFonts w:hint="eastAsia"/>
          <w:sz w:val="20"/>
          <w:szCs w:val="20"/>
        </w:rPr>
        <w:t>は</w:t>
      </w:r>
      <w:r w:rsidRPr="00CE7916">
        <w:rPr>
          <w:rFonts w:hint="eastAsia"/>
          <w:sz w:val="20"/>
          <w:szCs w:val="20"/>
        </w:rPr>
        <w:t>前年から</w:t>
      </w:r>
      <w:r w:rsidR="00F81D6C">
        <w:rPr>
          <w:rFonts w:hint="eastAsia"/>
          <w:sz w:val="20"/>
          <w:szCs w:val="20"/>
        </w:rPr>
        <w:t>実に</w:t>
      </w:r>
      <w:r w:rsidRPr="00CE7916">
        <w:rPr>
          <w:rFonts w:hint="eastAsia"/>
          <w:sz w:val="20"/>
          <w:szCs w:val="20"/>
        </w:rPr>
        <w:t>8.5</w:t>
      </w:r>
      <w:r w:rsidRPr="00CE7916">
        <w:rPr>
          <w:rFonts w:hint="eastAsia"/>
          <w:sz w:val="20"/>
          <w:szCs w:val="20"/>
        </w:rPr>
        <w:t>ポイント近く下回る</w:t>
      </w:r>
      <w:r w:rsidRPr="00CE7916">
        <w:rPr>
          <w:rFonts w:hint="eastAsia"/>
          <w:sz w:val="20"/>
          <w:szCs w:val="20"/>
        </w:rPr>
        <w:t>1.36</w:t>
      </w:r>
      <w:r w:rsidRPr="00CE7916">
        <w:rPr>
          <w:rFonts w:hint="eastAsia"/>
          <w:sz w:val="20"/>
          <w:szCs w:val="20"/>
        </w:rPr>
        <w:t>％を記録した。</w:t>
      </w:r>
      <w:r w:rsidRPr="00CE7916">
        <w:rPr>
          <w:rFonts w:hint="eastAsia"/>
          <w:sz w:val="20"/>
          <w:szCs w:val="20"/>
        </w:rPr>
        <w:t>90</w:t>
      </w:r>
      <w:r w:rsidRPr="00CE7916">
        <w:rPr>
          <w:rFonts w:hint="eastAsia"/>
          <w:sz w:val="20"/>
          <w:szCs w:val="20"/>
        </w:rPr>
        <w:t>年代半ば以降、コスタリカの輸出額の</w:t>
      </w:r>
      <w:r w:rsidRPr="00CE7916">
        <w:rPr>
          <w:rFonts w:hint="eastAsia"/>
          <w:sz w:val="20"/>
          <w:szCs w:val="20"/>
        </w:rPr>
        <w:t>2</w:t>
      </w:r>
      <w:r w:rsidRPr="00CE7916">
        <w:rPr>
          <w:rFonts w:hint="eastAsia"/>
          <w:sz w:val="20"/>
          <w:szCs w:val="20"/>
        </w:rPr>
        <w:t>割近くを占めて</w:t>
      </w:r>
      <w:r w:rsidR="0018143A">
        <w:rPr>
          <w:rFonts w:hint="eastAsia"/>
          <w:sz w:val="20"/>
          <w:szCs w:val="20"/>
        </w:rPr>
        <w:t>いたインテル社の製造部門撤退の影響だけでなく、国際競争力低下に伴う国内製造業全体の低迷が</w:t>
      </w:r>
      <w:r w:rsidR="004B0667">
        <w:rPr>
          <w:rFonts w:hint="eastAsia"/>
          <w:sz w:val="20"/>
          <w:szCs w:val="20"/>
        </w:rPr>
        <w:t>窺える</w:t>
      </w:r>
      <w:r w:rsidRPr="00CE7916">
        <w:rPr>
          <w:rFonts w:hint="eastAsia"/>
          <w:sz w:val="20"/>
          <w:szCs w:val="20"/>
        </w:rPr>
        <w:t>。</w:t>
      </w:r>
    </w:p>
    <w:p w:rsidR="000C3723" w:rsidRPr="00CE7916" w:rsidRDefault="000C3723" w:rsidP="000C3723">
      <w:pPr>
        <w:jc w:val="left"/>
        <w:rPr>
          <w:rFonts w:ascii="Century" w:eastAsia="ＭＳ 明朝" w:hAnsi="Century" w:cs="Times New Roman"/>
          <w:color w:val="000000" w:themeColor="text1"/>
          <w:sz w:val="20"/>
          <w:szCs w:val="20"/>
        </w:rPr>
      </w:pPr>
      <w:r w:rsidRPr="00CE7916">
        <w:rPr>
          <w:rFonts w:hint="eastAsia"/>
          <w:sz w:val="20"/>
          <w:szCs w:val="20"/>
        </w:rPr>
        <w:t>●</w:t>
      </w:r>
      <w:r w:rsidRPr="00CE7916">
        <w:rPr>
          <w:rFonts w:ascii="Century" w:eastAsia="ＭＳ 明朝" w:hAnsi="Century" w:cs="Times New Roman" w:hint="eastAsia"/>
          <w:color w:val="000000" w:themeColor="text1"/>
          <w:sz w:val="20"/>
          <w:szCs w:val="20"/>
        </w:rPr>
        <w:t>全体の指標</w:t>
      </w:r>
      <w:r w:rsidR="00B06A71">
        <w:rPr>
          <w:rFonts w:ascii="Century" w:eastAsia="ＭＳ 明朝" w:hAnsi="Century" w:cs="Times New Roman" w:hint="eastAsia"/>
          <w:color w:val="000000" w:themeColor="text1"/>
          <w:sz w:val="20"/>
          <w:szCs w:val="20"/>
        </w:rPr>
        <w:t>に関して</w:t>
      </w:r>
      <w:r w:rsidRPr="00CE7916">
        <w:rPr>
          <w:rFonts w:ascii="Century" w:eastAsia="ＭＳ 明朝" w:hAnsi="Century" w:cs="Times New Roman" w:hint="eastAsia"/>
          <w:color w:val="000000" w:themeColor="text1"/>
          <w:sz w:val="20"/>
          <w:szCs w:val="20"/>
        </w:rPr>
        <w:t>は、</w:t>
      </w:r>
      <w:r w:rsidRPr="00CE7916">
        <w:rPr>
          <w:rFonts w:ascii="Century" w:eastAsia="ＭＳ 明朝" w:hAnsi="Century" w:cs="Times New Roman" w:hint="eastAsia"/>
          <w:color w:val="000000" w:themeColor="text1"/>
          <w:sz w:val="20"/>
          <w:szCs w:val="20"/>
        </w:rPr>
        <w:t>9</w:t>
      </w:r>
      <w:r w:rsidRPr="00CE7916">
        <w:rPr>
          <w:rFonts w:ascii="Century" w:eastAsia="ＭＳ 明朝" w:hAnsi="Century" w:cs="Times New Roman" w:hint="eastAsia"/>
          <w:color w:val="000000" w:themeColor="text1"/>
          <w:sz w:val="20"/>
          <w:szCs w:val="20"/>
        </w:rPr>
        <w:t>月に</w:t>
      </w:r>
      <w:r w:rsidRPr="00CE7916">
        <w:rPr>
          <w:rFonts w:ascii="Century" w:eastAsia="ＭＳ 明朝" w:hAnsi="Century" w:cs="Times New Roman" w:hint="eastAsia"/>
          <w:color w:val="000000" w:themeColor="text1"/>
          <w:sz w:val="20"/>
          <w:szCs w:val="20"/>
        </w:rPr>
        <w:t>2.80</w:t>
      </w:r>
      <w:r w:rsidRPr="00CE7916">
        <w:rPr>
          <w:rFonts w:ascii="Century" w:eastAsia="ＭＳ 明朝" w:hAnsi="Century" w:cs="Times New Roman" w:hint="eastAsia"/>
          <w:color w:val="000000" w:themeColor="text1"/>
          <w:sz w:val="20"/>
          <w:szCs w:val="20"/>
        </w:rPr>
        <w:t>％</w:t>
      </w:r>
      <w:r w:rsidRPr="00CE7916">
        <w:rPr>
          <w:rFonts w:ascii="Century" w:eastAsia="ＭＳ 明朝" w:hAnsi="Century" w:cs="Times New Roman" w:hint="eastAsia"/>
          <w:color w:val="000000" w:themeColor="text1"/>
          <w:sz w:val="20"/>
          <w:szCs w:val="20"/>
        </w:rPr>
        <w:t>(</w:t>
      </w:r>
      <w:r w:rsidRPr="00CE7916">
        <w:rPr>
          <w:rFonts w:ascii="Century" w:eastAsia="ＭＳ 明朝" w:hAnsi="Century" w:cs="Times New Roman" w:hint="eastAsia"/>
          <w:color w:val="000000" w:themeColor="text1"/>
          <w:sz w:val="20"/>
          <w:szCs w:val="20"/>
        </w:rPr>
        <w:t>前年比</w:t>
      </w:r>
      <w:r w:rsidRPr="00CE7916">
        <w:rPr>
          <w:rFonts w:ascii="Century" w:eastAsia="ＭＳ 明朝" w:hAnsi="Century" w:cs="Times New Roman" w:hint="eastAsia"/>
          <w:color w:val="000000" w:themeColor="text1"/>
          <w:sz w:val="20"/>
          <w:szCs w:val="20"/>
        </w:rPr>
        <w:t>2.20</w:t>
      </w:r>
      <w:r w:rsidRPr="00CE7916">
        <w:rPr>
          <w:rFonts w:ascii="Century" w:eastAsia="ＭＳ 明朝" w:hAnsi="Century" w:cs="Times New Roman" w:hint="eastAsia"/>
          <w:color w:val="000000" w:themeColor="text1"/>
          <w:sz w:val="20"/>
          <w:szCs w:val="20"/>
        </w:rPr>
        <w:t>ポイント減</w:t>
      </w:r>
      <w:r w:rsidRPr="00CE7916">
        <w:rPr>
          <w:rFonts w:ascii="Century" w:eastAsia="ＭＳ 明朝" w:hAnsi="Century" w:cs="Times New Roman" w:hint="eastAsia"/>
          <w:color w:val="000000" w:themeColor="text1"/>
          <w:sz w:val="20"/>
          <w:szCs w:val="20"/>
        </w:rPr>
        <w:t>)</w:t>
      </w:r>
      <w:r w:rsidRPr="00CE7916">
        <w:rPr>
          <w:rFonts w:ascii="Century" w:eastAsia="ＭＳ 明朝" w:hAnsi="Century" w:cs="Times New Roman" w:hint="eastAsia"/>
          <w:color w:val="000000" w:themeColor="text1"/>
          <w:sz w:val="20"/>
          <w:szCs w:val="20"/>
        </w:rPr>
        <w:t>、</w:t>
      </w:r>
      <w:r w:rsidRPr="00CE7916">
        <w:rPr>
          <w:rFonts w:ascii="Century" w:eastAsia="ＭＳ 明朝" w:hAnsi="Century" w:cs="Times New Roman" w:hint="eastAsia"/>
          <w:color w:val="000000" w:themeColor="text1"/>
          <w:sz w:val="20"/>
          <w:szCs w:val="20"/>
        </w:rPr>
        <w:t>10</w:t>
      </w:r>
      <w:r w:rsidRPr="00CE7916">
        <w:rPr>
          <w:rFonts w:ascii="Century" w:eastAsia="ＭＳ 明朝" w:hAnsi="Century" w:cs="Times New Roman" w:hint="eastAsia"/>
          <w:color w:val="000000" w:themeColor="text1"/>
          <w:sz w:val="20"/>
          <w:szCs w:val="20"/>
        </w:rPr>
        <w:t>月も</w:t>
      </w:r>
      <w:r w:rsidRPr="00CE7916">
        <w:rPr>
          <w:rFonts w:ascii="Century" w:eastAsia="ＭＳ 明朝" w:hAnsi="Century" w:cs="Times New Roman" w:hint="eastAsia"/>
          <w:color w:val="000000" w:themeColor="text1"/>
          <w:sz w:val="20"/>
          <w:szCs w:val="20"/>
        </w:rPr>
        <w:t>2.60</w:t>
      </w:r>
      <w:r w:rsidRPr="00CE7916">
        <w:rPr>
          <w:rFonts w:ascii="Century" w:eastAsia="ＭＳ 明朝" w:hAnsi="Century" w:cs="Times New Roman" w:hint="eastAsia"/>
          <w:color w:val="000000" w:themeColor="text1"/>
          <w:sz w:val="20"/>
          <w:szCs w:val="20"/>
        </w:rPr>
        <w:t>％</w:t>
      </w:r>
      <w:r w:rsidRPr="00CE7916">
        <w:rPr>
          <w:rFonts w:ascii="Century" w:eastAsia="ＭＳ 明朝" w:hAnsi="Century" w:cs="Times New Roman" w:hint="eastAsia"/>
          <w:color w:val="000000" w:themeColor="text1"/>
          <w:sz w:val="20"/>
          <w:szCs w:val="20"/>
        </w:rPr>
        <w:t>(</w:t>
      </w:r>
      <w:r w:rsidRPr="00CE7916">
        <w:rPr>
          <w:rFonts w:ascii="Century" w:eastAsia="ＭＳ 明朝" w:hAnsi="Century" w:cs="Times New Roman" w:hint="eastAsia"/>
          <w:color w:val="000000" w:themeColor="text1"/>
          <w:sz w:val="20"/>
          <w:szCs w:val="20"/>
        </w:rPr>
        <w:t>前年比</w:t>
      </w:r>
      <w:r w:rsidRPr="00CE7916">
        <w:rPr>
          <w:rFonts w:ascii="Century" w:eastAsia="ＭＳ 明朝" w:hAnsi="Century" w:cs="Times New Roman" w:hint="eastAsia"/>
          <w:color w:val="000000" w:themeColor="text1"/>
          <w:sz w:val="20"/>
          <w:szCs w:val="20"/>
        </w:rPr>
        <w:t>2.20</w:t>
      </w:r>
      <w:r w:rsidRPr="00CE7916">
        <w:rPr>
          <w:rFonts w:ascii="Century" w:eastAsia="ＭＳ 明朝" w:hAnsi="Century" w:cs="Times New Roman" w:hint="eastAsia"/>
          <w:color w:val="000000" w:themeColor="text1"/>
          <w:sz w:val="20"/>
          <w:szCs w:val="20"/>
        </w:rPr>
        <w:t>ポイント減</w:t>
      </w:r>
      <w:r w:rsidRPr="00CE7916">
        <w:rPr>
          <w:rFonts w:ascii="Century" w:eastAsia="ＭＳ 明朝" w:hAnsi="Century" w:cs="Times New Roman" w:hint="eastAsia"/>
          <w:color w:val="000000" w:themeColor="text1"/>
          <w:sz w:val="20"/>
          <w:szCs w:val="20"/>
        </w:rPr>
        <w:t>)</w:t>
      </w:r>
      <w:r w:rsidRPr="00CE7916">
        <w:rPr>
          <w:rFonts w:ascii="Century" w:eastAsia="ＭＳ 明朝" w:hAnsi="Century" w:cs="Times New Roman" w:hint="eastAsia"/>
          <w:color w:val="000000" w:themeColor="text1"/>
          <w:sz w:val="20"/>
          <w:szCs w:val="20"/>
        </w:rPr>
        <w:t>を記録するなど、</w:t>
      </w:r>
      <w:r w:rsidRPr="00CE7916">
        <w:rPr>
          <w:rFonts w:ascii="Century" w:eastAsia="ＭＳ 明朝" w:hAnsi="Century" w:cs="Times New Roman" w:hint="eastAsia"/>
          <w:color w:val="000000" w:themeColor="text1"/>
          <w:sz w:val="20"/>
          <w:szCs w:val="20"/>
        </w:rPr>
        <w:t>2</w:t>
      </w:r>
      <w:r w:rsidRPr="00CE7916">
        <w:rPr>
          <w:rFonts w:ascii="Century" w:eastAsia="ＭＳ 明朝" w:hAnsi="Century" w:cs="Times New Roman" w:hint="eastAsia"/>
          <w:color w:val="000000" w:themeColor="text1"/>
          <w:sz w:val="20"/>
          <w:szCs w:val="20"/>
        </w:rPr>
        <w:t>ヶ月連続で前年同</w:t>
      </w:r>
      <w:r w:rsidR="000F088D" w:rsidRPr="00CE7916">
        <w:rPr>
          <w:rFonts w:ascii="Century" w:eastAsia="ＭＳ 明朝" w:hAnsi="Century" w:cs="Times New Roman" w:hint="eastAsia"/>
          <w:color w:val="000000" w:themeColor="text1"/>
          <w:sz w:val="20"/>
          <w:szCs w:val="20"/>
        </w:rPr>
        <w:t>月の値</w:t>
      </w:r>
      <w:r w:rsidRPr="00CE7916">
        <w:rPr>
          <w:rFonts w:ascii="Century" w:eastAsia="ＭＳ 明朝" w:hAnsi="Century" w:cs="Times New Roman" w:hint="eastAsia"/>
          <w:color w:val="000000" w:themeColor="text1"/>
          <w:sz w:val="20"/>
          <w:szCs w:val="20"/>
        </w:rPr>
        <w:t>から</w:t>
      </w:r>
      <w:r w:rsidRPr="00CE7916">
        <w:rPr>
          <w:rFonts w:ascii="Century" w:eastAsia="ＭＳ 明朝" w:hAnsi="Century" w:cs="Times New Roman" w:hint="eastAsia"/>
          <w:color w:val="000000" w:themeColor="text1"/>
          <w:sz w:val="20"/>
          <w:szCs w:val="20"/>
        </w:rPr>
        <w:t>2</w:t>
      </w:r>
      <w:r w:rsidRPr="00CE7916">
        <w:rPr>
          <w:rFonts w:ascii="Century" w:eastAsia="ＭＳ 明朝" w:hAnsi="Century" w:cs="Times New Roman" w:hint="eastAsia"/>
          <w:color w:val="000000" w:themeColor="text1"/>
          <w:sz w:val="20"/>
          <w:szCs w:val="20"/>
        </w:rPr>
        <w:t>ポイント以上のマイナス成長を記録した。他方で、</w:t>
      </w:r>
      <w:r w:rsidR="00E07066" w:rsidRPr="00CE7916">
        <w:rPr>
          <w:rFonts w:ascii="Century" w:eastAsia="ＭＳ 明朝" w:hAnsi="Century" w:cs="Times New Roman" w:hint="eastAsia"/>
          <w:color w:val="000000" w:themeColor="text1"/>
          <w:sz w:val="20"/>
          <w:szCs w:val="20"/>
        </w:rPr>
        <w:t>製造業</w:t>
      </w:r>
      <w:r w:rsidR="00B06A71">
        <w:rPr>
          <w:rFonts w:ascii="Century" w:eastAsia="ＭＳ 明朝" w:hAnsi="Century" w:cs="Times New Roman" w:hint="eastAsia"/>
          <w:color w:val="000000" w:themeColor="text1"/>
          <w:sz w:val="20"/>
          <w:szCs w:val="20"/>
        </w:rPr>
        <w:t>中心の</w:t>
      </w:r>
      <w:r w:rsidRPr="00CE7916">
        <w:rPr>
          <w:rFonts w:ascii="Century" w:eastAsia="ＭＳ 明朝" w:hAnsi="Century" w:cs="Times New Roman" w:hint="eastAsia"/>
          <w:color w:val="000000" w:themeColor="text1"/>
          <w:sz w:val="20"/>
          <w:szCs w:val="20"/>
        </w:rPr>
        <w:t>フリーゾーン</w:t>
      </w:r>
      <w:r w:rsidR="00B06A71">
        <w:rPr>
          <w:rFonts w:ascii="Century" w:eastAsia="ＭＳ 明朝" w:hAnsi="Century" w:cs="Times New Roman" w:hint="eastAsia"/>
          <w:color w:val="000000" w:themeColor="text1"/>
          <w:sz w:val="20"/>
          <w:szCs w:val="20"/>
        </w:rPr>
        <w:t>部門</w:t>
      </w:r>
      <w:r w:rsidRPr="00CE7916">
        <w:rPr>
          <w:rFonts w:ascii="Century" w:eastAsia="ＭＳ 明朝" w:hAnsi="Century" w:cs="Times New Roman" w:hint="eastAsia"/>
          <w:color w:val="000000" w:themeColor="text1"/>
          <w:sz w:val="20"/>
          <w:szCs w:val="20"/>
        </w:rPr>
        <w:t>を除いた場合には、</w:t>
      </w:r>
      <w:r w:rsidRPr="00CE7916">
        <w:rPr>
          <w:rFonts w:ascii="Century" w:eastAsia="ＭＳ 明朝" w:hAnsi="Century" w:cs="Times New Roman" w:hint="eastAsia"/>
          <w:color w:val="000000" w:themeColor="text1"/>
          <w:sz w:val="20"/>
          <w:szCs w:val="20"/>
        </w:rPr>
        <w:t>9</w:t>
      </w:r>
      <w:r w:rsidRPr="00CE7916">
        <w:rPr>
          <w:rFonts w:ascii="Century" w:eastAsia="ＭＳ 明朝" w:hAnsi="Century" w:cs="Times New Roman" w:hint="eastAsia"/>
          <w:color w:val="000000" w:themeColor="text1"/>
          <w:sz w:val="20"/>
          <w:szCs w:val="20"/>
        </w:rPr>
        <w:t>月に</w:t>
      </w:r>
      <w:r w:rsidRPr="00CE7916">
        <w:rPr>
          <w:rFonts w:ascii="Century" w:eastAsia="ＭＳ 明朝" w:hAnsi="Century" w:cs="Times New Roman" w:hint="eastAsia"/>
          <w:color w:val="000000" w:themeColor="text1"/>
          <w:sz w:val="20"/>
          <w:szCs w:val="20"/>
        </w:rPr>
        <w:t>3.14</w:t>
      </w:r>
      <w:r w:rsidRPr="00CE7916">
        <w:rPr>
          <w:rFonts w:ascii="Century" w:eastAsia="ＭＳ 明朝" w:hAnsi="Century" w:cs="Times New Roman" w:hint="eastAsia"/>
          <w:color w:val="000000" w:themeColor="text1"/>
          <w:sz w:val="20"/>
          <w:szCs w:val="20"/>
        </w:rPr>
        <w:t>％</w:t>
      </w:r>
      <w:r w:rsidRPr="00CE7916">
        <w:rPr>
          <w:rFonts w:ascii="Century" w:eastAsia="ＭＳ 明朝" w:hAnsi="Century" w:cs="Times New Roman" w:hint="eastAsia"/>
          <w:color w:val="000000" w:themeColor="text1"/>
          <w:sz w:val="20"/>
          <w:szCs w:val="20"/>
        </w:rPr>
        <w:t>(</w:t>
      </w:r>
      <w:r w:rsidRPr="00CE7916">
        <w:rPr>
          <w:rFonts w:ascii="Century" w:eastAsia="ＭＳ 明朝" w:hAnsi="Century" w:cs="Times New Roman" w:hint="eastAsia"/>
          <w:color w:val="000000" w:themeColor="text1"/>
          <w:sz w:val="20"/>
          <w:szCs w:val="20"/>
        </w:rPr>
        <w:t>前年比</w:t>
      </w:r>
      <w:r w:rsidRPr="00CE7916">
        <w:rPr>
          <w:rFonts w:ascii="Century" w:eastAsia="ＭＳ 明朝" w:hAnsi="Century" w:cs="Times New Roman" w:hint="eastAsia"/>
          <w:color w:val="000000" w:themeColor="text1"/>
          <w:sz w:val="20"/>
          <w:szCs w:val="20"/>
        </w:rPr>
        <w:t>0.08</w:t>
      </w:r>
      <w:r w:rsidRPr="00CE7916">
        <w:rPr>
          <w:rFonts w:ascii="Century" w:eastAsia="ＭＳ 明朝" w:hAnsi="Century" w:cs="Times New Roman" w:hint="eastAsia"/>
          <w:color w:val="000000" w:themeColor="text1"/>
          <w:sz w:val="20"/>
          <w:szCs w:val="20"/>
        </w:rPr>
        <w:t>ポイント増</w:t>
      </w:r>
      <w:r w:rsidRPr="00CE7916">
        <w:rPr>
          <w:rFonts w:ascii="Century" w:eastAsia="ＭＳ 明朝" w:hAnsi="Century" w:cs="Times New Roman" w:hint="eastAsia"/>
          <w:color w:val="000000" w:themeColor="text1"/>
          <w:sz w:val="20"/>
          <w:szCs w:val="20"/>
        </w:rPr>
        <w:t>)</w:t>
      </w:r>
      <w:r w:rsidRPr="00CE7916">
        <w:rPr>
          <w:rFonts w:ascii="Century" w:eastAsia="ＭＳ 明朝" w:hAnsi="Century" w:cs="Times New Roman" w:hint="eastAsia"/>
          <w:color w:val="000000" w:themeColor="text1"/>
          <w:sz w:val="20"/>
          <w:szCs w:val="20"/>
        </w:rPr>
        <w:t>、</w:t>
      </w:r>
      <w:r w:rsidRPr="00CE7916">
        <w:rPr>
          <w:rFonts w:ascii="Century" w:eastAsia="ＭＳ 明朝" w:hAnsi="Century" w:cs="Times New Roman" w:hint="eastAsia"/>
          <w:color w:val="000000" w:themeColor="text1"/>
          <w:sz w:val="20"/>
          <w:szCs w:val="20"/>
        </w:rPr>
        <w:t>10</w:t>
      </w:r>
      <w:r w:rsidRPr="00CE7916">
        <w:rPr>
          <w:rFonts w:ascii="Century" w:eastAsia="ＭＳ 明朝" w:hAnsi="Century" w:cs="Times New Roman" w:hint="eastAsia"/>
          <w:color w:val="000000" w:themeColor="text1"/>
          <w:sz w:val="20"/>
          <w:szCs w:val="20"/>
        </w:rPr>
        <w:t>月に</w:t>
      </w:r>
      <w:r w:rsidRPr="00CE7916">
        <w:rPr>
          <w:rFonts w:ascii="Century" w:eastAsia="ＭＳ 明朝" w:hAnsi="Century" w:cs="Times New Roman" w:hint="eastAsia"/>
          <w:color w:val="000000" w:themeColor="text1"/>
          <w:sz w:val="20"/>
          <w:szCs w:val="20"/>
        </w:rPr>
        <w:t>2.99</w:t>
      </w:r>
      <w:r w:rsidRPr="00CE7916">
        <w:rPr>
          <w:rFonts w:ascii="Century" w:eastAsia="ＭＳ 明朝" w:hAnsi="Century" w:cs="Times New Roman" w:hint="eastAsia"/>
          <w:color w:val="000000" w:themeColor="text1"/>
          <w:sz w:val="20"/>
          <w:szCs w:val="20"/>
        </w:rPr>
        <w:t>％</w:t>
      </w:r>
      <w:r w:rsidRPr="00CE7916">
        <w:rPr>
          <w:rFonts w:ascii="Century" w:eastAsia="ＭＳ 明朝" w:hAnsi="Century" w:cs="Times New Roman" w:hint="eastAsia"/>
          <w:color w:val="000000" w:themeColor="text1"/>
          <w:sz w:val="20"/>
          <w:szCs w:val="20"/>
        </w:rPr>
        <w:t>(</w:t>
      </w:r>
      <w:r w:rsidRPr="00CE7916">
        <w:rPr>
          <w:rFonts w:ascii="Century" w:eastAsia="ＭＳ 明朝" w:hAnsi="Century" w:cs="Times New Roman" w:hint="eastAsia"/>
          <w:color w:val="000000" w:themeColor="text1"/>
          <w:sz w:val="20"/>
          <w:szCs w:val="20"/>
        </w:rPr>
        <w:t>前年比</w:t>
      </w:r>
      <w:r w:rsidRPr="00CE7916">
        <w:rPr>
          <w:rFonts w:ascii="Century" w:eastAsia="ＭＳ 明朝" w:hAnsi="Century" w:cs="Times New Roman" w:hint="eastAsia"/>
          <w:color w:val="000000" w:themeColor="text1"/>
          <w:sz w:val="20"/>
          <w:szCs w:val="20"/>
        </w:rPr>
        <w:t>0.20</w:t>
      </w:r>
      <w:r w:rsidRPr="00CE7916">
        <w:rPr>
          <w:rFonts w:ascii="Century" w:eastAsia="ＭＳ 明朝" w:hAnsi="Century" w:cs="Times New Roman" w:hint="eastAsia"/>
          <w:color w:val="000000" w:themeColor="text1"/>
          <w:sz w:val="20"/>
          <w:szCs w:val="20"/>
        </w:rPr>
        <w:t>ポイント減</w:t>
      </w:r>
      <w:r w:rsidRPr="00CE7916">
        <w:rPr>
          <w:rFonts w:ascii="Century" w:eastAsia="ＭＳ 明朝" w:hAnsi="Century" w:cs="Times New Roman" w:hint="eastAsia"/>
          <w:color w:val="000000" w:themeColor="text1"/>
          <w:sz w:val="20"/>
          <w:szCs w:val="20"/>
        </w:rPr>
        <w:t>)</w:t>
      </w:r>
      <w:r w:rsidRPr="00CE7916">
        <w:rPr>
          <w:rFonts w:ascii="Century" w:eastAsia="ＭＳ 明朝" w:hAnsi="Century" w:cs="Times New Roman" w:hint="eastAsia"/>
          <w:color w:val="000000" w:themeColor="text1"/>
          <w:sz w:val="20"/>
          <w:szCs w:val="20"/>
        </w:rPr>
        <w:t>前年同</w:t>
      </w:r>
      <w:r w:rsidR="000F088D" w:rsidRPr="00CE7916">
        <w:rPr>
          <w:rFonts w:ascii="Century" w:eastAsia="ＭＳ 明朝" w:hAnsi="Century" w:cs="Times New Roman" w:hint="eastAsia"/>
          <w:color w:val="000000" w:themeColor="text1"/>
          <w:sz w:val="20"/>
          <w:szCs w:val="20"/>
        </w:rPr>
        <w:t>月</w:t>
      </w:r>
      <w:r w:rsidRPr="00CE7916">
        <w:rPr>
          <w:rFonts w:ascii="Century" w:eastAsia="ＭＳ 明朝" w:hAnsi="Century" w:cs="Times New Roman" w:hint="eastAsia"/>
          <w:color w:val="000000" w:themeColor="text1"/>
          <w:sz w:val="20"/>
          <w:szCs w:val="20"/>
        </w:rPr>
        <w:t>の値から大きく変化していないことから、フリーゾーン</w:t>
      </w:r>
      <w:r w:rsidR="006B4DDB">
        <w:rPr>
          <w:rFonts w:ascii="Century" w:eastAsia="ＭＳ 明朝" w:hAnsi="Century" w:cs="Times New Roman" w:hint="eastAsia"/>
          <w:color w:val="000000" w:themeColor="text1"/>
          <w:sz w:val="20"/>
          <w:szCs w:val="20"/>
        </w:rPr>
        <w:t>の</w:t>
      </w:r>
      <w:r w:rsidR="001364F5">
        <w:rPr>
          <w:rFonts w:ascii="Century" w:eastAsia="ＭＳ 明朝" w:hAnsi="Century" w:cs="Times New Roman" w:hint="eastAsia"/>
          <w:color w:val="000000" w:themeColor="text1"/>
          <w:sz w:val="20"/>
          <w:szCs w:val="20"/>
        </w:rPr>
        <w:t>主要</w:t>
      </w:r>
      <w:r w:rsidR="000943EC" w:rsidRPr="00CE7916">
        <w:rPr>
          <w:rFonts w:ascii="Century" w:eastAsia="ＭＳ 明朝" w:hAnsi="Century" w:cs="Times New Roman" w:hint="eastAsia"/>
          <w:color w:val="000000" w:themeColor="text1"/>
          <w:sz w:val="20"/>
          <w:szCs w:val="20"/>
        </w:rPr>
        <w:t>産業である製造業の低迷が</w:t>
      </w:r>
      <w:r w:rsidR="001364F5">
        <w:rPr>
          <w:rFonts w:ascii="Century" w:eastAsia="ＭＳ 明朝" w:hAnsi="Century" w:cs="Times New Roman" w:hint="eastAsia"/>
          <w:color w:val="000000" w:themeColor="text1"/>
          <w:sz w:val="20"/>
          <w:szCs w:val="20"/>
        </w:rPr>
        <w:t>、</w:t>
      </w:r>
      <w:r w:rsidRPr="00CE7916">
        <w:rPr>
          <w:rFonts w:ascii="Century" w:eastAsia="ＭＳ 明朝" w:hAnsi="Century" w:cs="Times New Roman" w:hint="eastAsia"/>
          <w:color w:val="000000" w:themeColor="text1"/>
          <w:sz w:val="20"/>
          <w:szCs w:val="20"/>
        </w:rPr>
        <w:t>コスタリカ経済</w:t>
      </w:r>
      <w:r w:rsidR="000943EC" w:rsidRPr="00CE7916">
        <w:rPr>
          <w:rFonts w:ascii="Century" w:eastAsia="ＭＳ 明朝" w:hAnsi="Century" w:cs="Times New Roman" w:hint="eastAsia"/>
          <w:color w:val="000000" w:themeColor="text1"/>
          <w:sz w:val="20"/>
          <w:szCs w:val="20"/>
        </w:rPr>
        <w:t>全体の成長を</w:t>
      </w:r>
      <w:r w:rsidR="001364F5">
        <w:rPr>
          <w:rFonts w:ascii="Century" w:eastAsia="ＭＳ 明朝" w:hAnsi="Century" w:cs="Times New Roman" w:hint="eastAsia"/>
          <w:color w:val="000000" w:themeColor="text1"/>
          <w:sz w:val="20"/>
          <w:szCs w:val="20"/>
        </w:rPr>
        <w:t>抑制して</w:t>
      </w:r>
      <w:r w:rsidR="000943EC" w:rsidRPr="00CE7916">
        <w:rPr>
          <w:rFonts w:ascii="Century" w:eastAsia="ＭＳ 明朝" w:hAnsi="Century" w:cs="Times New Roman" w:hint="eastAsia"/>
          <w:color w:val="000000" w:themeColor="text1"/>
          <w:sz w:val="20"/>
          <w:szCs w:val="20"/>
        </w:rPr>
        <w:t>いるこ</w:t>
      </w:r>
      <w:r w:rsidRPr="00CE7916">
        <w:rPr>
          <w:rFonts w:ascii="Century" w:eastAsia="ＭＳ 明朝" w:hAnsi="Century" w:cs="Times New Roman" w:hint="eastAsia"/>
          <w:color w:val="000000" w:themeColor="text1"/>
          <w:sz w:val="20"/>
          <w:szCs w:val="20"/>
        </w:rPr>
        <w:t>とが</w:t>
      </w:r>
      <w:r w:rsidR="004B0667">
        <w:rPr>
          <w:rFonts w:ascii="Century" w:eastAsia="ＭＳ 明朝" w:hAnsi="Century" w:cs="Times New Roman" w:hint="eastAsia"/>
          <w:color w:val="000000" w:themeColor="text1"/>
          <w:sz w:val="20"/>
          <w:szCs w:val="20"/>
        </w:rPr>
        <w:t>窺える</w:t>
      </w:r>
      <w:r w:rsidRPr="00CE7916">
        <w:rPr>
          <w:rFonts w:ascii="Century" w:eastAsia="ＭＳ 明朝" w:hAnsi="Century" w:cs="Times New Roman" w:hint="eastAsia"/>
          <w:color w:val="000000" w:themeColor="text1"/>
          <w:sz w:val="20"/>
          <w:szCs w:val="20"/>
        </w:rPr>
        <w:t>。</w:t>
      </w:r>
    </w:p>
    <w:p w:rsidR="00D47D78" w:rsidRPr="00CE7916" w:rsidRDefault="005509A9" w:rsidP="00D47D78">
      <w:pPr>
        <w:rPr>
          <w:rFonts w:ascii="Century" w:eastAsia="ＭＳ 明朝" w:hAnsi="Century" w:cs="Times New Roman"/>
          <w:color w:val="FF0000"/>
          <w:sz w:val="20"/>
          <w:szCs w:val="20"/>
        </w:rPr>
      </w:pPr>
      <w:r w:rsidRPr="00CE7916">
        <w:rPr>
          <w:noProof/>
          <w:sz w:val="20"/>
          <w:szCs w:val="20"/>
        </w:rPr>
        <w:drawing>
          <wp:anchor distT="0" distB="0" distL="114300" distR="114300" simplePos="0" relativeHeight="251660288" behindDoc="0" locked="0" layoutInCell="1" allowOverlap="1" wp14:anchorId="6EB000F2" wp14:editId="712125B1">
            <wp:simplePos x="0" y="0"/>
            <wp:positionH relativeFrom="margin">
              <wp:posOffset>-13335</wp:posOffset>
            </wp:positionH>
            <wp:positionV relativeFrom="margin">
              <wp:posOffset>4778375</wp:posOffset>
            </wp:positionV>
            <wp:extent cx="5410200" cy="3152775"/>
            <wp:effectExtent l="0" t="0" r="19050" b="9525"/>
            <wp:wrapSquare wrapText="bothSides"/>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0430EB" w:rsidRPr="00CE7916">
        <w:rPr>
          <w:rFonts w:hint="eastAsia"/>
          <w:sz w:val="20"/>
          <w:szCs w:val="20"/>
        </w:rPr>
        <w:t>●</w:t>
      </w:r>
      <w:r w:rsidR="000F088D" w:rsidRPr="00CE7916">
        <w:rPr>
          <w:rFonts w:ascii="Century" w:eastAsia="ＭＳ 明朝" w:hAnsi="Century" w:cs="Times New Roman" w:hint="eastAsia"/>
          <w:sz w:val="20"/>
          <w:szCs w:val="20"/>
        </w:rPr>
        <w:t>8</w:t>
      </w:r>
      <w:r w:rsidR="00D47D78" w:rsidRPr="00CE7916">
        <w:rPr>
          <w:rFonts w:ascii="Century" w:eastAsia="ＭＳ 明朝" w:hAnsi="Century" w:cs="Times New Roman" w:hint="eastAsia"/>
          <w:sz w:val="20"/>
          <w:szCs w:val="20"/>
        </w:rPr>
        <w:t>月から引き続き、</w:t>
      </w:r>
      <w:r w:rsidR="000F088D" w:rsidRPr="00CE7916">
        <w:rPr>
          <w:rFonts w:ascii="Century" w:eastAsia="ＭＳ 明朝" w:hAnsi="Century" w:cs="Times New Roman" w:hint="eastAsia"/>
          <w:sz w:val="20"/>
          <w:szCs w:val="20"/>
        </w:rPr>
        <w:t>9</w:t>
      </w:r>
      <w:r w:rsidR="00D47D78" w:rsidRPr="00CE7916">
        <w:rPr>
          <w:rFonts w:ascii="Century" w:eastAsia="ＭＳ 明朝" w:hAnsi="Century" w:cs="Times New Roman" w:hint="eastAsia"/>
          <w:sz w:val="20"/>
          <w:szCs w:val="20"/>
        </w:rPr>
        <w:t>、</w:t>
      </w:r>
      <w:r w:rsidR="000F088D" w:rsidRPr="00CE7916">
        <w:rPr>
          <w:rFonts w:ascii="Century" w:eastAsia="ＭＳ 明朝" w:hAnsi="Century" w:cs="Times New Roman" w:hint="eastAsia"/>
          <w:sz w:val="20"/>
          <w:szCs w:val="20"/>
        </w:rPr>
        <w:t>10</w:t>
      </w:r>
      <w:r w:rsidR="00D47D78" w:rsidRPr="00CE7916">
        <w:rPr>
          <w:rFonts w:ascii="Century" w:eastAsia="ＭＳ 明朝" w:hAnsi="Century" w:cs="Times New Roman" w:hint="eastAsia"/>
          <w:sz w:val="20"/>
          <w:szCs w:val="20"/>
        </w:rPr>
        <w:t>月は、運輸・倉庫・通信</w:t>
      </w:r>
      <w:r w:rsidR="00D47D78" w:rsidRPr="00CE7916">
        <w:rPr>
          <w:rFonts w:ascii="Century" w:eastAsia="ＭＳ 明朝" w:hAnsi="Century" w:cs="Times New Roman" w:hint="eastAsia"/>
          <w:sz w:val="20"/>
          <w:szCs w:val="20"/>
        </w:rPr>
        <w:t>(</w:t>
      </w:r>
      <w:r w:rsidR="00D47D78" w:rsidRPr="00CE7916">
        <w:rPr>
          <w:rFonts w:ascii="Century" w:eastAsia="ＭＳ 明朝" w:hAnsi="Century" w:cs="Times New Roman" w:hint="eastAsia"/>
          <w:sz w:val="20"/>
          <w:szCs w:val="20"/>
        </w:rPr>
        <w:t>前年同月比で</w:t>
      </w:r>
      <w:r w:rsidR="000F088D" w:rsidRPr="00CE7916">
        <w:rPr>
          <w:rFonts w:ascii="Century" w:eastAsia="ＭＳ 明朝" w:hAnsi="Century" w:cs="Times New Roman" w:hint="eastAsia"/>
          <w:sz w:val="20"/>
          <w:szCs w:val="20"/>
        </w:rPr>
        <w:t>9</w:t>
      </w:r>
      <w:r w:rsidR="00D47D78" w:rsidRPr="00CE7916">
        <w:rPr>
          <w:rFonts w:ascii="Century" w:eastAsia="ＭＳ 明朝" w:hAnsi="Century" w:cs="Times New Roman" w:hint="eastAsia"/>
          <w:sz w:val="20"/>
          <w:szCs w:val="20"/>
        </w:rPr>
        <w:t>月が</w:t>
      </w:r>
      <w:r w:rsidR="000F088D" w:rsidRPr="00CE7916">
        <w:rPr>
          <w:rFonts w:ascii="Century" w:eastAsia="ＭＳ 明朝" w:hAnsi="Century" w:cs="Times New Roman" w:hint="eastAsia"/>
          <w:sz w:val="20"/>
          <w:szCs w:val="20"/>
        </w:rPr>
        <w:t>6.97</w:t>
      </w:r>
      <w:r w:rsidR="00D47D78" w:rsidRPr="00CE7916">
        <w:rPr>
          <w:rFonts w:ascii="Century" w:eastAsia="ＭＳ 明朝" w:hAnsi="Century" w:cs="Times New Roman" w:hint="eastAsia"/>
          <w:sz w:val="20"/>
          <w:szCs w:val="20"/>
        </w:rPr>
        <w:t>％、</w:t>
      </w:r>
      <w:r w:rsidR="00D47D78" w:rsidRPr="00CE7916">
        <w:rPr>
          <w:rFonts w:ascii="Century" w:eastAsia="ＭＳ 明朝" w:hAnsi="Century" w:cs="Times New Roman" w:hint="eastAsia"/>
          <w:sz w:val="20"/>
          <w:szCs w:val="20"/>
        </w:rPr>
        <w:t>8</w:t>
      </w:r>
      <w:r w:rsidR="00D47D78" w:rsidRPr="00CE7916">
        <w:rPr>
          <w:rFonts w:ascii="Century" w:eastAsia="ＭＳ 明朝" w:hAnsi="Century" w:cs="Times New Roman" w:hint="eastAsia"/>
          <w:sz w:val="20"/>
          <w:szCs w:val="20"/>
        </w:rPr>
        <w:t>月が</w:t>
      </w:r>
      <w:r w:rsidR="000F088D" w:rsidRPr="00CE7916">
        <w:rPr>
          <w:rFonts w:ascii="Century" w:eastAsia="ＭＳ 明朝" w:hAnsi="Century" w:cs="Times New Roman" w:hint="eastAsia"/>
          <w:sz w:val="20"/>
          <w:szCs w:val="20"/>
        </w:rPr>
        <w:t>6.85</w:t>
      </w:r>
      <w:r w:rsidR="00D47D78" w:rsidRPr="00CE7916">
        <w:rPr>
          <w:rFonts w:ascii="Century" w:eastAsia="ＭＳ 明朝" w:hAnsi="Century" w:cs="Times New Roman" w:hint="eastAsia"/>
          <w:sz w:val="20"/>
          <w:szCs w:val="20"/>
        </w:rPr>
        <w:t>％</w:t>
      </w:r>
      <w:r w:rsidR="00D47D78" w:rsidRPr="00CE7916">
        <w:rPr>
          <w:rFonts w:ascii="Century" w:eastAsia="ＭＳ 明朝" w:hAnsi="Century" w:cs="Times New Roman" w:hint="eastAsia"/>
          <w:sz w:val="20"/>
          <w:szCs w:val="20"/>
        </w:rPr>
        <w:t>)</w:t>
      </w:r>
      <w:r w:rsidR="00D47D78" w:rsidRPr="00CE7916">
        <w:rPr>
          <w:rFonts w:ascii="Century" w:eastAsia="ＭＳ 明朝" w:hAnsi="Century" w:cs="Times New Roman" w:hint="eastAsia"/>
          <w:sz w:val="20"/>
          <w:szCs w:val="20"/>
        </w:rPr>
        <w:t>、金融仲介サービス</w:t>
      </w:r>
      <w:r w:rsidR="00D47D78" w:rsidRPr="00CE7916">
        <w:rPr>
          <w:rFonts w:ascii="Century" w:eastAsia="ＭＳ 明朝" w:hAnsi="Century" w:cs="Times New Roman" w:hint="eastAsia"/>
          <w:sz w:val="20"/>
          <w:szCs w:val="20"/>
        </w:rPr>
        <w:t>(</w:t>
      </w:r>
      <w:r w:rsidR="00D47D78" w:rsidRPr="00CE7916">
        <w:rPr>
          <w:rFonts w:ascii="Century" w:eastAsia="ＭＳ 明朝" w:hAnsi="Century" w:cs="Times New Roman" w:hint="eastAsia"/>
          <w:sz w:val="20"/>
          <w:szCs w:val="20"/>
        </w:rPr>
        <w:t>同</w:t>
      </w:r>
      <w:r w:rsidR="000F088D" w:rsidRPr="00CE7916">
        <w:rPr>
          <w:rFonts w:ascii="Century" w:eastAsia="ＭＳ 明朝" w:hAnsi="Century" w:cs="Times New Roman" w:hint="eastAsia"/>
          <w:sz w:val="20"/>
          <w:szCs w:val="20"/>
        </w:rPr>
        <w:t>10.71</w:t>
      </w:r>
      <w:r w:rsidR="00D47D78" w:rsidRPr="00CE7916">
        <w:rPr>
          <w:rFonts w:ascii="Century" w:eastAsia="ＭＳ 明朝" w:hAnsi="Century" w:cs="Times New Roman" w:hint="eastAsia"/>
          <w:sz w:val="20"/>
          <w:szCs w:val="20"/>
        </w:rPr>
        <w:t>％、</w:t>
      </w:r>
      <w:r w:rsidR="000F088D" w:rsidRPr="00CE7916">
        <w:rPr>
          <w:rFonts w:ascii="Century" w:eastAsia="ＭＳ 明朝" w:hAnsi="Century" w:cs="Times New Roman" w:hint="eastAsia"/>
          <w:sz w:val="20"/>
          <w:szCs w:val="20"/>
        </w:rPr>
        <w:t>10.20</w:t>
      </w:r>
      <w:r w:rsidR="000F088D" w:rsidRPr="00CE7916">
        <w:rPr>
          <w:rFonts w:ascii="Century" w:eastAsia="ＭＳ 明朝" w:hAnsi="Century" w:cs="Times New Roman" w:hint="eastAsia"/>
          <w:sz w:val="20"/>
          <w:szCs w:val="20"/>
        </w:rPr>
        <w:t>％。</w:t>
      </w:r>
      <w:r w:rsidR="00D47D78" w:rsidRPr="00CE7916">
        <w:rPr>
          <w:rFonts w:ascii="Century" w:eastAsia="ＭＳ 明朝" w:hAnsi="Century" w:cs="Times New Roman" w:hint="eastAsia"/>
          <w:sz w:val="20"/>
          <w:szCs w:val="20"/>
        </w:rPr>
        <w:t>同部門は直近</w:t>
      </w:r>
      <w:r w:rsidR="000F088D" w:rsidRPr="00CE7916">
        <w:rPr>
          <w:rFonts w:ascii="Century" w:eastAsia="ＭＳ 明朝" w:hAnsi="Century" w:cs="Times New Roman" w:hint="eastAsia"/>
          <w:sz w:val="20"/>
          <w:szCs w:val="20"/>
        </w:rPr>
        <w:t>14</w:t>
      </w:r>
      <w:r w:rsidR="00D47D78" w:rsidRPr="00CE7916">
        <w:rPr>
          <w:rFonts w:ascii="Century" w:eastAsia="ＭＳ 明朝" w:hAnsi="Century" w:cs="Times New Roman" w:hint="eastAsia"/>
          <w:sz w:val="20"/>
          <w:szCs w:val="20"/>
        </w:rPr>
        <w:t>ヶ月</w:t>
      </w:r>
      <w:r w:rsidR="000F088D" w:rsidRPr="00CE7916">
        <w:rPr>
          <w:rFonts w:ascii="Century" w:eastAsia="ＭＳ 明朝" w:hAnsi="Century" w:cs="Times New Roman" w:hint="eastAsia"/>
          <w:sz w:val="20"/>
          <w:szCs w:val="20"/>
        </w:rPr>
        <w:t>間に</w:t>
      </w:r>
      <w:r w:rsidR="00D47D78" w:rsidRPr="00CE7916">
        <w:rPr>
          <w:rFonts w:ascii="Century" w:eastAsia="ＭＳ 明朝" w:hAnsi="Century" w:cs="Times New Roman" w:hint="eastAsia"/>
          <w:sz w:val="20"/>
          <w:szCs w:val="20"/>
        </w:rPr>
        <w:t>常に前年比</w:t>
      </w:r>
      <w:r w:rsidR="00D47D78" w:rsidRPr="00CE7916">
        <w:rPr>
          <w:rFonts w:ascii="Century" w:eastAsia="ＭＳ 明朝" w:hAnsi="Century" w:cs="Times New Roman" w:hint="eastAsia"/>
          <w:sz w:val="20"/>
          <w:szCs w:val="20"/>
        </w:rPr>
        <w:t>10</w:t>
      </w:r>
      <w:r w:rsidR="00D47D78" w:rsidRPr="00CE7916">
        <w:rPr>
          <w:rFonts w:ascii="Century" w:eastAsia="ＭＳ 明朝" w:hAnsi="Century" w:cs="Times New Roman" w:hint="eastAsia"/>
          <w:sz w:val="20"/>
          <w:szCs w:val="20"/>
        </w:rPr>
        <w:t>％以上の成長を記録している</w:t>
      </w:r>
      <w:r w:rsidR="00D47D78" w:rsidRPr="00CE7916">
        <w:rPr>
          <w:rFonts w:ascii="Century" w:eastAsia="ＭＳ 明朝" w:hAnsi="Century" w:cs="Times New Roman" w:hint="eastAsia"/>
          <w:sz w:val="20"/>
          <w:szCs w:val="20"/>
        </w:rPr>
        <w:t>)</w:t>
      </w:r>
      <w:r w:rsidR="000F088D" w:rsidRPr="00CE7916">
        <w:rPr>
          <w:rFonts w:ascii="Century" w:eastAsia="ＭＳ 明朝" w:hAnsi="Century" w:cs="Times New Roman" w:hint="eastAsia"/>
          <w:sz w:val="20"/>
          <w:szCs w:val="20"/>
        </w:rPr>
        <w:t>などで前年同月の値</w:t>
      </w:r>
      <w:r w:rsidR="00D47D78" w:rsidRPr="00CE7916">
        <w:rPr>
          <w:rFonts w:ascii="Century" w:eastAsia="ＭＳ 明朝" w:hAnsi="Century" w:cs="Times New Roman" w:hint="eastAsia"/>
          <w:sz w:val="20"/>
          <w:szCs w:val="20"/>
        </w:rPr>
        <w:t>からの上昇が見られた</w:t>
      </w:r>
      <w:r w:rsidR="00CE7916" w:rsidRPr="00CE7916">
        <w:rPr>
          <w:rFonts w:ascii="Century" w:eastAsia="ＭＳ 明朝" w:hAnsi="Century" w:cs="Times New Roman" w:hint="eastAsia"/>
          <w:sz w:val="20"/>
          <w:szCs w:val="20"/>
        </w:rPr>
        <w:t>。</w:t>
      </w:r>
    </w:p>
    <w:p w:rsidR="00665020" w:rsidRDefault="00E7201B" w:rsidP="00A84869">
      <w:pPr>
        <w:rPr>
          <w:sz w:val="20"/>
          <w:szCs w:val="20"/>
        </w:rPr>
      </w:pPr>
      <w:r>
        <w:rPr>
          <w:rFonts w:hint="eastAsia"/>
          <w:sz w:val="20"/>
          <w:szCs w:val="20"/>
        </w:rPr>
        <w:t>２</w:t>
      </w:r>
      <w:r w:rsidR="00665020">
        <w:rPr>
          <w:rFonts w:hint="eastAsia"/>
          <w:sz w:val="20"/>
          <w:szCs w:val="20"/>
        </w:rPr>
        <w:t xml:space="preserve">　貿易</w:t>
      </w:r>
    </w:p>
    <w:p w:rsidR="00851B76" w:rsidRPr="00F81D6C" w:rsidRDefault="00851B76" w:rsidP="00851B76">
      <w:pPr>
        <w:jc w:val="left"/>
        <w:rPr>
          <w:rFonts w:ascii="Century" w:eastAsia="ＭＳ 明朝" w:hAnsi="Century" w:cs="Times New Roman"/>
          <w:sz w:val="20"/>
          <w:szCs w:val="20"/>
        </w:rPr>
      </w:pPr>
      <w:r w:rsidRPr="00F81D6C">
        <w:rPr>
          <w:rFonts w:ascii="Century" w:eastAsia="ＭＳ 明朝" w:hAnsi="Century" w:cs="Times New Roman" w:hint="eastAsia"/>
          <w:sz w:val="20"/>
          <w:szCs w:val="20"/>
        </w:rPr>
        <w:lastRenderedPageBreak/>
        <w:t>●</w:t>
      </w:r>
      <w:r w:rsidR="00F81D6C" w:rsidRPr="00F81D6C">
        <w:rPr>
          <w:rFonts w:ascii="Century" w:eastAsia="ＭＳ 明朝" w:hAnsi="Century" w:cs="Times New Roman" w:hint="eastAsia"/>
          <w:sz w:val="20"/>
          <w:szCs w:val="20"/>
        </w:rPr>
        <w:t>9</w:t>
      </w:r>
      <w:r w:rsidRPr="00F81D6C">
        <w:rPr>
          <w:rFonts w:ascii="Century" w:eastAsia="ＭＳ 明朝" w:hAnsi="Century" w:cs="Times New Roman" w:hint="eastAsia"/>
          <w:sz w:val="20"/>
          <w:szCs w:val="20"/>
        </w:rPr>
        <w:t>月の輸入額</w:t>
      </w:r>
      <w:r w:rsidRPr="00F81D6C">
        <w:rPr>
          <w:rFonts w:ascii="Century" w:eastAsia="ＭＳ 明朝" w:hAnsi="Century" w:cs="Times New Roman" w:hint="eastAsia"/>
          <w:sz w:val="20"/>
          <w:szCs w:val="20"/>
        </w:rPr>
        <w:t>(</w:t>
      </w:r>
      <w:r w:rsidRPr="00F81D6C">
        <w:rPr>
          <w:rFonts w:ascii="Century" w:eastAsia="ＭＳ 明朝" w:hAnsi="Century" w:cs="Times New Roman" w:hint="eastAsia"/>
          <w:sz w:val="20"/>
          <w:szCs w:val="20"/>
        </w:rPr>
        <w:t>表</w:t>
      </w:r>
      <w:r w:rsidRPr="00F81D6C">
        <w:rPr>
          <w:rFonts w:ascii="Century" w:eastAsia="ＭＳ 明朝" w:hAnsi="Century" w:cs="Times New Roman" w:hint="eastAsia"/>
          <w:sz w:val="20"/>
          <w:szCs w:val="20"/>
        </w:rPr>
        <w:t>2)</w:t>
      </w:r>
      <w:r w:rsidRPr="00F81D6C">
        <w:rPr>
          <w:rFonts w:ascii="Century" w:eastAsia="ＭＳ 明朝" w:hAnsi="Century" w:cs="Times New Roman" w:hint="eastAsia"/>
          <w:sz w:val="20"/>
          <w:szCs w:val="20"/>
        </w:rPr>
        <w:t>は</w:t>
      </w:r>
      <w:r w:rsidR="00F81D6C" w:rsidRPr="00F81D6C">
        <w:rPr>
          <w:rFonts w:ascii="Century" w:eastAsia="ＭＳ 明朝" w:hAnsi="Century" w:cs="Times New Roman" w:hint="eastAsia"/>
          <w:sz w:val="20"/>
          <w:szCs w:val="20"/>
        </w:rPr>
        <w:t>1,403</w:t>
      </w:r>
      <w:r w:rsidRPr="00F81D6C">
        <w:rPr>
          <w:rFonts w:ascii="Century" w:eastAsia="ＭＳ 明朝" w:hAnsi="Century" w:cs="Times New Roman" w:hint="eastAsia"/>
          <w:sz w:val="20"/>
          <w:szCs w:val="20"/>
        </w:rPr>
        <w:t>百万ドル</w:t>
      </w:r>
      <w:r w:rsidRPr="00F81D6C">
        <w:rPr>
          <w:rFonts w:ascii="Century" w:eastAsia="ＭＳ 明朝" w:hAnsi="Century" w:cs="Times New Roman"/>
          <w:sz w:val="20"/>
          <w:szCs w:val="20"/>
        </w:rPr>
        <w:t>(</w:t>
      </w:r>
      <w:r w:rsidR="00D41817">
        <w:rPr>
          <w:rFonts w:ascii="Century" w:eastAsia="ＭＳ 明朝" w:hAnsi="Century" w:cs="Times New Roman" w:hint="eastAsia"/>
          <w:sz w:val="20"/>
          <w:szCs w:val="20"/>
        </w:rPr>
        <w:t>前年同月比</w:t>
      </w:r>
      <w:r w:rsidR="00F81D6C" w:rsidRPr="00F81D6C">
        <w:rPr>
          <w:rFonts w:ascii="Century" w:eastAsia="ＭＳ 明朝" w:hAnsi="Century" w:cs="Times New Roman" w:hint="eastAsia"/>
          <w:sz w:val="20"/>
          <w:szCs w:val="20"/>
        </w:rPr>
        <w:t>6.6</w:t>
      </w:r>
      <w:r w:rsidR="00D41817">
        <w:rPr>
          <w:rFonts w:ascii="Century" w:eastAsia="ＭＳ 明朝" w:hAnsi="Century" w:cs="Times New Roman" w:hint="eastAsia"/>
          <w:sz w:val="20"/>
          <w:szCs w:val="20"/>
        </w:rPr>
        <w:t>ポイント減</w:t>
      </w:r>
      <w:r w:rsidRPr="00F81D6C">
        <w:rPr>
          <w:rFonts w:ascii="Century" w:eastAsia="ＭＳ 明朝" w:hAnsi="Century" w:cs="Times New Roman"/>
          <w:sz w:val="20"/>
          <w:szCs w:val="20"/>
        </w:rPr>
        <w:t>)</w:t>
      </w:r>
      <w:r w:rsidRPr="00F81D6C">
        <w:rPr>
          <w:rFonts w:ascii="Century" w:eastAsia="ＭＳ 明朝" w:hAnsi="Century" w:cs="Times New Roman" w:hint="eastAsia"/>
          <w:sz w:val="20"/>
          <w:szCs w:val="20"/>
        </w:rPr>
        <w:t>、同輸出額</w:t>
      </w:r>
      <w:r w:rsidRPr="00F81D6C">
        <w:rPr>
          <w:rFonts w:ascii="Century" w:eastAsia="ＭＳ 明朝" w:hAnsi="Century" w:cs="Times New Roman" w:hint="eastAsia"/>
          <w:sz w:val="20"/>
          <w:szCs w:val="20"/>
        </w:rPr>
        <w:t>(</w:t>
      </w:r>
      <w:r w:rsidRPr="00F81D6C">
        <w:rPr>
          <w:rFonts w:ascii="Century" w:eastAsia="ＭＳ 明朝" w:hAnsi="Century" w:cs="Times New Roman" w:hint="eastAsia"/>
          <w:sz w:val="20"/>
          <w:szCs w:val="20"/>
        </w:rPr>
        <w:t>表</w:t>
      </w:r>
      <w:r w:rsidRPr="00F81D6C">
        <w:rPr>
          <w:rFonts w:ascii="Century" w:eastAsia="ＭＳ 明朝" w:hAnsi="Century" w:cs="Times New Roman" w:hint="eastAsia"/>
          <w:sz w:val="20"/>
          <w:szCs w:val="20"/>
        </w:rPr>
        <w:t>2)</w:t>
      </w:r>
      <w:r w:rsidRPr="00F81D6C">
        <w:rPr>
          <w:rFonts w:ascii="Century" w:eastAsia="ＭＳ 明朝" w:hAnsi="Century" w:cs="Times New Roman" w:hint="eastAsia"/>
          <w:sz w:val="20"/>
          <w:szCs w:val="20"/>
        </w:rPr>
        <w:t>は</w:t>
      </w:r>
      <w:r w:rsidR="00F81D6C" w:rsidRPr="00F81D6C">
        <w:rPr>
          <w:rFonts w:ascii="Century" w:eastAsia="ＭＳ 明朝" w:hAnsi="Century" w:cs="Times New Roman" w:hint="eastAsia"/>
          <w:sz w:val="20"/>
          <w:szCs w:val="20"/>
        </w:rPr>
        <w:t>910.8</w:t>
      </w:r>
      <w:r w:rsidRPr="00F81D6C">
        <w:rPr>
          <w:rFonts w:ascii="Century" w:eastAsia="ＭＳ 明朝" w:hAnsi="Century" w:cs="Times New Roman" w:hint="eastAsia"/>
          <w:sz w:val="20"/>
          <w:szCs w:val="20"/>
        </w:rPr>
        <w:t>百万ドル</w:t>
      </w:r>
      <w:r w:rsidRPr="00F81D6C">
        <w:rPr>
          <w:rFonts w:ascii="Century" w:eastAsia="ＭＳ 明朝" w:hAnsi="Century" w:cs="Times New Roman"/>
          <w:sz w:val="20"/>
          <w:szCs w:val="20"/>
        </w:rPr>
        <w:t>(</w:t>
      </w:r>
      <w:r w:rsidRPr="00F81D6C">
        <w:rPr>
          <w:rFonts w:ascii="Century" w:eastAsia="ＭＳ 明朝" w:hAnsi="Century" w:cs="Times New Roman" w:hint="eastAsia"/>
          <w:sz w:val="20"/>
          <w:szCs w:val="20"/>
        </w:rPr>
        <w:t>前年同月比</w:t>
      </w:r>
      <w:r w:rsidR="00F81D6C" w:rsidRPr="00F81D6C">
        <w:rPr>
          <w:rFonts w:ascii="Century" w:eastAsia="ＭＳ 明朝" w:hAnsi="Century" w:cs="Times New Roman" w:hint="eastAsia"/>
          <w:sz w:val="20"/>
          <w:szCs w:val="20"/>
        </w:rPr>
        <w:t>6.4</w:t>
      </w:r>
      <w:r w:rsidR="00D41817">
        <w:rPr>
          <w:rFonts w:ascii="Century" w:eastAsia="ＭＳ 明朝" w:hAnsi="Century" w:cs="Times New Roman" w:hint="eastAsia"/>
          <w:sz w:val="20"/>
          <w:szCs w:val="20"/>
        </w:rPr>
        <w:t>ポイント減</w:t>
      </w:r>
      <w:r w:rsidRPr="00F81D6C">
        <w:rPr>
          <w:rFonts w:ascii="Century" w:eastAsia="ＭＳ 明朝" w:hAnsi="Century" w:cs="Times New Roman"/>
          <w:sz w:val="20"/>
          <w:szCs w:val="20"/>
        </w:rPr>
        <w:t>)</w:t>
      </w:r>
      <w:r w:rsidRPr="00F81D6C">
        <w:rPr>
          <w:rFonts w:ascii="Century" w:eastAsia="ＭＳ 明朝" w:hAnsi="Century" w:cs="Times New Roman" w:hint="eastAsia"/>
          <w:sz w:val="20"/>
          <w:szCs w:val="20"/>
        </w:rPr>
        <w:t>となった。</w:t>
      </w:r>
    </w:p>
    <w:p w:rsidR="00851B76" w:rsidRPr="00F81D6C" w:rsidRDefault="00851B76" w:rsidP="00851B76">
      <w:pPr>
        <w:jc w:val="left"/>
        <w:rPr>
          <w:rFonts w:ascii="Century" w:eastAsia="ＭＳ 明朝" w:hAnsi="Century" w:cs="Times New Roman"/>
          <w:sz w:val="20"/>
          <w:szCs w:val="20"/>
        </w:rPr>
      </w:pPr>
      <w:r w:rsidRPr="00F81D6C">
        <w:rPr>
          <w:rFonts w:ascii="Century" w:eastAsia="ＭＳ 明朝" w:hAnsi="Century" w:cs="Times New Roman" w:hint="eastAsia"/>
          <w:sz w:val="20"/>
          <w:szCs w:val="20"/>
        </w:rPr>
        <w:t>●</w:t>
      </w:r>
      <w:r w:rsidR="00F81D6C" w:rsidRPr="00F81D6C">
        <w:rPr>
          <w:rFonts w:ascii="Century" w:eastAsia="ＭＳ 明朝" w:hAnsi="Century" w:cs="Times New Roman" w:hint="eastAsia"/>
          <w:sz w:val="20"/>
          <w:szCs w:val="20"/>
        </w:rPr>
        <w:t>10</w:t>
      </w:r>
      <w:r w:rsidRPr="00F81D6C">
        <w:rPr>
          <w:rFonts w:ascii="Century" w:eastAsia="ＭＳ 明朝" w:hAnsi="Century" w:cs="Times New Roman" w:hint="eastAsia"/>
          <w:sz w:val="20"/>
          <w:szCs w:val="20"/>
        </w:rPr>
        <w:t>月の輸入額</w:t>
      </w:r>
      <w:r w:rsidRPr="00F81D6C">
        <w:rPr>
          <w:rFonts w:ascii="Century" w:eastAsia="ＭＳ 明朝" w:hAnsi="Century" w:cs="Times New Roman" w:hint="eastAsia"/>
          <w:sz w:val="20"/>
          <w:szCs w:val="20"/>
        </w:rPr>
        <w:t>(</w:t>
      </w:r>
      <w:r w:rsidRPr="00F81D6C">
        <w:rPr>
          <w:rFonts w:ascii="Century" w:eastAsia="ＭＳ 明朝" w:hAnsi="Century" w:cs="Times New Roman" w:hint="eastAsia"/>
          <w:sz w:val="20"/>
          <w:szCs w:val="20"/>
        </w:rPr>
        <w:t>表</w:t>
      </w:r>
      <w:r w:rsidRPr="00F81D6C">
        <w:rPr>
          <w:rFonts w:ascii="Century" w:eastAsia="ＭＳ 明朝" w:hAnsi="Century" w:cs="Times New Roman" w:hint="eastAsia"/>
          <w:sz w:val="20"/>
          <w:szCs w:val="20"/>
        </w:rPr>
        <w:t>2)</w:t>
      </w:r>
      <w:r w:rsidRPr="00F81D6C">
        <w:rPr>
          <w:rFonts w:ascii="Century" w:eastAsia="ＭＳ 明朝" w:hAnsi="Century" w:cs="Times New Roman" w:hint="eastAsia"/>
          <w:sz w:val="20"/>
          <w:szCs w:val="20"/>
        </w:rPr>
        <w:t>は</w:t>
      </w:r>
      <w:r w:rsidRPr="00F81D6C">
        <w:rPr>
          <w:rFonts w:ascii="Century" w:eastAsia="ＭＳ 明朝" w:hAnsi="Century" w:cs="Times New Roman" w:hint="eastAsia"/>
          <w:sz w:val="20"/>
          <w:szCs w:val="20"/>
        </w:rPr>
        <w:t>1</w:t>
      </w:r>
      <w:r w:rsidR="00F81D6C" w:rsidRPr="00F81D6C">
        <w:rPr>
          <w:rFonts w:ascii="Century" w:eastAsia="ＭＳ 明朝" w:hAnsi="Century" w:cs="Times New Roman" w:hint="eastAsia"/>
          <w:sz w:val="20"/>
          <w:szCs w:val="20"/>
        </w:rPr>
        <w:t>,391.7</w:t>
      </w:r>
      <w:r w:rsidRPr="00F81D6C">
        <w:rPr>
          <w:rFonts w:ascii="Century" w:eastAsia="ＭＳ 明朝" w:hAnsi="Century" w:cs="Times New Roman" w:hint="eastAsia"/>
          <w:sz w:val="20"/>
          <w:szCs w:val="20"/>
        </w:rPr>
        <w:t>百万ドル</w:t>
      </w:r>
      <w:r w:rsidRPr="00F81D6C">
        <w:rPr>
          <w:rFonts w:ascii="Century" w:eastAsia="ＭＳ 明朝" w:hAnsi="Century" w:cs="Times New Roman" w:hint="eastAsia"/>
          <w:sz w:val="20"/>
          <w:szCs w:val="20"/>
        </w:rPr>
        <w:t>(</w:t>
      </w:r>
      <w:r w:rsidR="00D41817">
        <w:rPr>
          <w:rFonts w:ascii="Century" w:eastAsia="ＭＳ 明朝" w:hAnsi="Century" w:cs="Times New Roman" w:hint="eastAsia"/>
          <w:sz w:val="20"/>
          <w:szCs w:val="20"/>
        </w:rPr>
        <w:t>前年同月比</w:t>
      </w:r>
      <w:r w:rsidR="00F81D6C" w:rsidRPr="00F81D6C">
        <w:rPr>
          <w:rFonts w:ascii="Century" w:eastAsia="ＭＳ 明朝" w:hAnsi="Century" w:cs="Times New Roman" w:hint="eastAsia"/>
          <w:sz w:val="20"/>
          <w:szCs w:val="20"/>
        </w:rPr>
        <w:t>13.6</w:t>
      </w:r>
      <w:r w:rsidR="00D41817">
        <w:rPr>
          <w:rFonts w:ascii="Century" w:eastAsia="ＭＳ 明朝" w:hAnsi="Century" w:cs="Times New Roman" w:hint="eastAsia"/>
          <w:sz w:val="20"/>
          <w:szCs w:val="20"/>
        </w:rPr>
        <w:t>ポイント減</w:t>
      </w:r>
      <w:r w:rsidRPr="00F81D6C">
        <w:rPr>
          <w:rFonts w:ascii="Century" w:eastAsia="ＭＳ 明朝" w:hAnsi="Century" w:cs="Times New Roman" w:hint="eastAsia"/>
          <w:sz w:val="20"/>
          <w:szCs w:val="20"/>
        </w:rPr>
        <w:t>)</w:t>
      </w:r>
      <w:r w:rsidRPr="00F81D6C">
        <w:rPr>
          <w:rFonts w:ascii="Century" w:eastAsia="ＭＳ 明朝" w:hAnsi="Century" w:cs="Times New Roman" w:hint="eastAsia"/>
          <w:sz w:val="20"/>
          <w:szCs w:val="20"/>
        </w:rPr>
        <w:t>となり、同輸出額</w:t>
      </w:r>
      <w:r w:rsidRPr="00F81D6C">
        <w:rPr>
          <w:rFonts w:ascii="Century" w:eastAsia="ＭＳ 明朝" w:hAnsi="Century" w:cs="Times New Roman" w:hint="eastAsia"/>
          <w:sz w:val="20"/>
          <w:szCs w:val="20"/>
        </w:rPr>
        <w:t>(</w:t>
      </w:r>
      <w:r w:rsidRPr="00F81D6C">
        <w:rPr>
          <w:rFonts w:ascii="Century" w:eastAsia="ＭＳ 明朝" w:hAnsi="Century" w:cs="Times New Roman" w:hint="eastAsia"/>
          <w:sz w:val="20"/>
          <w:szCs w:val="20"/>
        </w:rPr>
        <w:t>表</w:t>
      </w:r>
      <w:r w:rsidRPr="00F81D6C">
        <w:rPr>
          <w:rFonts w:ascii="Century" w:eastAsia="ＭＳ 明朝" w:hAnsi="Century" w:cs="Times New Roman" w:hint="eastAsia"/>
          <w:sz w:val="20"/>
          <w:szCs w:val="20"/>
        </w:rPr>
        <w:t>2)</w:t>
      </w:r>
      <w:r w:rsidRPr="00F81D6C">
        <w:rPr>
          <w:rFonts w:ascii="Century" w:eastAsia="ＭＳ 明朝" w:hAnsi="Century" w:cs="Times New Roman" w:hint="eastAsia"/>
          <w:sz w:val="20"/>
          <w:szCs w:val="20"/>
        </w:rPr>
        <w:t>は</w:t>
      </w:r>
      <w:r w:rsidRPr="00F81D6C">
        <w:rPr>
          <w:rFonts w:ascii="Century" w:eastAsia="ＭＳ 明朝" w:hAnsi="Century" w:cs="Times New Roman" w:hint="eastAsia"/>
          <w:sz w:val="20"/>
          <w:szCs w:val="20"/>
        </w:rPr>
        <w:t>9</w:t>
      </w:r>
      <w:r w:rsidR="00437F96">
        <w:rPr>
          <w:rFonts w:ascii="Century" w:eastAsia="ＭＳ 明朝" w:hAnsi="Century" w:cs="Times New Roman" w:hint="eastAsia"/>
          <w:sz w:val="20"/>
          <w:szCs w:val="20"/>
        </w:rPr>
        <w:t>37</w:t>
      </w:r>
      <w:r w:rsidRPr="00F81D6C">
        <w:rPr>
          <w:rFonts w:ascii="Century" w:eastAsia="ＭＳ 明朝" w:hAnsi="Century" w:cs="Times New Roman" w:hint="eastAsia"/>
          <w:sz w:val="20"/>
          <w:szCs w:val="20"/>
        </w:rPr>
        <w:t>.</w:t>
      </w:r>
      <w:r w:rsidR="00437F96">
        <w:rPr>
          <w:rFonts w:ascii="Century" w:eastAsia="ＭＳ 明朝" w:hAnsi="Century" w:cs="Times New Roman" w:hint="eastAsia"/>
          <w:sz w:val="20"/>
          <w:szCs w:val="20"/>
        </w:rPr>
        <w:t>9</w:t>
      </w:r>
      <w:r w:rsidRPr="00F81D6C">
        <w:rPr>
          <w:rFonts w:ascii="Century" w:eastAsia="ＭＳ 明朝" w:hAnsi="Century" w:cs="Times New Roman" w:hint="eastAsia"/>
          <w:sz w:val="20"/>
          <w:szCs w:val="20"/>
        </w:rPr>
        <w:t>百万ドル</w:t>
      </w:r>
      <w:r w:rsidRPr="00F81D6C">
        <w:rPr>
          <w:rFonts w:ascii="Century" w:eastAsia="ＭＳ 明朝" w:hAnsi="Century" w:cs="Times New Roman" w:hint="eastAsia"/>
          <w:sz w:val="20"/>
          <w:szCs w:val="20"/>
        </w:rPr>
        <w:t>(</w:t>
      </w:r>
      <w:r w:rsidRPr="00F81D6C">
        <w:rPr>
          <w:rFonts w:ascii="Century" w:eastAsia="ＭＳ 明朝" w:hAnsi="Century" w:cs="Times New Roman" w:hint="eastAsia"/>
          <w:sz w:val="20"/>
          <w:szCs w:val="20"/>
        </w:rPr>
        <w:t>前年</w:t>
      </w:r>
      <w:r w:rsidR="00D41817">
        <w:rPr>
          <w:rFonts w:ascii="Century" w:eastAsia="ＭＳ 明朝" w:hAnsi="Century" w:cs="Times New Roman" w:hint="eastAsia"/>
          <w:sz w:val="20"/>
          <w:szCs w:val="20"/>
        </w:rPr>
        <w:t>同月比</w:t>
      </w:r>
      <w:r w:rsidR="00F81D6C" w:rsidRPr="00F81D6C">
        <w:rPr>
          <w:rFonts w:ascii="Century" w:eastAsia="ＭＳ 明朝" w:hAnsi="Century" w:cs="Times New Roman" w:hint="eastAsia"/>
          <w:sz w:val="20"/>
          <w:szCs w:val="20"/>
        </w:rPr>
        <w:t>7</w:t>
      </w:r>
      <w:r w:rsidR="00D41817">
        <w:rPr>
          <w:rFonts w:ascii="Century" w:eastAsia="ＭＳ 明朝" w:hAnsi="Century" w:cs="Times New Roman" w:hint="eastAsia"/>
          <w:sz w:val="20"/>
          <w:szCs w:val="20"/>
        </w:rPr>
        <w:t>ポイント減</w:t>
      </w:r>
      <w:r w:rsidRPr="00F81D6C">
        <w:rPr>
          <w:rFonts w:ascii="Century" w:eastAsia="ＭＳ 明朝" w:hAnsi="Century" w:cs="Times New Roman" w:hint="eastAsia"/>
          <w:sz w:val="20"/>
          <w:szCs w:val="20"/>
        </w:rPr>
        <w:t>)</w:t>
      </w:r>
      <w:r w:rsidRPr="00F81D6C">
        <w:rPr>
          <w:rFonts w:ascii="Century" w:eastAsia="ＭＳ 明朝" w:hAnsi="Century" w:cs="Times New Roman" w:hint="eastAsia"/>
          <w:sz w:val="20"/>
          <w:szCs w:val="20"/>
        </w:rPr>
        <w:t>となった。</w:t>
      </w:r>
    </w:p>
    <w:p w:rsidR="00851B76" w:rsidRPr="0049325D" w:rsidRDefault="00851B76" w:rsidP="00851B76">
      <w:pPr>
        <w:jc w:val="left"/>
        <w:rPr>
          <w:rFonts w:ascii="Century" w:eastAsia="ＭＳ 明朝" w:hAnsi="Century" w:cs="Times New Roman"/>
          <w:sz w:val="20"/>
          <w:szCs w:val="20"/>
        </w:rPr>
      </w:pPr>
      <w:r w:rsidRPr="0049325D">
        <w:rPr>
          <w:rFonts w:ascii="Century" w:eastAsia="ＭＳ 明朝" w:hAnsi="Century" w:cs="Times New Roman" w:hint="eastAsia"/>
          <w:sz w:val="20"/>
          <w:szCs w:val="20"/>
        </w:rPr>
        <w:t>●</w:t>
      </w:r>
      <w:r w:rsidR="00D41817">
        <w:rPr>
          <w:rFonts w:ascii="Century" w:eastAsia="ＭＳ 明朝" w:hAnsi="Century" w:cs="Times New Roman" w:hint="eastAsia"/>
          <w:sz w:val="20"/>
          <w:szCs w:val="20"/>
        </w:rPr>
        <w:t>貿易</w:t>
      </w:r>
      <w:r w:rsidRPr="0049325D">
        <w:rPr>
          <w:rFonts w:ascii="Century" w:eastAsia="ＭＳ 明朝" w:hAnsi="Century" w:cs="Times New Roman" w:hint="eastAsia"/>
          <w:sz w:val="20"/>
          <w:szCs w:val="20"/>
        </w:rPr>
        <w:t>累積額に関しては、輸入額が</w:t>
      </w:r>
      <w:r w:rsidR="00C540E8" w:rsidRPr="0049325D">
        <w:rPr>
          <w:rFonts w:ascii="Century" w:eastAsia="ＭＳ 明朝" w:hAnsi="Century" w:cs="Times New Roman" w:hint="eastAsia"/>
          <w:sz w:val="20"/>
          <w:szCs w:val="20"/>
        </w:rPr>
        <w:t>9</w:t>
      </w:r>
      <w:r w:rsidRPr="0049325D">
        <w:rPr>
          <w:rFonts w:ascii="Century" w:eastAsia="ＭＳ 明朝" w:hAnsi="Century" w:cs="Times New Roman" w:hint="eastAsia"/>
          <w:sz w:val="20"/>
          <w:szCs w:val="20"/>
        </w:rPr>
        <w:t>・</w:t>
      </w:r>
      <w:r w:rsidR="00C540E8" w:rsidRPr="0049325D">
        <w:rPr>
          <w:rFonts w:ascii="Century" w:eastAsia="ＭＳ 明朝" w:hAnsi="Century" w:cs="Times New Roman" w:hint="eastAsia"/>
          <w:sz w:val="20"/>
          <w:szCs w:val="20"/>
        </w:rPr>
        <w:t>10</w:t>
      </w:r>
      <w:r w:rsidRPr="0049325D">
        <w:rPr>
          <w:rFonts w:ascii="Century" w:eastAsia="ＭＳ 明朝" w:hAnsi="Century" w:cs="Times New Roman" w:hint="eastAsia"/>
          <w:sz w:val="20"/>
          <w:szCs w:val="20"/>
        </w:rPr>
        <w:t>月時点</w:t>
      </w:r>
      <w:r w:rsidRPr="0049325D">
        <w:rPr>
          <w:rFonts w:ascii="Century" w:eastAsia="ＭＳ 明朝" w:hAnsi="Century" w:cs="Times New Roman"/>
          <w:sz w:val="20"/>
          <w:szCs w:val="20"/>
        </w:rPr>
        <w:t>(</w:t>
      </w:r>
      <w:r w:rsidRPr="0049325D">
        <w:rPr>
          <w:rFonts w:ascii="Century" w:eastAsia="ＭＳ 明朝" w:hAnsi="Century" w:cs="Times New Roman" w:hint="eastAsia"/>
          <w:sz w:val="20"/>
          <w:szCs w:val="20"/>
        </w:rPr>
        <w:t>表</w:t>
      </w:r>
      <w:r w:rsidRPr="0049325D">
        <w:rPr>
          <w:rFonts w:ascii="Century" w:eastAsia="ＭＳ 明朝" w:hAnsi="Century" w:cs="Times New Roman" w:hint="eastAsia"/>
          <w:sz w:val="20"/>
          <w:szCs w:val="20"/>
        </w:rPr>
        <w:t>3</w:t>
      </w:r>
      <w:r w:rsidRPr="0049325D">
        <w:rPr>
          <w:rFonts w:ascii="Century" w:eastAsia="ＭＳ 明朝" w:hAnsi="Century" w:cs="Times New Roman" w:hint="eastAsia"/>
          <w:sz w:val="20"/>
          <w:szCs w:val="20"/>
        </w:rPr>
        <w:t>、</w:t>
      </w:r>
      <w:r w:rsidRPr="0049325D">
        <w:rPr>
          <w:rFonts w:ascii="Century" w:eastAsia="ＭＳ 明朝" w:hAnsi="Century" w:cs="Times New Roman" w:hint="eastAsia"/>
          <w:sz w:val="20"/>
          <w:szCs w:val="20"/>
        </w:rPr>
        <w:t>4</w:t>
      </w:r>
      <w:r w:rsidRPr="0049325D">
        <w:rPr>
          <w:rFonts w:ascii="Century" w:eastAsia="ＭＳ 明朝" w:hAnsi="Century" w:cs="Times New Roman"/>
          <w:sz w:val="20"/>
          <w:szCs w:val="20"/>
        </w:rPr>
        <w:t>)</w:t>
      </w:r>
      <w:r w:rsidRPr="0049325D">
        <w:rPr>
          <w:rFonts w:ascii="Century" w:eastAsia="ＭＳ 明朝" w:hAnsi="Century" w:cs="Times New Roman" w:hint="eastAsia"/>
          <w:sz w:val="20"/>
          <w:szCs w:val="20"/>
        </w:rPr>
        <w:t>で各</w:t>
      </w:r>
      <w:r w:rsidRPr="0049325D">
        <w:rPr>
          <w:rFonts w:ascii="Century" w:eastAsia="ＭＳ 明朝" w:hAnsi="Century" w:cs="Times New Roman" w:hint="eastAsia"/>
          <w:sz w:val="20"/>
          <w:szCs w:val="20"/>
        </w:rPr>
        <w:t>1</w:t>
      </w:r>
      <w:r w:rsidR="009E141D" w:rsidRPr="0049325D">
        <w:rPr>
          <w:rFonts w:ascii="Century" w:eastAsia="ＭＳ 明朝" w:hAnsi="Century" w:cs="Times New Roman" w:hint="eastAsia"/>
          <w:sz w:val="20"/>
          <w:szCs w:val="20"/>
        </w:rPr>
        <w:t>3,159</w:t>
      </w:r>
      <w:r w:rsidRPr="0049325D">
        <w:rPr>
          <w:rFonts w:ascii="Century" w:eastAsia="ＭＳ 明朝" w:hAnsi="Century" w:cs="Times New Roman" w:hint="eastAsia"/>
          <w:sz w:val="20"/>
          <w:szCs w:val="20"/>
        </w:rPr>
        <w:t>.3</w:t>
      </w:r>
      <w:r w:rsidRPr="0049325D">
        <w:rPr>
          <w:rFonts w:ascii="Century" w:eastAsia="ＭＳ 明朝" w:hAnsi="Century" w:cs="Times New Roman" w:hint="eastAsia"/>
          <w:sz w:val="20"/>
          <w:szCs w:val="20"/>
        </w:rPr>
        <w:t>百万ドル</w:t>
      </w:r>
      <w:r w:rsidR="0093730F">
        <w:rPr>
          <w:rFonts w:ascii="Century" w:eastAsia="ＭＳ 明朝" w:hAnsi="Century" w:cs="Times New Roman" w:hint="eastAsia"/>
          <w:sz w:val="20"/>
          <w:szCs w:val="20"/>
        </w:rPr>
        <w:t>(</w:t>
      </w:r>
      <w:r w:rsidR="0093730F">
        <w:rPr>
          <w:rFonts w:ascii="Century" w:eastAsia="ＭＳ 明朝" w:hAnsi="Century" w:cs="Times New Roman" w:hint="eastAsia"/>
          <w:sz w:val="20"/>
          <w:szCs w:val="20"/>
        </w:rPr>
        <w:t>前年比</w:t>
      </w:r>
      <w:r w:rsidR="0093730F">
        <w:rPr>
          <w:rFonts w:ascii="Century" w:eastAsia="ＭＳ 明朝" w:hAnsi="Century" w:cs="Times New Roman" w:hint="eastAsia"/>
          <w:sz w:val="20"/>
          <w:szCs w:val="20"/>
        </w:rPr>
        <w:t>2.1</w:t>
      </w:r>
      <w:r w:rsidR="0093730F">
        <w:rPr>
          <w:rFonts w:ascii="Century" w:eastAsia="ＭＳ 明朝" w:hAnsi="Century" w:cs="Times New Roman" w:hint="eastAsia"/>
          <w:sz w:val="20"/>
          <w:szCs w:val="20"/>
        </w:rPr>
        <w:t>％減</w:t>
      </w:r>
      <w:r w:rsidR="0093730F">
        <w:rPr>
          <w:rFonts w:ascii="Century" w:eastAsia="ＭＳ 明朝" w:hAnsi="Century" w:cs="Times New Roman" w:hint="eastAsia"/>
          <w:sz w:val="20"/>
          <w:szCs w:val="20"/>
        </w:rPr>
        <w:t>)</w:t>
      </w:r>
      <w:r w:rsidRPr="0049325D">
        <w:rPr>
          <w:rFonts w:ascii="Century" w:eastAsia="ＭＳ 明朝" w:hAnsi="Century" w:cs="Times New Roman" w:hint="eastAsia"/>
          <w:sz w:val="20"/>
          <w:szCs w:val="20"/>
        </w:rPr>
        <w:t>、</w:t>
      </w:r>
      <w:r w:rsidRPr="0049325D">
        <w:rPr>
          <w:rFonts w:ascii="Century" w:eastAsia="ＭＳ 明朝" w:hAnsi="Century" w:cs="Times New Roman" w:hint="eastAsia"/>
          <w:sz w:val="20"/>
          <w:szCs w:val="20"/>
        </w:rPr>
        <w:t>1</w:t>
      </w:r>
      <w:r w:rsidR="009E141D" w:rsidRPr="0049325D">
        <w:rPr>
          <w:rFonts w:ascii="Century" w:eastAsia="ＭＳ 明朝" w:hAnsi="Century" w:cs="Times New Roman" w:hint="eastAsia"/>
          <w:sz w:val="20"/>
          <w:szCs w:val="20"/>
        </w:rPr>
        <w:t>4,551.0</w:t>
      </w:r>
      <w:r w:rsidRPr="0049325D">
        <w:rPr>
          <w:rFonts w:ascii="Century" w:eastAsia="ＭＳ 明朝" w:hAnsi="Century" w:cs="Times New Roman" w:hint="eastAsia"/>
          <w:sz w:val="20"/>
          <w:szCs w:val="20"/>
        </w:rPr>
        <w:t>百万ドル</w:t>
      </w:r>
      <w:r w:rsidR="0093730F">
        <w:rPr>
          <w:rFonts w:ascii="Century" w:eastAsia="ＭＳ 明朝" w:hAnsi="Century" w:cs="Times New Roman" w:hint="eastAsia"/>
          <w:sz w:val="20"/>
          <w:szCs w:val="20"/>
        </w:rPr>
        <w:t>(</w:t>
      </w:r>
      <w:r w:rsidR="0093730F">
        <w:rPr>
          <w:rFonts w:ascii="Century" w:eastAsia="ＭＳ 明朝" w:hAnsi="Century" w:cs="Times New Roman" w:hint="eastAsia"/>
          <w:sz w:val="20"/>
          <w:szCs w:val="20"/>
        </w:rPr>
        <w:t>前年比</w:t>
      </w:r>
      <w:r w:rsidR="0093730F">
        <w:rPr>
          <w:rFonts w:ascii="Century" w:eastAsia="ＭＳ 明朝" w:hAnsi="Century" w:cs="Times New Roman" w:hint="eastAsia"/>
          <w:sz w:val="20"/>
          <w:szCs w:val="20"/>
        </w:rPr>
        <w:t>3.3</w:t>
      </w:r>
      <w:r w:rsidR="0093730F">
        <w:rPr>
          <w:rFonts w:ascii="Century" w:eastAsia="ＭＳ 明朝" w:hAnsi="Century" w:cs="Times New Roman" w:hint="eastAsia"/>
          <w:sz w:val="20"/>
          <w:szCs w:val="20"/>
        </w:rPr>
        <w:t>％減</w:t>
      </w:r>
      <w:r w:rsidR="0093730F">
        <w:rPr>
          <w:rFonts w:ascii="Century" w:eastAsia="ＭＳ 明朝" w:hAnsi="Century" w:cs="Times New Roman" w:hint="eastAsia"/>
          <w:sz w:val="20"/>
          <w:szCs w:val="20"/>
        </w:rPr>
        <w:t>)</w:t>
      </w:r>
      <w:r w:rsidRPr="0049325D">
        <w:rPr>
          <w:rFonts w:ascii="Century" w:eastAsia="ＭＳ 明朝" w:hAnsi="Century" w:cs="Times New Roman" w:hint="eastAsia"/>
          <w:sz w:val="20"/>
          <w:szCs w:val="20"/>
        </w:rPr>
        <w:t>、同輸出額</w:t>
      </w:r>
      <w:r w:rsidRPr="0049325D">
        <w:rPr>
          <w:rFonts w:ascii="Century" w:eastAsia="ＭＳ 明朝" w:hAnsi="Century" w:cs="Times New Roman" w:hint="eastAsia"/>
          <w:sz w:val="20"/>
          <w:szCs w:val="20"/>
        </w:rPr>
        <w:t>(</w:t>
      </w:r>
      <w:r w:rsidRPr="0049325D">
        <w:rPr>
          <w:rFonts w:ascii="Century" w:eastAsia="ＭＳ 明朝" w:hAnsi="Century" w:cs="Times New Roman" w:hint="eastAsia"/>
          <w:sz w:val="20"/>
          <w:szCs w:val="20"/>
        </w:rPr>
        <w:t>表</w:t>
      </w:r>
      <w:r w:rsidRPr="0049325D">
        <w:rPr>
          <w:rFonts w:ascii="Century" w:eastAsia="ＭＳ 明朝" w:hAnsi="Century" w:cs="Times New Roman" w:hint="eastAsia"/>
          <w:sz w:val="20"/>
          <w:szCs w:val="20"/>
        </w:rPr>
        <w:t>3</w:t>
      </w:r>
      <w:r w:rsidRPr="0049325D">
        <w:rPr>
          <w:rFonts w:ascii="Century" w:eastAsia="ＭＳ 明朝" w:hAnsi="Century" w:cs="Times New Roman" w:hint="eastAsia"/>
          <w:sz w:val="20"/>
          <w:szCs w:val="20"/>
        </w:rPr>
        <w:t>、</w:t>
      </w:r>
      <w:r w:rsidRPr="0049325D">
        <w:rPr>
          <w:rFonts w:ascii="Century" w:eastAsia="ＭＳ 明朝" w:hAnsi="Century" w:cs="Times New Roman" w:hint="eastAsia"/>
          <w:sz w:val="20"/>
          <w:szCs w:val="20"/>
        </w:rPr>
        <w:t>4)</w:t>
      </w:r>
      <w:r w:rsidRPr="0049325D">
        <w:rPr>
          <w:rFonts w:ascii="Century" w:eastAsia="ＭＳ 明朝" w:hAnsi="Century" w:cs="Times New Roman" w:hint="eastAsia"/>
          <w:sz w:val="20"/>
          <w:szCs w:val="20"/>
        </w:rPr>
        <w:t>は各</w:t>
      </w:r>
      <w:r w:rsidR="009E141D" w:rsidRPr="0049325D">
        <w:rPr>
          <w:rFonts w:ascii="Century" w:eastAsia="ＭＳ 明朝" w:hAnsi="Century" w:cs="Times New Roman" w:hint="eastAsia"/>
          <w:sz w:val="20"/>
          <w:szCs w:val="20"/>
        </w:rPr>
        <w:t>8,685</w:t>
      </w:r>
      <w:r w:rsidRPr="0049325D">
        <w:rPr>
          <w:rFonts w:ascii="Century" w:eastAsia="ＭＳ 明朝" w:hAnsi="Century" w:cs="Times New Roman" w:hint="eastAsia"/>
          <w:sz w:val="20"/>
          <w:szCs w:val="20"/>
        </w:rPr>
        <w:t>.4</w:t>
      </w:r>
      <w:r w:rsidRPr="0049325D">
        <w:rPr>
          <w:rFonts w:ascii="Century" w:eastAsia="ＭＳ 明朝" w:hAnsi="Century" w:cs="Times New Roman" w:hint="eastAsia"/>
          <w:sz w:val="20"/>
          <w:szCs w:val="20"/>
        </w:rPr>
        <w:t>百万ドル</w:t>
      </w:r>
      <w:r w:rsidR="0093730F">
        <w:rPr>
          <w:rFonts w:ascii="Century" w:eastAsia="ＭＳ 明朝" w:hAnsi="Century" w:cs="Times New Roman" w:hint="eastAsia"/>
          <w:sz w:val="20"/>
          <w:szCs w:val="20"/>
        </w:rPr>
        <w:t>(</w:t>
      </w:r>
      <w:r w:rsidR="0093730F">
        <w:rPr>
          <w:rFonts w:ascii="Century" w:eastAsia="ＭＳ 明朝" w:hAnsi="Century" w:cs="Times New Roman" w:hint="eastAsia"/>
          <w:sz w:val="20"/>
          <w:szCs w:val="20"/>
        </w:rPr>
        <w:t>前年比</w:t>
      </w:r>
      <w:r w:rsidR="0093730F">
        <w:rPr>
          <w:rFonts w:ascii="Century" w:eastAsia="ＭＳ 明朝" w:hAnsi="Century" w:cs="Times New Roman" w:hint="eastAsia"/>
          <w:sz w:val="20"/>
          <w:szCs w:val="20"/>
        </w:rPr>
        <w:t>0.4</w:t>
      </w:r>
      <w:r w:rsidR="0093730F">
        <w:rPr>
          <w:rFonts w:ascii="Century" w:eastAsia="ＭＳ 明朝" w:hAnsi="Century" w:cs="Times New Roman" w:hint="eastAsia"/>
          <w:sz w:val="20"/>
          <w:szCs w:val="20"/>
        </w:rPr>
        <w:t>％減</w:t>
      </w:r>
      <w:r w:rsidR="0093730F">
        <w:rPr>
          <w:rFonts w:ascii="Century" w:eastAsia="ＭＳ 明朝" w:hAnsi="Century" w:cs="Times New Roman" w:hint="eastAsia"/>
          <w:sz w:val="20"/>
          <w:szCs w:val="20"/>
        </w:rPr>
        <w:t>)</w:t>
      </w:r>
      <w:r w:rsidRPr="0049325D">
        <w:rPr>
          <w:rFonts w:ascii="Century" w:eastAsia="ＭＳ 明朝" w:hAnsi="Century" w:cs="Times New Roman" w:hint="eastAsia"/>
          <w:sz w:val="20"/>
          <w:szCs w:val="20"/>
        </w:rPr>
        <w:t>、</w:t>
      </w:r>
      <w:r w:rsidR="009E141D" w:rsidRPr="0049325D">
        <w:rPr>
          <w:rFonts w:ascii="Century" w:eastAsia="ＭＳ 明朝" w:hAnsi="Century" w:cs="Times New Roman" w:hint="eastAsia"/>
          <w:sz w:val="20"/>
          <w:szCs w:val="20"/>
        </w:rPr>
        <w:t>9,623.3</w:t>
      </w:r>
      <w:r w:rsidRPr="0049325D">
        <w:rPr>
          <w:rFonts w:ascii="Century" w:eastAsia="ＭＳ 明朝" w:hAnsi="Century" w:cs="Times New Roman" w:hint="eastAsia"/>
          <w:sz w:val="20"/>
          <w:szCs w:val="20"/>
        </w:rPr>
        <w:t>百万ドル</w:t>
      </w:r>
      <w:r w:rsidR="0093730F">
        <w:rPr>
          <w:rFonts w:ascii="Century" w:eastAsia="ＭＳ 明朝" w:hAnsi="Century" w:cs="Times New Roman" w:hint="eastAsia"/>
          <w:sz w:val="20"/>
          <w:szCs w:val="20"/>
        </w:rPr>
        <w:t>(</w:t>
      </w:r>
      <w:r w:rsidR="0093730F">
        <w:rPr>
          <w:rFonts w:ascii="Century" w:eastAsia="ＭＳ 明朝" w:hAnsi="Century" w:cs="Times New Roman" w:hint="eastAsia"/>
          <w:sz w:val="20"/>
          <w:szCs w:val="20"/>
        </w:rPr>
        <w:t>前年比</w:t>
      </w:r>
      <w:r w:rsidR="0093730F">
        <w:rPr>
          <w:rFonts w:ascii="Century" w:eastAsia="ＭＳ 明朝" w:hAnsi="Century" w:cs="Times New Roman" w:hint="eastAsia"/>
          <w:sz w:val="20"/>
          <w:szCs w:val="20"/>
        </w:rPr>
        <w:t>0.4</w:t>
      </w:r>
      <w:r w:rsidR="0093730F">
        <w:rPr>
          <w:rFonts w:ascii="Century" w:eastAsia="ＭＳ 明朝" w:hAnsi="Century" w:cs="Times New Roman" w:hint="eastAsia"/>
          <w:sz w:val="20"/>
          <w:szCs w:val="20"/>
        </w:rPr>
        <w:t>％減</w:t>
      </w:r>
      <w:r w:rsidR="0093730F">
        <w:rPr>
          <w:rFonts w:ascii="Century" w:eastAsia="ＭＳ 明朝" w:hAnsi="Century" w:cs="Times New Roman" w:hint="eastAsia"/>
          <w:sz w:val="20"/>
          <w:szCs w:val="20"/>
        </w:rPr>
        <w:t>)</w:t>
      </w:r>
      <w:r w:rsidRPr="0049325D">
        <w:rPr>
          <w:rFonts w:ascii="Century" w:eastAsia="ＭＳ 明朝" w:hAnsi="Century" w:cs="Times New Roman" w:hint="eastAsia"/>
          <w:sz w:val="20"/>
          <w:szCs w:val="20"/>
        </w:rPr>
        <w:t>を記録した。貿易赤字額は</w:t>
      </w:r>
      <w:r w:rsidR="009E141D" w:rsidRPr="0049325D">
        <w:rPr>
          <w:rFonts w:ascii="Century" w:eastAsia="ＭＳ 明朝" w:hAnsi="Century" w:cs="Times New Roman" w:hint="eastAsia"/>
          <w:sz w:val="20"/>
          <w:szCs w:val="20"/>
        </w:rPr>
        <w:t>9</w:t>
      </w:r>
      <w:r w:rsidRPr="0049325D">
        <w:rPr>
          <w:rFonts w:ascii="Century" w:eastAsia="ＭＳ 明朝" w:hAnsi="Century" w:cs="Times New Roman" w:hint="eastAsia"/>
          <w:sz w:val="20"/>
          <w:szCs w:val="20"/>
        </w:rPr>
        <w:t>月に</w:t>
      </w:r>
      <w:r w:rsidR="009E141D" w:rsidRPr="0049325D">
        <w:rPr>
          <w:rFonts w:ascii="Century" w:eastAsia="ＭＳ 明朝" w:hAnsi="Century" w:cs="Times New Roman" w:hint="eastAsia"/>
          <w:sz w:val="20"/>
          <w:szCs w:val="20"/>
        </w:rPr>
        <w:t>4</w:t>
      </w:r>
      <w:r w:rsidRPr="0049325D">
        <w:rPr>
          <w:rFonts w:ascii="Century" w:eastAsia="ＭＳ 明朝" w:hAnsi="Century" w:cs="Times New Roman" w:hint="eastAsia"/>
          <w:sz w:val="20"/>
          <w:szCs w:val="20"/>
        </w:rPr>
        <w:t>,4</w:t>
      </w:r>
      <w:r w:rsidR="009E141D" w:rsidRPr="0049325D">
        <w:rPr>
          <w:rFonts w:ascii="Century" w:eastAsia="ＭＳ 明朝" w:hAnsi="Century" w:cs="Times New Roman" w:hint="eastAsia"/>
          <w:sz w:val="20"/>
          <w:szCs w:val="20"/>
        </w:rPr>
        <w:t>7</w:t>
      </w:r>
      <w:r w:rsidRPr="0049325D">
        <w:rPr>
          <w:rFonts w:ascii="Century" w:eastAsia="ＭＳ 明朝" w:hAnsi="Century" w:cs="Times New Roman" w:hint="eastAsia"/>
          <w:sz w:val="20"/>
          <w:szCs w:val="20"/>
        </w:rPr>
        <w:t>3.9</w:t>
      </w:r>
      <w:r w:rsidRPr="0049325D">
        <w:rPr>
          <w:rFonts w:ascii="Century" w:eastAsia="ＭＳ 明朝" w:hAnsi="Century" w:cs="Times New Roman" w:hint="eastAsia"/>
          <w:sz w:val="20"/>
          <w:szCs w:val="20"/>
        </w:rPr>
        <w:t>百万ドル</w:t>
      </w:r>
      <w:r w:rsidRPr="0049325D">
        <w:rPr>
          <w:rFonts w:ascii="Century" w:eastAsia="ＭＳ 明朝" w:hAnsi="Century" w:cs="Times New Roman" w:hint="eastAsia"/>
          <w:sz w:val="20"/>
          <w:szCs w:val="20"/>
        </w:rPr>
        <w:t>(</w:t>
      </w:r>
      <w:r w:rsidRPr="0049325D">
        <w:rPr>
          <w:rFonts w:ascii="Century" w:eastAsia="ＭＳ 明朝" w:hAnsi="Century" w:cs="Times New Roman" w:hint="eastAsia"/>
          <w:sz w:val="20"/>
          <w:szCs w:val="20"/>
        </w:rPr>
        <w:t>前年比</w:t>
      </w:r>
      <w:r w:rsidR="0049325D" w:rsidRPr="0049325D">
        <w:rPr>
          <w:rFonts w:ascii="Century" w:eastAsia="ＭＳ 明朝" w:hAnsi="Century" w:cs="Times New Roman" w:hint="eastAsia"/>
          <w:sz w:val="20"/>
          <w:szCs w:val="20"/>
        </w:rPr>
        <w:t>5</w:t>
      </w:r>
      <w:r w:rsidRPr="0049325D">
        <w:rPr>
          <w:rFonts w:ascii="Century" w:eastAsia="ＭＳ 明朝" w:hAnsi="Century" w:cs="Times New Roman" w:hint="eastAsia"/>
          <w:sz w:val="20"/>
          <w:szCs w:val="20"/>
        </w:rPr>
        <w:t>.3</w:t>
      </w:r>
      <w:r w:rsidRPr="0049325D">
        <w:rPr>
          <w:rFonts w:ascii="Century" w:eastAsia="ＭＳ 明朝" w:hAnsi="Century" w:cs="Times New Roman" w:hint="eastAsia"/>
          <w:sz w:val="20"/>
          <w:szCs w:val="20"/>
        </w:rPr>
        <w:t>％減</w:t>
      </w:r>
      <w:r w:rsidRPr="0049325D">
        <w:rPr>
          <w:rFonts w:ascii="Century" w:eastAsia="ＭＳ 明朝" w:hAnsi="Century" w:cs="Times New Roman" w:hint="eastAsia"/>
          <w:sz w:val="20"/>
          <w:szCs w:val="20"/>
        </w:rPr>
        <w:t>)</w:t>
      </w:r>
      <w:r w:rsidRPr="0049325D">
        <w:rPr>
          <w:rFonts w:ascii="Century" w:eastAsia="ＭＳ 明朝" w:hAnsi="Century" w:cs="Times New Roman" w:hint="eastAsia"/>
          <w:sz w:val="20"/>
          <w:szCs w:val="20"/>
        </w:rPr>
        <w:t>、</w:t>
      </w:r>
      <w:r w:rsidR="009E141D" w:rsidRPr="0049325D">
        <w:rPr>
          <w:rFonts w:ascii="Century" w:eastAsia="ＭＳ 明朝" w:hAnsi="Century" w:cs="Times New Roman" w:hint="eastAsia"/>
          <w:sz w:val="20"/>
          <w:szCs w:val="20"/>
        </w:rPr>
        <w:t>10</w:t>
      </w:r>
      <w:r w:rsidRPr="0049325D">
        <w:rPr>
          <w:rFonts w:ascii="Century" w:eastAsia="ＭＳ 明朝" w:hAnsi="Century" w:cs="Times New Roman" w:hint="eastAsia"/>
          <w:sz w:val="20"/>
          <w:szCs w:val="20"/>
        </w:rPr>
        <w:t>月に</w:t>
      </w:r>
      <w:r w:rsidR="009E141D" w:rsidRPr="0049325D">
        <w:rPr>
          <w:rFonts w:ascii="Century" w:eastAsia="ＭＳ 明朝" w:hAnsi="Century" w:cs="Times New Roman" w:hint="eastAsia"/>
          <w:sz w:val="20"/>
          <w:szCs w:val="20"/>
        </w:rPr>
        <w:t>4</w:t>
      </w:r>
      <w:r w:rsidRPr="0049325D">
        <w:rPr>
          <w:rFonts w:ascii="Century" w:eastAsia="ＭＳ 明朝" w:hAnsi="Century" w:cs="Times New Roman" w:hint="eastAsia"/>
          <w:sz w:val="20"/>
          <w:szCs w:val="20"/>
        </w:rPr>
        <w:t>,9</w:t>
      </w:r>
      <w:r w:rsidR="009E141D" w:rsidRPr="0049325D">
        <w:rPr>
          <w:rFonts w:ascii="Century" w:eastAsia="ＭＳ 明朝" w:hAnsi="Century" w:cs="Times New Roman" w:hint="eastAsia"/>
          <w:sz w:val="20"/>
          <w:szCs w:val="20"/>
        </w:rPr>
        <w:t>27</w:t>
      </w:r>
      <w:r w:rsidRPr="0049325D">
        <w:rPr>
          <w:rFonts w:ascii="Century" w:eastAsia="ＭＳ 明朝" w:hAnsi="Century" w:cs="Times New Roman" w:hint="eastAsia"/>
          <w:sz w:val="20"/>
          <w:szCs w:val="20"/>
        </w:rPr>
        <w:t>.</w:t>
      </w:r>
      <w:r w:rsidR="009E141D" w:rsidRPr="0049325D">
        <w:rPr>
          <w:rFonts w:ascii="Century" w:eastAsia="ＭＳ 明朝" w:hAnsi="Century" w:cs="Times New Roman" w:hint="eastAsia"/>
          <w:sz w:val="20"/>
          <w:szCs w:val="20"/>
        </w:rPr>
        <w:t>7</w:t>
      </w:r>
      <w:r w:rsidRPr="0049325D">
        <w:rPr>
          <w:rFonts w:ascii="Century" w:eastAsia="ＭＳ 明朝" w:hAnsi="Century" w:cs="Times New Roman" w:hint="eastAsia"/>
          <w:sz w:val="20"/>
          <w:szCs w:val="20"/>
        </w:rPr>
        <w:t>百万ドル</w:t>
      </w:r>
      <w:r w:rsidRPr="0049325D">
        <w:rPr>
          <w:rFonts w:ascii="Century" w:eastAsia="ＭＳ 明朝" w:hAnsi="Century" w:cs="Times New Roman" w:hint="eastAsia"/>
          <w:sz w:val="20"/>
          <w:szCs w:val="20"/>
        </w:rPr>
        <w:t>(</w:t>
      </w:r>
      <w:r w:rsidRPr="0049325D">
        <w:rPr>
          <w:rFonts w:ascii="Century" w:eastAsia="ＭＳ 明朝" w:hAnsi="Century" w:cs="Times New Roman" w:hint="eastAsia"/>
          <w:sz w:val="20"/>
          <w:szCs w:val="20"/>
        </w:rPr>
        <w:t>前年比</w:t>
      </w:r>
      <w:r w:rsidR="0049325D" w:rsidRPr="0049325D">
        <w:rPr>
          <w:rFonts w:ascii="Century" w:eastAsia="ＭＳ 明朝" w:hAnsi="Century" w:cs="Times New Roman" w:hint="eastAsia"/>
          <w:sz w:val="20"/>
          <w:szCs w:val="20"/>
        </w:rPr>
        <w:t>7</w:t>
      </w:r>
      <w:r w:rsidRPr="0049325D">
        <w:rPr>
          <w:rFonts w:ascii="Century" w:eastAsia="ＭＳ 明朝" w:hAnsi="Century" w:cs="Times New Roman" w:hint="eastAsia"/>
          <w:sz w:val="20"/>
          <w:szCs w:val="20"/>
        </w:rPr>
        <w:t>.</w:t>
      </w:r>
      <w:r w:rsidR="0049325D" w:rsidRPr="0049325D">
        <w:rPr>
          <w:rFonts w:ascii="Century" w:eastAsia="ＭＳ 明朝" w:hAnsi="Century" w:cs="Times New Roman" w:hint="eastAsia"/>
          <w:sz w:val="20"/>
          <w:szCs w:val="20"/>
        </w:rPr>
        <w:t>5</w:t>
      </w:r>
      <w:r w:rsidRPr="0049325D">
        <w:rPr>
          <w:rFonts w:ascii="Century" w:eastAsia="ＭＳ 明朝" w:hAnsi="Century" w:cs="Times New Roman" w:hint="eastAsia"/>
          <w:sz w:val="20"/>
          <w:szCs w:val="20"/>
        </w:rPr>
        <w:t>％減</w:t>
      </w:r>
      <w:r w:rsidRPr="0049325D">
        <w:rPr>
          <w:rFonts w:ascii="Century" w:eastAsia="ＭＳ 明朝" w:hAnsi="Century" w:cs="Times New Roman" w:hint="eastAsia"/>
          <w:sz w:val="20"/>
          <w:szCs w:val="20"/>
        </w:rPr>
        <w:t>)</w:t>
      </w:r>
      <w:r w:rsidRPr="0049325D">
        <w:rPr>
          <w:rFonts w:ascii="Century" w:eastAsia="ＭＳ 明朝" w:hAnsi="Century" w:cs="Times New Roman" w:hint="eastAsia"/>
          <w:sz w:val="20"/>
          <w:szCs w:val="20"/>
        </w:rPr>
        <w:t>となった。</w:t>
      </w:r>
    </w:p>
    <w:p w:rsidR="00665020" w:rsidRPr="00977497" w:rsidRDefault="00851B76" w:rsidP="00977497">
      <w:pPr>
        <w:jc w:val="left"/>
        <w:rPr>
          <w:sz w:val="20"/>
          <w:szCs w:val="20"/>
        </w:rPr>
      </w:pPr>
      <w:r w:rsidRPr="00977497">
        <w:rPr>
          <w:rFonts w:ascii="Century" w:eastAsia="ＭＳ 明朝" w:hAnsi="Century" w:cs="Times New Roman" w:hint="eastAsia"/>
          <w:sz w:val="20"/>
          <w:szCs w:val="20"/>
        </w:rPr>
        <w:t>●</w:t>
      </w:r>
      <w:r w:rsidR="0093730F" w:rsidRPr="00977497">
        <w:rPr>
          <w:rFonts w:ascii="Century" w:eastAsia="ＭＳ 明朝" w:hAnsi="Century" w:cs="Times New Roman" w:hint="eastAsia"/>
          <w:sz w:val="20"/>
          <w:szCs w:val="20"/>
        </w:rPr>
        <w:t>9</w:t>
      </w:r>
      <w:r w:rsidR="0093730F" w:rsidRPr="00977497">
        <w:rPr>
          <w:rFonts w:ascii="Century" w:eastAsia="ＭＳ 明朝" w:hAnsi="Century" w:cs="Times New Roman" w:hint="eastAsia"/>
          <w:sz w:val="20"/>
          <w:szCs w:val="20"/>
        </w:rPr>
        <w:t>・</w:t>
      </w:r>
      <w:r w:rsidR="0093730F" w:rsidRPr="00977497">
        <w:rPr>
          <w:rFonts w:ascii="Century" w:eastAsia="ＭＳ 明朝" w:hAnsi="Century" w:cs="Times New Roman" w:hint="eastAsia"/>
          <w:sz w:val="20"/>
          <w:szCs w:val="20"/>
        </w:rPr>
        <w:t>10</w:t>
      </w:r>
      <w:r w:rsidR="0093730F" w:rsidRPr="00977497">
        <w:rPr>
          <w:rFonts w:ascii="Century" w:eastAsia="ＭＳ 明朝" w:hAnsi="Century" w:cs="Times New Roman" w:hint="eastAsia"/>
          <w:sz w:val="20"/>
          <w:szCs w:val="20"/>
        </w:rPr>
        <w:t>月は輸出入</w:t>
      </w:r>
      <w:r w:rsidRPr="00977497">
        <w:rPr>
          <w:rFonts w:ascii="Century" w:eastAsia="ＭＳ 明朝" w:hAnsi="Century" w:cs="Times New Roman" w:hint="eastAsia"/>
          <w:sz w:val="20"/>
          <w:szCs w:val="20"/>
        </w:rPr>
        <w:t>額</w:t>
      </w:r>
      <w:r w:rsidR="0093730F" w:rsidRPr="00977497">
        <w:rPr>
          <w:rFonts w:ascii="Century" w:eastAsia="ＭＳ 明朝" w:hAnsi="Century" w:cs="Times New Roman" w:hint="eastAsia"/>
          <w:sz w:val="20"/>
          <w:szCs w:val="20"/>
        </w:rPr>
        <w:t>双方で前年同月</w:t>
      </w:r>
      <w:r w:rsidR="00D41817">
        <w:rPr>
          <w:rFonts w:ascii="Century" w:eastAsia="ＭＳ 明朝" w:hAnsi="Century" w:cs="Times New Roman" w:hint="eastAsia"/>
          <w:sz w:val="20"/>
          <w:szCs w:val="20"/>
        </w:rPr>
        <w:t>の値を</w:t>
      </w:r>
      <w:r w:rsidR="0093730F" w:rsidRPr="00977497">
        <w:rPr>
          <w:rFonts w:ascii="Century" w:eastAsia="ＭＳ 明朝" w:hAnsi="Century" w:cs="Times New Roman" w:hint="eastAsia"/>
          <w:sz w:val="20"/>
          <w:szCs w:val="20"/>
        </w:rPr>
        <w:t>下回</w:t>
      </w:r>
      <w:r w:rsidR="00D41817">
        <w:rPr>
          <w:rFonts w:ascii="Century" w:eastAsia="ＭＳ 明朝" w:hAnsi="Century" w:cs="Times New Roman" w:hint="eastAsia"/>
          <w:sz w:val="20"/>
          <w:szCs w:val="20"/>
        </w:rPr>
        <w:t>り</w:t>
      </w:r>
      <w:r w:rsidR="0093730F" w:rsidRPr="00977497">
        <w:rPr>
          <w:rFonts w:ascii="Century" w:eastAsia="ＭＳ 明朝" w:hAnsi="Century" w:cs="Times New Roman" w:hint="eastAsia"/>
          <w:sz w:val="20"/>
          <w:szCs w:val="20"/>
        </w:rPr>
        <w:t>、特に</w:t>
      </w:r>
      <w:r w:rsidR="0093730F" w:rsidRPr="00977497">
        <w:rPr>
          <w:rFonts w:ascii="Century" w:eastAsia="ＭＳ 明朝" w:hAnsi="Century" w:cs="Times New Roman" w:hint="eastAsia"/>
          <w:sz w:val="20"/>
          <w:szCs w:val="20"/>
        </w:rPr>
        <w:t>10</w:t>
      </w:r>
      <w:r w:rsidR="0093730F" w:rsidRPr="00977497">
        <w:rPr>
          <w:rFonts w:ascii="Century" w:eastAsia="ＭＳ 明朝" w:hAnsi="Century" w:cs="Times New Roman" w:hint="eastAsia"/>
          <w:sz w:val="20"/>
          <w:szCs w:val="20"/>
        </w:rPr>
        <w:t>月の輸入額は前年から</w:t>
      </w:r>
      <w:r w:rsidR="0093730F" w:rsidRPr="00977497">
        <w:rPr>
          <w:rFonts w:ascii="Century" w:eastAsia="ＭＳ 明朝" w:hAnsi="Century" w:cs="Times New Roman" w:hint="eastAsia"/>
          <w:sz w:val="20"/>
          <w:szCs w:val="20"/>
        </w:rPr>
        <w:t>200</w:t>
      </w:r>
      <w:r w:rsidR="0093730F" w:rsidRPr="00977497">
        <w:rPr>
          <w:rFonts w:ascii="Century" w:eastAsia="ＭＳ 明朝" w:hAnsi="Century" w:cs="Times New Roman" w:hint="eastAsia"/>
          <w:sz w:val="20"/>
          <w:szCs w:val="20"/>
        </w:rPr>
        <w:t>百万ドル以上</w:t>
      </w:r>
      <w:r w:rsidR="00D41817">
        <w:rPr>
          <w:rFonts w:ascii="Century" w:eastAsia="ＭＳ 明朝" w:hAnsi="Century" w:cs="Times New Roman" w:hint="eastAsia"/>
          <w:sz w:val="20"/>
          <w:szCs w:val="20"/>
        </w:rPr>
        <w:t>減少し</w:t>
      </w:r>
      <w:r w:rsidR="0093730F" w:rsidRPr="00977497">
        <w:rPr>
          <w:rFonts w:ascii="Century" w:eastAsia="ＭＳ 明朝" w:hAnsi="Century" w:cs="Times New Roman" w:hint="eastAsia"/>
          <w:sz w:val="20"/>
          <w:szCs w:val="20"/>
        </w:rPr>
        <w:t>、国内経済低迷に伴う輸入品需要</w:t>
      </w:r>
      <w:r w:rsidRPr="00977497">
        <w:rPr>
          <w:rFonts w:ascii="Century" w:eastAsia="ＭＳ 明朝" w:hAnsi="Century" w:cs="Times New Roman" w:hint="eastAsia"/>
          <w:sz w:val="20"/>
          <w:szCs w:val="20"/>
        </w:rPr>
        <w:t>の</w:t>
      </w:r>
      <w:r w:rsidR="0093730F" w:rsidRPr="00977497">
        <w:rPr>
          <w:rFonts w:ascii="Century" w:eastAsia="ＭＳ 明朝" w:hAnsi="Century" w:cs="Times New Roman" w:hint="eastAsia"/>
          <w:sz w:val="20"/>
          <w:szCs w:val="20"/>
        </w:rPr>
        <w:t>縮小が進展していることが</w:t>
      </w:r>
      <w:r w:rsidR="004B0667">
        <w:rPr>
          <w:rFonts w:ascii="Century" w:eastAsia="ＭＳ 明朝" w:hAnsi="Century" w:cs="Times New Roman" w:hint="eastAsia"/>
          <w:sz w:val="20"/>
          <w:szCs w:val="20"/>
        </w:rPr>
        <w:t>窺える</w:t>
      </w:r>
      <w:r w:rsidRPr="00977497">
        <w:rPr>
          <w:rFonts w:ascii="Century" w:eastAsia="ＭＳ 明朝" w:hAnsi="Century" w:cs="Times New Roman" w:hint="eastAsia"/>
          <w:sz w:val="20"/>
          <w:szCs w:val="20"/>
        </w:rPr>
        <w:t>。</w:t>
      </w:r>
      <w:r w:rsidR="0093730F" w:rsidRPr="00977497">
        <w:rPr>
          <w:rFonts w:ascii="Century" w:eastAsia="ＭＳ 明朝" w:hAnsi="Century" w:cs="Times New Roman" w:hint="eastAsia"/>
          <w:sz w:val="20"/>
          <w:szCs w:val="20"/>
        </w:rPr>
        <w:t>インテル社の</w:t>
      </w:r>
      <w:r w:rsidR="00D41817">
        <w:rPr>
          <w:rFonts w:ascii="Century" w:eastAsia="ＭＳ 明朝" w:hAnsi="Century" w:cs="Times New Roman" w:hint="eastAsia"/>
          <w:sz w:val="20"/>
          <w:szCs w:val="20"/>
        </w:rPr>
        <w:t>電子部品</w:t>
      </w:r>
      <w:r w:rsidRPr="00977497">
        <w:rPr>
          <w:rFonts w:ascii="Century" w:eastAsia="ＭＳ 明朝" w:hAnsi="Century" w:cs="Times New Roman" w:hint="eastAsia"/>
          <w:sz w:val="20"/>
          <w:szCs w:val="20"/>
        </w:rPr>
        <w:t>輸出額</w:t>
      </w:r>
      <w:r w:rsidR="0093730F" w:rsidRPr="00977497">
        <w:rPr>
          <w:rFonts w:ascii="Century" w:eastAsia="ＭＳ 明朝" w:hAnsi="Century" w:cs="Times New Roman" w:hint="eastAsia"/>
          <w:sz w:val="20"/>
          <w:szCs w:val="20"/>
        </w:rPr>
        <w:t>が減少する中、輸出額は輸入額よりも顕著な減少を見せていないことから、生命科学関連商品や農産品の輸出額の上昇が</w:t>
      </w:r>
      <w:r w:rsidR="00D41817">
        <w:rPr>
          <w:rFonts w:ascii="Century" w:eastAsia="ＭＳ 明朝" w:hAnsi="Century" w:cs="Times New Roman" w:hint="eastAsia"/>
          <w:sz w:val="20"/>
          <w:szCs w:val="20"/>
        </w:rPr>
        <w:t>インテル社の</w:t>
      </w:r>
      <w:r w:rsidR="003E6F21">
        <w:rPr>
          <w:rFonts w:ascii="Century" w:eastAsia="ＭＳ 明朝" w:hAnsi="Century" w:cs="Times New Roman" w:hint="eastAsia"/>
          <w:sz w:val="20"/>
          <w:szCs w:val="20"/>
        </w:rPr>
        <w:t>製造部門</w:t>
      </w:r>
      <w:r w:rsidR="00977497" w:rsidRPr="00977497">
        <w:rPr>
          <w:rFonts w:ascii="Century" w:eastAsia="ＭＳ 明朝" w:hAnsi="Century" w:cs="Times New Roman" w:hint="eastAsia"/>
          <w:sz w:val="20"/>
          <w:szCs w:val="20"/>
        </w:rPr>
        <w:t>撤退の影響を一定程度</w:t>
      </w:r>
      <w:r w:rsidR="00D41817">
        <w:rPr>
          <w:rFonts w:ascii="Century" w:eastAsia="ＭＳ 明朝" w:hAnsi="Century" w:cs="Times New Roman" w:hint="eastAsia"/>
          <w:sz w:val="20"/>
          <w:szCs w:val="20"/>
        </w:rPr>
        <w:t>補完</w:t>
      </w:r>
      <w:r w:rsidR="003E6F21">
        <w:rPr>
          <w:rStyle w:val="a5"/>
          <w:rFonts w:ascii="Century" w:eastAsia="ＭＳ 明朝" w:hAnsi="Century" w:cs="Times New Roman"/>
          <w:sz w:val="20"/>
          <w:szCs w:val="20"/>
        </w:rPr>
        <w:footnoteReference w:id="2"/>
      </w:r>
      <w:r w:rsidR="00977497" w:rsidRPr="00977497">
        <w:rPr>
          <w:rFonts w:ascii="Century" w:eastAsia="ＭＳ 明朝" w:hAnsi="Century" w:cs="Times New Roman" w:hint="eastAsia"/>
          <w:sz w:val="20"/>
          <w:szCs w:val="20"/>
        </w:rPr>
        <w:t>していることが</w:t>
      </w:r>
      <w:r w:rsidR="004B0667">
        <w:rPr>
          <w:rFonts w:ascii="Century" w:eastAsia="ＭＳ 明朝" w:hAnsi="Century" w:cs="Times New Roman" w:hint="eastAsia"/>
          <w:sz w:val="20"/>
          <w:szCs w:val="20"/>
        </w:rPr>
        <w:t>窺える</w:t>
      </w:r>
      <w:r w:rsidR="00977497" w:rsidRPr="00977497">
        <w:rPr>
          <w:rFonts w:ascii="Century" w:eastAsia="ＭＳ 明朝" w:hAnsi="Century" w:cs="Times New Roman" w:hint="eastAsia"/>
          <w:sz w:val="20"/>
          <w:szCs w:val="20"/>
        </w:rPr>
        <w:t>。</w:t>
      </w:r>
    </w:p>
    <w:p w:rsidR="00665020" w:rsidRDefault="00E7387C" w:rsidP="00A84869">
      <w:pPr>
        <w:rPr>
          <w:sz w:val="20"/>
          <w:szCs w:val="20"/>
        </w:rPr>
      </w:pPr>
      <w:r>
        <w:rPr>
          <w:rFonts w:hint="eastAsia"/>
          <w:sz w:val="20"/>
          <w:szCs w:val="20"/>
        </w:rPr>
        <w:t>●貿易推移</w:t>
      </w:r>
      <w:r>
        <w:rPr>
          <w:rFonts w:hint="eastAsia"/>
          <w:sz w:val="20"/>
          <w:szCs w:val="20"/>
        </w:rPr>
        <w:t>(</w:t>
      </w:r>
      <w:r>
        <w:rPr>
          <w:rFonts w:hint="eastAsia"/>
          <w:sz w:val="20"/>
          <w:szCs w:val="20"/>
        </w:rPr>
        <w:t>表</w:t>
      </w:r>
      <w:r>
        <w:rPr>
          <w:rFonts w:hint="eastAsia"/>
          <w:sz w:val="20"/>
          <w:szCs w:val="20"/>
        </w:rPr>
        <w:t>3)</w:t>
      </w:r>
      <w:r>
        <w:rPr>
          <w:rFonts w:hint="eastAsia"/>
          <w:sz w:val="20"/>
          <w:szCs w:val="20"/>
        </w:rPr>
        <w:t>から</w:t>
      </w:r>
      <w:r w:rsidR="00D41817">
        <w:rPr>
          <w:rFonts w:hint="eastAsia"/>
          <w:sz w:val="20"/>
          <w:szCs w:val="20"/>
        </w:rPr>
        <w:t>も</w:t>
      </w:r>
      <w:r w:rsidR="003E6F21">
        <w:rPr>
          <w:rFonts w:hint="eastAsia"/>
          <w:sz w:val="20"/>
          <w:szCs w:val="20"/>
        </w:rPr>
        <w:t>、</w:t>
      </w:r>
      <w:r w:rsidR="003E6F21" w:rsidRPr="003E6F21">
        <w:rPr>
          <w:rFonts w:hint="eastAsia"/>
          <w:sz w:val="20"/>
          <w:szCs w:val="20"/>
        </w:rPr>
        <w:t>輸入額と比較した際の輸出額の低下の割合が小さいこと</w:t>
      </w:r>
      <w:r>
        <w:rPr>
          <w:rFonts w:hint="eastAsia"/>
          <w:sz w:val="20"/>
          <w:szCs w:val="20"/>
        </w:rPr>
        <w:t>が</w:t>
      </w:r>
      <w:r w:rsidR="003E6F21">
        <w:rPr>
          <w:rFonts w:hint="eastAsia"/>
          <w:sz w:val="20"/>
          <w:szCs w:val="20"/>
        </w:rPr>
        <w:t>わか</w:t>
      </w:r>
      <w:r>
        <w:rPr>
          <w:rFonts w:hint="eastAsia"/>
          <w:sz w:val="20"/>
          <w:szCs w:val="20"/>
        </w:rPr>
        <w:t>る。</w:t>
      </w:r>
    </w:p>
    <w:p w:rsidR="00665020" w:rsidRDefault="0093730F" w:rsidP="00A84869">
      <w:pPr>
        <w:rPr>
          <w:sz w:val="20"/>
          <w:szCs w:val="20"/>
        </w:rPr>
      </w:pPr>
      <w:r w:rsidRPr="00665020">
        <w:rPr>
          <w:noProof/>
          <w:sz w:val="20"/>
          <w:szCs w:val="20"/>
        </w:rPr>
        <w:drawing>
          <wp:inline distT="0" distB="0" distL="0" distR="0" wp14:anchorId="64D16349" wp14:editId="4FDACBC6">
            <wp:extent cx="5400675" cy="3905250"/>
            <wp:effectExtent l="0" t="0" r="9525" b="1905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65020" w:rsidRDefault="003C0E4B" w:rsidP="00A84869">
      <w:pPr>
        <w:rPr>
          <w:sz w:val="20"/>
          <w:szCs w:val="20"/>
        </w:rPr>
      </w:pPr>
      <w:r>
        <w:rPr>
          <w:noProof/>
          <w:sz w:val="20"/>
          <w:szCs w:val="20"/>
        </w:rPr>
        <w:lastRenderedPageBreak/>
        <w:drawing>
          <wp:anchor distT="0" distB="0" distL="114300" distR="114300" simplePos="0" relativeHeight="251658240" behindDoc="0" locked="0" layoutInCell="1" allowOverlap="1" wp14:anchorId="17C8461F" wp14:editId="7936C8E8">
            <wp:simplePos x="0" y="0"/>
            <wp:positionH relativeFrom="margin">
              <wp:align>right</wp:align>
            </wp:positionH>
            <wp:positionV relativeFrom="margin">
              <wp:align>top</wp:align>
            </wp:positionV>
            <wp:extent cx="2486025" cy="3124200"/>
            <wp:effectExtent l="0" t="0" r="0" b="0"/>
            <wp:wrapSquare wrapText="bothSides"/>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59264" behindDoc="0" locked="0" layoutInCell="1" allowOverlap="1" wp14:anchorId="45C66E95" wp14:editId="688D1F2C">
            <wp:simplePos x="0" y="0"/>
            <wp:positionH relativeFrom="margin">
              <wp:align>left</wp:align>
            </wp:positionH>
            <wp:positionV relativeFrom="margin">
              <wp:align>top</wp:align>
            </wp:positionV>
            <wp:extent cx="2457450" cy="3124200"/>
            <wp:effectExtent l="0" t="0" r="0" b="0"/>
            <wp:wrapSquare wrapText="bothSides"/>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FF0F71" w:rsidRDefault="00FF0F71" w:rsidP="00A84869">
      <w:pPr>
        <w:rPr>
          <w:sz w:val="20"/>
          <w:szCs w:val="20"/>
        </w:rPr>
      </w:pPr>
    </w:p>
    <w:p w:rsidR="00FF0F71" w:rsidRDefault="00FF0F71" w:rsidP="00A84869">
      <w:pPr>
        <w:rPr>
          <w:sz w:val="20"/>
          <w:szCs w:val="20"/>
        </w:rPr>
      </w:pPr>
    </w:p>
    <w:p w:rsidR="00FF0F71" w:rsidRDefault="00FF0F71" w:rsidP="00A84869">
      <w:pPr>
        <w:rPr>
          <w:sz w:val="20"/>
          <w:szCs w:val="20"/>
        </w:rPr>
      </w:pPr>
    </w:p>
    <w:p w:rsidR="00FF0F71" w:rsidRDefault="00FF0F71" w:rsidP="00A84869">
      <w:pPr>
        <w:rPr>
          <w:sz w:val="20"/>
          <w:szCs w:val="20"/>
        </w:rPr>
      </w:pPr>
    </w:p>
    <w:p w:rsidR="00FF0F71" w:rsidRDefault="00FF0F71" w:rsidP="00A84869">
      <w:pPr>
        <w:rPr>
          <w:sz w:val="20"/>
          <w:szCs w:val="20"/>
        </w:rPr>
      </w:pPr>
    </w:p>
    <w:p w:rsidR="00FF0F71" w:rsidRDefault="00FF0F71" w:rsidP="00A84869">
      <w:pPr>
        <w:rPr>
          <w:sz w:val="20"/>
          <w:szCs w:val="20"/>
        </w:rPr>
      </w:pPr>
    </w:p>
    <w:p w:rsidR="00FF0F71" w:rsidRDefault="00FF0F71" w:rsidP="00A84869">
      <w:pPr>
        <w:rPr>
          <w:sz w:val="20"/>
          <w:szCs w:val="20"/>
        </w:rPr>
      </w:pPr>
    </w:p>
    <w:p w:rsidR="00FF0F71" w:rsidRDefault="00FF0F71" w:rsidP="00A84869">
      <w:pPr>
        <w:rPr>
          <w:sz w:val="20"/>
          <w:szCs w:val="20"/>
        </w:rPr>
      </w:pPr>
    </w:p>
    <w:p w:rsidR="00FF0F71" w:rsidRDefault="00FF0F71" w:rsidP="00A84869">
      <w:pPr>
        <w:rPr>
          <w:sz w:val="20"/>
          <w:szCs w:val="20"/>
        </w:rPr>
      </w:pPr>
    </w:p>
    <w:p w:rsidR="00FF0F71" w:rsidRDefault="00FF0F71" w:rsidP="00A84869">
      <w:pPr>
        <w:rPr>
          <w:sz w:val="20"/>
          <w:szCs w:val="20"/>
        </w:rPr>
      </w:pPr>
    </w:p>
    <w:p w:rsidR="00FF0F71" w:rsidRDefault="00FF0F71" w:rsidP="00A84869">
      <w:pPr>
        <w:rPr>
          <w:sz w:val="20"/>
          <w:szCs w:val="20"/>
        </w:rPr>
      </w:pPr>
    </w:p>
    <w:p w:rsidR="00FF0F71" w:rsidRDefault="00FF0F71" w:rsidP="00A84869">
      <w:pPr>
        <w:rPr>
          <w:sz w:val="20"/>
          <w:szCs w:val="20"/>
        </w:rPr>
      </w:pPr>
    </w:p>
    <w:p w:rsidR="00665020" w:rsidRDefault="00665020" w:rsidP="00A84869">
      <w:pPr>
        <w:rPr>
          <w:sz w:val="20"/>
          <w:szCs w:val="20"/>
        </w:rPr>
      </w:pPr>
    </w:p>
    <w:p w:rsidR="009F52B1" w:rsidRDefault="009F52B1" w:rsidP="00A84869">
      <w:pPr>
        <w:rPr>
          <w:sz w:val="20"/>
          <w:szCs w:val="20"/>
        </w:rPr>
      </w:pPr>
    </w:p>
    <w:p w:rsidR="009F52B1" w:rsidRDefault="009F52B1" w:rsidP="00A84869">
      <w:pPr>
        <w:rPr>
          <w:sz w:val="20"/>
          <w:szCs w:val="20"/>
        </w:rPr>
      </w:pPr>
    </w:p>
    <w:p w:rsidR="009F52B1" w:rsidRDefault="009F52B1" w:rsidP="00A84869">
      <w:pPr>
        <w:rPr>
          <w:sz w:val="20"/>
          <w:szCs w:val="20"/>
        </w:rPr>
      </w:pPr>
    </w:p>
    <w:p w:rsidR="00E7387C" w:rsidRDefault="00E7387C" w:rsidP="00A84869">
      <w:pPr>
        <w:rPr>
          <w:sz w:val="20"/>
          <w:szCs w:val="20"/>
        </w:rPr>
      </w:pPr>
    </w:p>
    <w:p w:rsidR="00E7387C" w:rsidRDefault="00E7387C" w:rsidP="00A84869">
      <w:pPr>
        <w:rPr>
          <w:sz w:val="20"/>
          <w:szCs w:val="20"/>
        </w:rPr>
      </w:pPr>
    </w:p>
    <w:p w:rsidR="00E7387C" w:rsidRDefault="00E7387C" w:rsidP="00A84869">
      <w:pPr>
        <w:rPr>
          <w:sz w:val="20"/>
          <w:szCs w:val="20"/>
        </w:rPr>
      </w:pPr>
      <w:r w:rsidRPr="001C6015">
        <w:rPr>
          <w:noProof/>
          <w:sz w:val="20"/>
          <w:szCs w:val="20"/>
        </w:rPr>
        <w:drawing>
          <wp:anchor distT="0" distB="0" distL="114300" distR="114300" simplePos="0" relativeHeight="251661312" behindDoc="0" locked="0" layoutInCell="1" allowOverlap="1" wp14:anchorId="08F1BB0C" wp14:editId="3CA16997">
            <wp:simplePos x="0" y="0"/>
            <wp:positionH relativeFrom="margin">
              <wp:posOffset>532765</wp:posOffset>
            </wp:positionH>
            <wp:positionV relativeFrom="margin">
              <wp:posOffset>3798570</wp:posOffset>
            </wp:positionV>
            <wp:extent cx="4848225" cy="3333750"/>
            <wp:effectExtent l="0" t="0" r="0" b="0"/>
            <wp:wrapSquare wrapText="bothSides"/>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E7387C" w:rsidRDefault="00E7387C" w:rsidP="00A84869">
      <w:pPr>
        <w:rPr>
          <w:sz w:val="20"/>
          <w:szCs w:val="20"/>
        </w:rPr>
      </w:pPr>
    </w:p>
    <w:p w:rsidR="009F52B1" w:rsidRDefault="009F52B1" w:rsidP="00A84869">
      <w:pPr>
        <w:rPr>
          <w:sz w:val="20"/>
          <w:szCs w:val="20"/>
        </w:rPr>
      </w:pPr>
    </w:p>
    <w:p w:rsidR="009F52B1" w:rsidRDefault="009F52B1" w:rsidP="00A84869">
      <w:pPr>
        <w:rPr>
          <w:sz w:val="20"/>
          <w:szCs w:val="20"/>
        </w:rPr>
      </w:pPr>
    </w:p>
    <w:p w:rsidR="009F52B1" w:rsidRDefault="00E7201B" w:rsidP="00A84869">
      <w:pPr>
        <w:rPr>
          <w:sz w:val="20"/>
          <w:szCs w:val="20"/>
        </w:rPr>
      </w:pPr>
      <w:r>
        <w:rPr>
          <w:rFonts w:hint="eastAsia"/>
          <w:sz w:val="20"/>
          <w:szCs w:val="20"/>
        </w:rPr>
        <w:lastRenderedPageBreak/>
        <w:t>３</w:t>
      </w:r>
      <w:r w:rsidR="003B3D2B">
        <w:rPr>
          <w:rFonts w:hint="eastAsia"/>
          <w:sz w:val="20"/>
          <w:szCs w:val="20"/>
        </w:rPr>
        <w:t xml:space="preserve">　財政収支</w:t>
      </w:r>
    </w:p>
    <w:p w:rsidR="00F23E8E" w:rsidRPr="00D32F46" w:rsidRDefault="0092328B" w:rsidP="00F23E8E">
      <w:pPr>
        <w:rPr>
          <w:sz w:val="20"/>
          <w:szCs w:val="20"/>
        </w:rPr>
      </w:pPr>
      <w:r w:rsidRPr="00D32F46">
        <w:rPr>
          <w:rFonts w:hint="eastAsia"/>
          <w:sz w:val="20"/>
          <w:szCs w:val="20"/>
        </w:rPr>
        <w:t>●</w:t>
      </w:r>
      <w:r w:rsidR="004B4F0A" w:rsidRPr="00D32F46">
        <w:rPr>
          <w:rFonts w:hint="eastAsia"/>
          <w:sz w:val="20"/>
          <w:szCs w:val="20"/>
        </w:rPr>
        <w:t>9</w:t>
      </w:r>
      <w:r w:rsidR="00F23E8E" w:rsidRPr="00D32F46">
        <w:rPr>
          <w:rFonts w:hint="eastAsia"/>
          <w:sz w:val="20"/>
          <w:szCs w:val="20"/>
        </w:rPr>
        <w:t>月までの財政収支</w:t>
      </w:r>
      <w:r w:rsidR="00F23E8E" w:rsidRPr="00D32F46">
        <w:rPr>
          <w:rFonts w:hint="eastAsia"/>
          <w:sz w:val="20"/>
          <w:szCs w:val="20"/>
        </w:rPr>
        <w:t>(</w:t>
      </w:r>
      <w:r w:rsidR="00F23E8E" w:rsidRPr="00D32F46">
        <w:rPr>
          <w:rFonts w:hint="eastAsia"/>
          <w:sz w:val="20"/>
          <w:szCs w:val="20"/>
        </w:rPr>
        <w:t>表</w:t>
      </w:r>
      <w:r w:rsidR="00F23E8E" w:rsidRPr="00D32F46">
        <w:rPr>
          <w:rFonts w:hint="eastAsia"/>
          <w:sz w:val="20"/>
          <w:szCs w:val="20"/>
        </w:rPr>
        <w:t>6)</w:t>
      </w:r>
      <w:r w:rsidR="00143BD5" w:rsidRPr="00D32F46">
        <w:rPr>
          <w:rFonts w:hint="eastAsia"/>
          <w:sz w:val="20"/>
          <w:szCs w:val="20"/>
        </w:rPr>
        <w:t>は、</w:t>
      </w:r>
      <w:r w:rsidR="00F23E8E" w:rsidRPr="00D32F46">
        <w:rPr>
          <w:rFonts w:hint="eastAsia"/>
          <w:sz w:val="20"/>
          <w:szCs w:val="20"/>
        </w:rPr>
        <w:t>前年比で歳入が約</w:t>
      </w:r>
      <w:r w:rsidR="00605EC3" w:rsidRPr="00D32F46">
        <w:rPr>
          <w:rFonts w:hint="eastAsia"/>
          <w:sz w:val="20"/>
          <w:szCs w:val="20"/>
        </w:rPr>
        <w:t>8.2</w:t>
      </w:r>
      <w:r w:rsidR="00F23E8E" w:rsidRPr="00D32F46">
        <w:rPr>
          <w:rFonts w:hint="eastAsia"/>
          <w:sz w:val="20"/>
          <w:szCs w:val="20"/>
        </w:rPr>
        <w:t>％増の約</w:t>
      </w:r>
      <w:r w:rsidR="00F23E8E" w:rsidRPr="00D32F46">
        <w:rPr>
          <w:rFonts w:hint="eastAsia"/>
          <w:sz w:val="20"/>
          <w:szCs w:val="20"/>
        </w:rPr>
        <w:t>2</w:t>
      </w:r>
      <w:r w:rsidR="00F23E8E" w:rsidRPr="00D32F46">
        <w:rPr>
          <w:rFonts w:hint="eastAsia"/>
          <w:sz w:val="20"/>
          <w:szCs w:val="20"/>
        </w:rPr>
        <w:t>兆</w:t>
      </w:r>
      <w:r w:rsidR="00605EC3" w:rsidRPr="00D32F46">
        <w:rPr>
          <w:rFonts w:hint="eastAsia"/>
          <w:sz w:val="20"/>
          <w:szCs w:val="20"/>
        </w:rPr>
        <w:t>6978</w:t>
      </w:r>
      <w:r w:rsidR="00F23E8E" w:rsidRPr="00D32F46">
        <w:rPr>
          <w:rFonts w:hint="eastAsia"/>
          <w:sz w:val="20"/>
          <w:szCs w:val="20"/>
        </w:rPr>
        <w:t>億コロン、歳出が約</w:t>
      </w:r>
      <w:r w:rsidR="00605EC3" w:rsidRPr="00D32F46">
        <w:rPr>
          <w:rFonts w:hint="eastAsia"/>
          <w:sz w:val="20"/>
          <w:szCs w:val="20"/>
        </w:rPr>
        <w:t>10</w:t>
      </w:r>
      <w:r w:rsidR="00F23E8E" w:rsidRPr="00D32F46">
        <w:rPr>
          <w:rFonts w:hint="eastAsia"/>
          <w:sz w:val="20"/>
          <w:szCs w:val="20"/>
        </w:rPr>
        <w:t>％増の約</w:t>
      </w:r>
      <w:r w:rsidR="00605EC3" w:rsidRPr="00D32F46">
        <w:rPr>
          <w:rFonts w:hint="eastAsia"/>
          <w:sz w:val="20"/>
          <w:szCs w:val="20"/>
        </w:rPr>
        <w:t>3</w:t>
      </w:r>
      <w:r w:rsidR="00F23E8E" w:rsidRPr="00D32F46">
        <w:rPr>
          <w:rFonts w:hint="eastAsia"/>
          <w:sz w:val="20"/>
          <w:szCs w:val="20"/>
        </w:rPr>
        <w:t>兆</w:t>
      </w:r>
      <w:r w:rsidR="00605EC3" w:rsidRPr="00D32F46">
        <w:rPr>
          <w:rFonts w:hint="eastAsia"/>
          <w:sz w:val="20"/>
          <w:szCs w:val="20"/>
        </w:rPr>
        <w:t>7</w:t>
      </w:r>
      <w:r w:rsidR="00F23E8E" w:rsidRPr="00D32F46">
        <w:rPr>
          <w:rFonts w:hint="eastAsia"/>
          <w:sz w:val="20"/>
          <w:szCs w:val="20"/>
        </w:rPr>
        <w:t>,</w:t>
      </w:r>
      <w:r w:rsidR="00605EC3" w:rsidRPr="00D32F46">
        <w:rPr>
          <w:rFonts w:hint="eastAsia"/>
          <w:sz w:val="20"/>
          <w:szCs w:val="20"/>
        </w:rPr>
        <w:t>703</w:t>
      </w:r>
      <w:r w:rsidR="00F23E8E" w:rsidRPr="00D32F46">
        <w:rPr>
          <w:rFonts w:hint="eastAsia"/>
          <w:sz w:val="20"/>
          <w:szCs w:val="20"/>
        </w:rPr>
        <w:t>億コロンとなり、財政赤字額は約</w:t>
      </w:r>
      <w:r w:rsidR="00F23E8E" w:rsidRPr="00D32F46">
        <w:rPr>
          <w:rFonts w:hint="eastAsia"/>
          <w:sz w:val="20"/>
          <w:szCs w:val="20"/>
        </w:rPr>
        <w:t>16</w:t>
      </w:r>
      <w:r w:rsidR="00F23E8E" w:rsidRPr="00D32F46">
        <w:rPr>
          <w:rFonts w:hint="eastAsia"/>
          <w:sz w:val="20"/>
          <w:szCs w:val="20"/>
        </w:rPr>
        <w:t>％増の約</w:t>
      </w:r>
      <w:r w:rsidR="00F23E8E" w:rsidRPr="00D32F46">
        <w:rPr>
          <w:rFonts w:hint="eastAsia"/>
          <w:sz w:val="20"/>
          <w:szCs w:val="20"/>
        </w:rPr>
        <w:t>8,550</w:t>
      </w:r>
      <w:r w:rsidR="00F23E8E" w:rsidRPr="00D32F46">
        <w:rPr>
          <w:rFonts w:hint="eastAsia"/>
          <w:sz w:val="20"/>
          <w:szCs w:val="20"/>
        </w:rPr>
        <w:t>億コロンとなった。財政赤字の対</w:t>
      </w:r>
      <w:r w:rsidR="00F23E8E" w:rsidRPr="00D32F46">
        <w:rPr>
          <w:rFonts w:hint="eastAsia"/>
          <w:sz w:val="20"/>
          <w:szCs w:val="20"/>
        </w:rPr>
        <w:t>GDP</w:t>
      </w:r>
      <w:r w:rsidR="00F23E8E" w:rsidRPr="00D32F46">
        <w:rPr>
          <w:rFonts w:hint="eastAsia"/>
          <w:sz w:val="20"/>
          <w:szCs w:val="20"/>
        </w:rPr>
        <w:t>比は前年から</w:t>
      </w:r>
      <w:r w:rsidR="00F23E8E" w:rsidRPr="00D32F46">
        <w:rPr>
          <w:rFonts w:hint="eastAsia"/>
          <w:sz w:val="20"/>
          <w:szCs w:val="20"/>
        </w:rPr>
        <w:t>0.</w:t>
      </w:r>
      <w:r w:rsidR="00225362" w:rsidRPr="00D32F46">
        <w:rPr>
          <w:rFonts w:hint="eastAsia"/>
          <w:sz w:val="20"/>
          <w:szCs w:val="20"/>
        </w:rPr>
        <w:t>5</w:t>
      </w:r>
      <w:r w:rsidR="00F23E8E" w:rsidRPr="00D32F46">
        <w:rPr>
          <w:rFonts w:hint="eastAsia"/>
          <w:sz w:val="20"/>
          <w:szCs w:val="20"/>
        </w:rPr>
        <w:t>ポイント増の</w:t>
      </w:r>
      <w:r w:rsidR="00225362" w:rsidRPr="00D32F46">
        <w:rPr>
          <w:rFonts w:hint="eastAsia"/>
          <w:sz w:val="20"/>
          <w:szCs w:val="20"/>
        </w:rPr>
        <w:t>4.3</w:t>
      </w:r>
      <w:r w:rsidR="00F23E8E" w:rsidRPr="00D32F46">
        <w:rPr>
          <w:rFonts w:hint="eastAsia"/>
          <w:sz w:val="20"/>
          <w:szCs w:val="20"/>
        </w:rPr>
        <w:t>％となっている。</w:t>
      </w:r>
    </w:p>
    <w:p w:rsidR="00F23E8E" w:rsidRPr="00D32F46" w:rsidRDefault="00F23E8E" w:rsidP="00F23E8E">
      <w:pPr>
        <w:rPr>
          <w:sz w:val="20"/>
          <w:szCs w:val="20"/>
        </w:rPr>
      </w:pPr>
      <w:r w:rsidRPr="00D32F46">
        <w:rPr>
          <w:rFonts w:hint="eastAsia"/>
          <w:sz w:val="20"/>
          <w:szCs w:val="20"/>
        </w:rPr>
        <w:t>●</w:t>
      </w:r>
      <w:r w:rsidR="00143BD5" w:rsidRPr="00D32F46">
        <w:rPr>
          <w:rFonts w:hint="eastAsia"/>
          <w:sz w:val="20"/>
          <w:szCs w:val="20"/>
        </w:rPr>
        <w:t>10</w:t>
      </w:r>
      <w:r w:rsidRPr="00D32F46">
        <w:rPr>
          <w:rFonts w:hint="eastAsia"/>
          <w:sz w:val="20"/>
          <w:szCs w:val="20"/>
        </w:rPr>
        <w:t>月までの財政収支</w:t>
      </w:r>
      <w:r w:rsidRPr="00D32F46">
        <w:rPr>
          <w:rFonts w:hint="eastAsia"/>
          <w:sz w:val="20"/>
          <w:szCs w:val="20"/>
        </w:rPr>
        <w:t>(</w:t>
      </w:r>
      <w:r w:rsidRPr="00D32F46">
        <w:rPr>
          <w:rFonts w:hint="eastAsia"/>
          <w:sz w:val="20"/>
          <w:szCs w:val="20"/>
        </w:rPr>
        <w:t>表</w:t>
      </w:r>
      <w:r w:rsidRPr="00D32F46">
        <w:rPr>
          <w:rFonts w:hint="eastAsia"/>
          <w:sz w:val="20"/>
          <w:szCs w:val="20"/>
        </w:rPr>
        <w:t>7)</w:t>
      </w:r>
      <w:r w:rsidR="00143BD5" w:rsidRPr="00D32F46">
        <w:rPr>
          <w:rFonts w:hint="eastAsia"/>
          <w:sz w:val="20"/>
          <w:szCs w:val="20"/>
        </w:rPr>
        <w:t>は、</w:t>
      </w:r>
      <w:r w:rsidRPr="00D32F46">
        <w:rPr>
          <w:rFonts w:hint="eastAsia"/>
          <w:sz w:val="20"/>
          <w:szCs w:val="20"/>
        </w:rPr>
        <w:t>前年比で歳入が約</w:t>
      </w:r>
      <w:r w:rsidR="00143BD5" w:rsidRPr="00D32F46">
        <w:rPr>
          <w:rFonts w:hint="eastAsia"/>
          <w:sz w:val="20"/>
          <w:szCs w:val="20"/>
        </w:rPr>
        <w:t>7.8</w:t>
      </w:r>
      <w:r w:rsidRPr="00D32F46">
        <w:rPr>
          <w:rFonts w:hint="eastAsia"/>
          <w:sz w:val="20"/>
          <w:szCs w:val="20"/>
        </w:rPr>
        <w:t>％増の約</w:t>
      </w:r>
      <w:r w:rsidRPr="00D32F46">
        <w:rPr>
          <w:rFonts w:hint="eastAsia"/>
          <w:sz w:val="20"/>
          <w:szCs w:val="20"/>
        </w:rPr>
        <w:t>2</w:t>
      </w:r>
      <w:r w:rsidRPr="00D32F46">
        <w:rPr>
          <w:rFonts w:hint="eastAsia"/>
          <w:sz w:val="20"/>
          <w:szCs w:val="20"/>
        </w:rPr>
        <w:t>兆</w:t>
      </w:r>
      <w:r w:rsidR="00143BD5" w:rsidRPr="00D32F46">
        <w:rPr>
          <w:rFonts w:hint="eastAsia"/>
          <w:sz w:val="20"/>
          <w:szCs w:val="20"/>
        </w:rPr>
        <w:t>9,883</w:t>
      </w:r>
      <w:r w:rsidRPr="00D32F46">
        <w:rPr>
          <w:rFonts w:hint="eastAsia"/>
          <w:sz w:val="20"/>
          <w:szCs w:val="20"/>
        </w:rPr>
        <w:t>億コロン、歳出が約</w:t>
      </w:r>
      <w:r w:rsidR="00143BD5" w:rsidRPr="00D32F46">
        <w:rPr>
          <w:rFonts w:hint="eastAsia"/>
          <w:sz w:val="20"/>
          <w:szCs w:val="20"/>
        </w:rPr>
        <w:t>17.4</w:t>
      </w:r>
      <w:r w:rsidRPr="00D32F46">
        <w:rPr>
          <w:rFonts w:hint="eastAsia"/>
          <w:sz w:val="20"/>
          <w:szCs w:val="20"/>
        </w:rPr>
        <w:t>％増の約</w:t>
      </w:r>
      <w:r w:rsidR="00143BD5" w:rsidRPr="00D32F46">
        <w:rPr>
          <w:rFonts w:hint="eastAsia"/>
          <w:sz w:val="20"/>
          <w:szCs w:val="20"/>
        </w:rPr>
        <w:t>4</w:t>
      </w:r>
      <w:r w:rsidRPr="00D32F46">
        <w:rPr>
          <w:rFonts w:hint="eastAsia"/>
          <w:sz w:val="20"/>
          <w:szCs w:val="20"/>
        </w:rPr>
        <w:t>兆</w:t>
      </w:r>
      <w:r w:rsidR="00143BD5" w:rsidRPr="00D32F46">
        <w:rPr>
          <w:rFonts w:hint="eastAsia"/>
          <w:sz w:val="20"/>
          <w:szCs w:val="20"/>
        </w:rPr>
        <w:t>1</w:t>
      </w:r>
      <w:r w:rsidRPr="00D32F46">
        <w:rPr>
          <w:rFonts w:hint="eastAsia"/>
          <w:sz w:val="20"/>
          <w:szCs w:val="20"/>
        </w:rPr>
        <w:t>,8</w:t>
      </w:r>
      <w:r w:rsidR="00143BD5" w:rsidRPr="00D32F46">
        <w:rPr>
          <w:rFonts w:hint="eastAsia"/>
          <w:sz w:val="20"/>
          <w:szCs w:val="20"/>
        </w:rPr>
        <w:t>76</w:t>
      </w:r>
      <w:r w:rsidRPr="00D32F46">
        <w:rPr>
          <w:rFonts w:hint="eastAsia"/>
          <w:sz w:val="20"/>
          <w:szCs w:val="20"/>
        </w:rPr>
        <w:t>億コロンとなり、財政赤字額は約</w:t>
      </w:r>
      <w:r w:rsidRPr="00D32F46">
        <w:rPr>
          <w:rFonts w:hint="eastAsia"/>
          <w:sz w:val="20"/>
          <w:szCs w:val="20"/>
        </w:rPr>
        <w:t>1</w:t>
      </w:r>
      <w:r w:rsidR="00143BD5" w:rsidRPr="00D32F46">
        <w:rPr>
          <w:rFonts w:hint="eastAsia"/>
          <w:sz w:val="20"/>
          <w:szCs w:val="20"/>
        </w:rPr>
        <w:t>7</w:t>
      </w:r>
      <w:r w:rsidRPr="00D32F46">
        <w:rPr>
          <w:rFonts w:hint="eastAsia"/>
          <w:sz w:val="20"/>
          <w:szCs w:val="20"/>
        </w:rPr>
        <w:t>.4</w:t>
      </w:r>
      <w:r w:rsidRPr="00D32F46">
        <w:rPr>
          <w:rFonts w:hint="eastAsia"/>
          <w:sz w:val="20"/>
          <w:szCs w:val="20"/>
        </w:rPr>
        <w:t>％増の約</w:t>
      </w:r>
      <w:r w:rsidR="00143BD5" w:rsidRPr="00D32F46">
        <w:rPr>
          <w:rFonts w:hint="eastAsia"/>
          <w:sz w:val="20"/>
          <w:szCs w:val="20"/>
        </w:rPr>
        <w:t>1</w:t>
      </w:r>
      <w:r w:rsidR="00143BD5" w:rsidRPr="00D32F46">
        <w:rPr>
          <w:rFonts w:hint="eastAsia"/>
          <w:sz w:val="20"/>
          <w:szCs w:val="20"/>
        </w:rPr>
        <w:t>兆</w:t>
      </w:r>
      <w:r w:rsidR="00143BD5" w:rsidRPr="00D32F46">
        <w:rPr>
          <w:rFonts w:hint="eastAsia"/>
          <w:sz w:val="20"/>
          <w:szCs w:val="20"/>
        </w:rPr>
        <w:t>1,993</w:t>
      </w:r>
      <w:r w:rsidRPr="00D32F46">
        <w:rPr>
          <w:rFonts w:hint="eastAsia"/>
          <w:sz w:val="20"/>
          <w:szCs w:val="20"/>
        </w:rPr>
        <w:t>億コロンとなった。財政赤字額の対</w:t>
      </w:r>
      <w:r w:rsidRPr="00D32F46">
        <w:rPr>
          <w:rFonts w:hint="eastAsia"/>
          <w:sz w:val="20"/>
          <w:szCs w:val="20"/>
        </w:rPr>
        <w:t>GDP</w:t>
      </w:r>
      <w:r w:rsidR="00143BD5" w:rsidRPr="00D32F46">
        <w:rPr>
          <w:rFonts w:hint="eastAsia"/>
          <w:sz w:val="20"/>
          <w:szCs w:val="20"/>
        </w:rPr>
        <w:t>比は前年から</w:t>
      </w:r>
      <w:r w:rsidR="002D3E66" w:rsidRPr="00D32F46">
        <w:rPr>
          <w:rFonts w:hint="eastAsia"/>
          <w:sz w:val="20"/>
          <w:szCs w:val="20"/>
        </w:rPr>
        <w:t>0.7</w:t>
      </w:r>
      <w:r w:rsidR="002D3E66" w:rsidRPr="00D32F46">
        <w:rPr>
          <w:rFonts w:hint="eastAsia"/>
          <w:sz w:val="20"/>
          <w:szCs w:val="20"/>
        </w:rPr>
        <w:t>ポイント増の</w:t>
      </w:r>
      <w:r w:rsidR="002D3E66" w:rsidRPr="00D32F46">
        <w:rPr>
          <w:rFonts w:hint="eastAsia"/>
          <w:sz w:val="20"/>
          <w:szCs w:val="20"/>
        </w:rPr>
        <w:t>4.8</w:t>
      </w:r>
      <w:r w:rsidRPr="00D32F46">
        <w:rPr>
          <w:rFonts w:hint="eastAsia"/>
          <w:sz w:val="20"/>
          <w:szCs w:val="20"/>
        </w:rPr>
        <w:t>％となっている。</w:t>
      </w:r>
    </w:p>
    <w:p w:rsidR="003B3D2B" w:rsidRPr="00D32F46" w:rsidRDefault="00F23E8E" w:rsidP="00D32F46">
      <w:pPr>
        <w:rPr>
          <w:sz w:val="20"/>
          <w:szCs w:val="20"/>
        </w:rPr>
      </w:pPr>
      <w:r w:rsidRPr="00D32F46">
        <w:rPr>
          <w:rFonts w:hint="eastAsia"/>
          <w:sz w:val="20"/>
          <w:szCs w:val="20"/>
        </w:rPr>
        <w:t>●</w:t>
      </w:r>
      <w:r w:rsidR="00D32F46" w:rsidRPr="00D32F46">
        <w:rPr>
          <w:rFonts w:hint="eastAsia"/>
          <w:sz w:val="20"/>
          <w:szCs w:val="20"/>
        </w:rPr>
        <w:t>財政赤字額の増加速度は落ちたものの、依然として</w:t>
      </w:r>
      <w:r w:rsidRPr="00D32F46">
        <w:rPr>
          <w:rFonts w:hint="eastAsia"/>
          <w:sz w:val="20"/>
          <w:szCs w:val="20"/>
        </w:rPr>
        <w:t>年末時点での財政赤字額の対</w:t>
      </w:r>
      <w:r w:rsidRPr="00D32F46">
        <w:rPr>
          <w:rFonts w:hint="eastAsia"/>
          <w:sz w:val="20"/>
          <w:szCs w:val="20"/>
        </w:rPr>
        <w:t>GDP</w:t>
      </w:r>
      <w:r w:rsidR="00D32F46" w:rsidRPr="00D32F46">
        <w:rPr>
          <w:rFonts w:hint="eastAsia"/>
          <w:sz w:val="20"/>
          <w:szCs w:val="20"/>
        </w:rPr>
        <w:t>比は</w:t>
      </w:r>
      <w:r w:rsidRPr="00D32F46">
        <w:rPr>
          <w:rFonts w:hint="eastAsia"/>
          <w:sz w:val="20"/>
          <w:szCs w:val="20"/>
        </w:rPr>
        <w:t>6</w:t>
      </w:r>
      <w:r w:rsidRPr="00D32F46">
        <w:rPr>
          <w:rFonts w:hint="eastAsia"/>
          <w:sz w:val="20"/>
          <w:szCs w:val="20"/>
        </w:rPr>
        <w:t>％前後と予測されて</w:t>
      </w:r>
      <w:r w:rsidR="00D32F46" w:rsidRPr="00D32F46">
        <w:rPr>
          <w:rFonts w:hint="eastAsia"/>
          <w:sz w:val="20"/>
          <w:szCs w:val="20"/>
        </w:rPr>
        <w:t>いる。</w:t>
      </w:r>
    </w:p>
    <w:p w:rsidR="00D32F46" w:rsidRPr="00D32F46" w:rsidRDefault="00D32F46" w:rsidP="00D32F46">
      <w:pPr>
        <w:rPr>
          <w:sz w:val="20"/>
          <w:szCs w:val="20"/>
        </w:rPr>
      </w:pPr>
      <w:r w:rsidRPr="00D32F46">
        <w:rPr>
          <w:rFonts w:hint="eastAsia"/>
          <w:sz w:val="20"/>
          <w:szCs w:val="20"/>
        </w:rPr>
        <w:t>●</w:t>
      </w:r>
      <w:r w:rsidRPr="00D32F46">
        <w:rPr>
          <w:rFonts w:hint="eastAsia"/>
          <w:sz w:val="20"/>
          <w:szCs w:val="20"/>
        </w:rPr>
        <w:t>9</w:t>
      </w:r>
      <w:r w:rsidRPr="00D32F46">
        <w:rPr>
          <w:rFonts w:hint="eastAsia"/>
          <w:sz w:val="20"/>
          <w:szCs w:val="20"/>
        </w:rPr>
        <w:t>月</w:t>
      </w:r>
      <w:r w:rsidRPr="00D32F46">
        <w:rPr>
          <w:rFonts w:hint="eastAsia"/>
          <w:sz w:val="20"/>
          <w:szCs w:val="20"/>
        </w:rPr>
        <w:t>16</w:t>
      </w:r>
      <w:r w:rsidRPr="00D32F46">
        <w:rPr>
          <w:rFonts w:hint="eastAsia"/>
          <w:sz w:val="20"/>
          <w:szCs w:val="20"/>
        </w:rPr>
        <w:t>日、米国格付け会社ムーディーズは、今年の財政赤字額が対</w:t>
      </w:r>
      <w:r w:rsidRPr="00D32F46">
        <w:rPr>
          <w:rFonts w:hint="eastAsia"/>
          <w:sz w:val="20"/>
          <w:szCs w:val="20"/>
        </w:rPr>
        <w:t>GDP</w:t>
      </w:r>
      <w:r w:rsidRPr="00D32F46">
        <w:rPr>
          <w:rFonts w:hint="eastAsia"/>
          <w:sz w:val="20"/>
          <w:szCs w:val="20"/>
        </w:rPr>
        <w:t>比</w:t>
      </w:r>
      <w:r w:rsidRPr="00D32F46">
        <w:rPr>
          <w:rFonts w:hint="eastAsia"/>
          <w:sz w:val="20"/>
          <w:szCs w:val="20"/>
        </w:rPr>
        <w:t>6</w:t>
      </w:r>
      <w:r w:rsidRPr="00D32F46">
        <w:rPr>
          <w:rFonts w:hint="eastAsia"/>
          <w:sz w:val="20"/>
          <w:szCs w:val="20"/>
        </w:rPr>
        <w:t>％を超え、同累積赤字額も対</w:t>
      </w:r>
      <w:r w:rsidRPr="00D32F46">
        <w:rPr>
          <w:rFonts w:hint="eastAsia"/>
          <w:sz w:val="20"/>
          <w:szCs w:val="20"/>
        </w:rPr>
        <w:t>GDP</w:t>
      </w:r>
      <w:r w:rsidRPr="00D32F46">
        <w:rPr>
          <w:rFonts w:hint="eastAsia"/>
          <w:sz w:val="20"/>
          <w:szCs w:val="20"/>
        </w:rPr>
        <w:t>比</w:t>
      </w:r>
      <w:r w:rsidRPr="00D32F46">
        <w:rPr>
          <w:rFonts w:hint="eastAsia"/>
          <w:sz w:val="20"/>
          <w:szCs w:val="20"/>
        </w:rPr>
        <w:t>40</w:t>
      </w:r>
      <w:r w:rsidRPr="00D32F46">
        <w:rPr>
          <w:rFonts w:hint="eastAsia"/>
          <w:sz w:val="20"/>
          <w:szCs w:val="20"/>
        </w:rPr>
        <w:t>％に到達する見込となっているコスタリカの財政状況と、現政権が打ち出している財政健全化対策に関する政治的合意の欠如及び</w:t>
      </w:r>
      <w:r w:rsidR="00E16C0C">
        <w:rPr>
          <w:rFonts w:hint="eastAsia"/>
          <w:sz w:val="20"/>
          <w:szCs w:val="20"/>
        </w:rPr>
        <w:t>実効</w:t>
      </w:r>
      <w:r w:rsidRPr="00D32F46">
        <w:rPr>
          <w:rFonts w:hint="eastAsia"/>
          <w:sz w:val="20"/>
          <w:szCs w:val="20"/>
        </w:rPr>
        <w:t>性への疑問から、同国の格付けを</w:t>
      </w:r>
      <w:r w:rsidRPr="00D32F46">
        <w:rPr>
          <w:rFonts w:hint="eastAsia"/>
          <w:sz w:val="20"/>
          <w:szCs w:val="20"/>
        </w:rPr>
        <w:t>2010</w:t>
      </w:r>
      <w:r w:rsidRPr="00D32F46">
        <w:rPr>
          <w:rFonts w:hint="eastAsia"/>
          <w:sz w:val="20"/>
          <w:szCs w:val="20"/>
        </w:rPr>
        <w:t>年に設定した「</w:t>
      </w:r>
      <w:r w:rsidRPr="00D32F46">
        <w:rPr>
          <w:rFonts w:hint="eastAsia"/>
          <w:sz w:val="20"/>
          <w:szCs w:val="20"/>
        </w:rPr>
        <w:t>Baa3</w:t>
      </w:r>
      <w:r w:rsidRPr="00D32F46">
        <w:rPr>
          <w:rFonts w:hint="eastAsia"/>
          <w:sz w:val="20"/>
          <w:szCs w:val="20"/>
        </w:rPr>
        <w:t>」から「</w:t>
      </w:r>
      <w:r w:rsidRPr="00D32F46">
        <w:rPr>
          <w:rFonts w:hint="eastAsia"/>
          <w:sz w:val="20"/>
          <w:szCs w:val="20"/>
        </w:rPr>
        <w:t xml:space="preserve"> Ba1</w:t>
      </w:r>
      <w:r w:rsidRPr="00D32F46">
        <w:rPr>
          <w:rFonts w:hint="eastAsia"/>
          <w:sz w:val="20"/>
          <w:szCs w:val="20"/>
        </w:rPr>
        <w:t>」へ引下げることを発表した。</w:t>
      </w:r>
      <w:r>
        <w:rPr>
          <w:rFonts w:hint="eastAsia"/>
          <w:sz w:val="20"/>
          <w:szCs w:val="20"/>
        </w:rPr>
        <w:t>これにより、今後のコスタリカ国債の金利上昇や、投資先としての信用度の低下などが見込まれている。</w:t>
      </w:r>
    </w:p>
    <w:p w:rsidR="0092328B" w:rsidRDefault="0092328B" w:rsidP="00A84869">
      <w:pPr>
        <w:rPr>
          <w:sz w:val="20"/>
          <w:szCs w:val="20"/>
        </w:rPr>
      </w:pPr>
    </w:p>
    <w:p w:rsidR="00793DDE" w:rsidRDefault="00793DDE" w:rsidP="00A84869">
      <w:pPr>
        <w:rPr>
          <w:sz w:val="20"/>
          <w:szCs w:val="20"/>
        </w:rPr>
      </w:pPr>
    </w:p>
    <w:p w:rsidR="00145AD6" w:rsidRDefault="00D41817" w:rsidP="00A84869">
      <w:pPr>
        <w:rPr>
          <w:sz w:val="20"/>
          <w:szCs w:val="20"/>
        </w:rPr>
      </w:pPr>
      <w:r>
        <w:rPr>
          <w:noProof/>
          <w:sz w:val="20"/>
          <w:szCs w:val="20"/>
        </w:rPr>
        <w:drawing>
          <wp:anchor distT="0" distB="0" distL="114300" distR="114300" simplePos="0" relativeHeight="251663360" behindDoc="0" locked="0" layoutInCell="1" allowOverlap="1" wp14:anchorId="175CA278" wp14:editId="57D19C8D">
            <wp:simplePos x="0" y="0"/>
            <wp:positionH relativeFrom="margin">
              <wp:align>left</wp:align>
            </wp:positionH>
            <wp:positionV relativeFrom="margin">
              <wp:posOffset>3987800</wp:posOffset>
            </wp:positionV>
            <wp:extent cx="2505075" cy="3457575"/>
            <wp:effectExtent l="19050" t="0" r="9525" b="0"/>
            <wp:wrapSquare wrapText="bothSides"/>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noProof/>
          <w:sz w:val="20"/>
          <w:szCs w:val="20"/>
        </w:rPr>
        <w:drawing>
          <wp:anchor distT="0" distB="0" distL="114300" distR="114300" simplePos="0" relativeHeight="251662336" behindDoc="0" locked="0" layoutInCell="1" allowOverlap="1" wp14:anchorId="1F6FA797" wp14:editId="197D0195">
            <wp:simplePos x="0" y="0"/>
            <wp:positionH relativeFrom="margin">
              <wp:posOffset>2891790</wp:posOffset>
            </wp:positionH>
            <wp:positionV relativeFrom="margin">
              <wp:posOffset>3987800</wp:posOffset>
            </wp:positionV>
            <wp:extent cx="2409825" cy="3457575"/>
            <wp:effectExtent l="19050" t="0" r="9525" b="0"/>
            <wp:wrapSquare wrapText="bothSides"/>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145AD6" w:rsidRDefault="00145AD6" w:rsidP="00A84869">
      <w:pPr>
        <w:rPr>
          <w:sz w:val="20"/>
          <w:szCs w:val="20"/>
        </w:rPr>
      </w:pPr>
    </w:p>
    <w:p w:rsidR="00145AD6" w:rsidRDefault="00145AD6" w:rsidP="00A84869">
      <w:pPr>
        <w:rPr>
          <w:sz w:val="20"/>
          <w:szCs w:val="20"/>
        </w:rPr>
      </w:pPr>
    </w:p>
    <w:p w:rsidR="00145AD6" w:rsidRDefault="00145AD6" w:rsidP="00A84869">
      <w:pPr>
        <w:rPr>
          <w:sz w:val="20"/>
          <w:szCs w:val="20"/>
        </w:rPr>
      </w:pPr>
    </w:p>
    <w:p w:rsidR="00145AD6" w:rsidRDefault="00145AD6" w:rsidP="00A84869">
      <w:pPr>
        <w:rPr>
          <w:sz w:val="20"/>
          <w:szCs w:val="20"/>
        </w:rPr>
      </w:pPr>
    </w:p>
    <w:p w:rsidR="00793DDE" w:rsidRDefault="00E7201B" w:rsidP="00A84869">
      <w:pPr>
        <w:rPr>
          <w:sz w:val="20"/>
          <w:szCs w:val="20"/>
        </w:rPr>
      </w:pPr>
      <w:r>
        <w:rPr>
          <w:rFonts w:hint="eastAsia"/>
          <w:sz w:val="20"/>
          <w:szCs w:val="20"/>
        </w:rPr>
        <w:lastRenderedPageBreak/>
        <w:t>４</w:t>
      </w:r>
      <w:r w:rsidR="00793DDE">
        <w:rPr>
          <w:rFonts w:hint="eastAsia"/>
          <w:sz w:val="20"/>
          <w:szCs w:val="20"/>
        </w:rPr>
        <w:t xml:space="preserve">　物価上昇率</w:t>
      </w:r>
    </w:p>
    <w:p w:rsidR="00406A2F" w:rsidRPr="002D5F06" w:rsidRDefault="00793DDE" w:rsidP="00406A2F">
      <w:pPr>
        <w:jc w:val="left"/>
        <w:rPr>
          <w:rFonts w:ascii="Century" w:eastAsia="ＭＳ 明朝" w:hAnsi="Century" w:cs="Times New Roman"/>
          <w:sz w:val="20"/>
          <w:szCs w:val="20"/>
        </w:rPr>
      </w:pPr>
      <w:r w:rsidRPr="002D5F06">
        <w:rPr>
          <w:rFonts w:hint="eastAsia"/>
          <w:sz w:val="20"/>
          <w:szCs w:val="20"/>
        </w:rPr>
        <w:t>●</w:t>
      </w:r>
      <w:r w:rsidR="00FF0061" w:rsidRPr="002D5F06">
        <w:rPr>
          <w:rFonts w:ascii="Century" w:eastAsia="ＭＳ 明朝" w:hAnsi="Century" w:cs="Times New Roman" w:hint="eastAsia"/>
          <w:sz w:val="20"/>
          <w:szCs w:val="20"/>
        </w:rPr>
        <w:t>8</w:t>
      </w:r>
      <w:r w:rsidR="00406A2F" w:rsidRPr="002D5F06">
        <w:rPr>
          <w:rFonts w:ascii="Century" w:eastAsia="ＭＳ 明朝" w:hAnsi="Century" w:cs="Times New Roman" w:hint="eastAsia"/>
          <w:sz w:val="20"/>
          <w:szCs w:val="20"/>
        </w:rPr>
        <w:t>月から</w:t>
      </w:r>
      <w:r w:rsidR="00FF0061" w:rsidRPr="002D5F06">
        <w:rPr>
          <w:rFonts w:ascii="Century" w:eastAsia="ＭＳ 明朝" w:hAnsi="Century" w:cs="Times New Roman" w:hint="eastAsia"/>
          <w:sz w:val="20"/>
          <w:szCs w:val="20"/>
        </w:rPr>
        <w:t>9</w:t>
      </w:r>
      <w:r w:rsidR="00406A2F" w:rsidRPr="002D5F06">
        <w:rPr>
          <w:rFonts w:ascii="Century" w:eastAsia="ＭＳ 明朝" w:hAnsi="Century" w:cs="Times New Roman" w:hint="eastAsia"/>
          <w:sz w:val="20"/>
          <w:szCs w:val="20"/>
        </w:rPr>
        <w:t>月にかけての物価上昇率</w:t>
      </w:r>
      <w:r w:rsidR="00406A2F" w:rsidRPr="002D5F06">
        <w:rPr>
          <w:rFonts w:ascii="Century" w:eastAsia="ＭＳ 明朝" w:hAnsi="Century" w:cs="Times New Roman"/>
          <w:sz w:val="20"/>
          <w:szCs w:val="20"/>
        </w:rPr>
        <w:t>(</w:t>
      </w:r>
      <w:r w:rsidR="00406A2F" w:rsidRPr="002D5F06">
        <w:rPr>
          <w:rFonts w:ascii="Century" w:eastAsia="ＭＳ 明朝" w:hAnsi="Century" w:cs="Times New Roman" w:hint="eastAsia"/>
          <w:sz w:val="20"/>
          <w:szCs w:val="20"/>
        </w:rPr>
        <w:t>表</w:t>
      </w:r>
      <w:r w:rsidR="00406A2F" w:rsidRPr="002D5F06">
        <w:rPr>
          <w:rFonts w:ascii="Century" w:eastAsia="ＭＳ 明朝" w:hAnsi="Century" w:cs="Times New Roman" w:hint="eastAsia"/>
          <w:sz w:val="20"/>
          <w:szCs w:val="20"/>
        </w:rPr>
        <w:t>8</w:t>
      </w:r>
      <w:r w:rsidR="00406A2F" w:rsidRPr="002D5F06">
        <w:rPr>
          <w:rFonts w:ascii="Century" w:eastAsia="ＭＳ 明朝" w:hAnsi="Century" w:cs="Times New Roman"/>
          <w:sz w:val="20"/>
          <w:szCs w:val="20"/>
        </w:rPr>
        <w:t>)</w:t>
      </w:r>
      <w:r w:rsidR="00406A2F" w:rsidRPr="002D5F06">
        <w:rPr>
          <w:rFonts w:ascii="Century" w:eastAsia="ＭＳ 明朝" w:hAnsi="Century" w:cs="Times New Roman" w:hint="eastAsia"/>
          <w:sz w:val="20"/>
          <w:szCs w:val="20"/>
        </w:rPr>
        <w:t>は</w:t>
      </w:r>
      <w:r w:rsidR="00FA06A9" w:rsidRPr="002D5F06">
        <w:rPr>
          <w:rFonts w:ascii="Century" w:eastAsia="ＭＳ 明朝" w:hAnsi="Century" w:cs="Times New Roman" w:hint="eastAsia"/>
          <w:sz w:val="20"/>
          <w:szCs w:val="20"/>
        </w:rPr>
        <w:t>0.14</w:t>
      </w:r>
      <w:r w:rsidR="00FA06A9" w:rsidRPr="002D5F06">
        <w:rPr>
          <w:rFonts w:ascii="Century" w:eastAsia="ＭＳ 明朝" w:hAnsi="Century" w:cs="Times New Roman" w:hint="eastAsia"/>
          <w:sz w:val="20"/>
          <w:szCs w:val="20"/>
        </w:rPr>
        <w:t>ポイント下降</w:t>
      </w:r>
      <w:r w:rsidR="00406A2F" w:rsidRPr="002D5F06">
        <w:rPr>
          <w:rFonts w:ascii="Century" w:eastAsia="ＭＳ 明朝" w:hAnsi="Century" w:cs="Times New Roman" w:hint="eastAsia"/>
          <w:sz w:val="20"/>
          <w:szCs w:val="20"/>
        </w:rPr>
        <w:t>し、</w:t>
      </w:r>
      <w:r w:rsidR="00FA06A9" w:rsidRPr="002D5F06">
        <w:rPr>
          <w:rFonts w:ascii="Century" w:eastAsia="ＭＳ 明朝" w:hAnsi="Century" w:cs="Times New Roman" w:hint="eastAsia"/>
          <w:sz w:val="20"/>
          <w:szCs w:val="20"/>
        </w:rPr>
        <w:t>9</w:t>
      </w:r>
      <w:r w:rsidR="00406A2F" w:rsidRPr="002D5F06">
        <w:rPr>
          <w:rFonts w:ascii="Century" w:eastAsia="ＭＳ 明朝" w:hAnsi="Century" w:cs="Times New Roman" w:hint="eastAsia"/>
          <w:sz w:val="20"/>
          <w:szCs w:val="20"/>
        </w:rPr>
        <w:t>月時点での月間累計値は前年同</w:t>
      </w:r>
      <w:r w:rsidR="00FA06A9" w:rsidRPr="002D5F06">
        <w:rPr>
          <w:rFonts w:ascii="Century" w:eastAsia="ＭＳ 明朝" w:hAnsi="Century" w:cs="Times New Roman" w:hint="eastAsia"/>
          <w:sz w:val="20"/>
          <w:szCs w:val="20"/>
        </w:rPr>
        <w:t>月の</w:t>
      </w:r>
      <w:r w:rsidR="00406A2F" w:rsidRPr="002D5F06">
        <w:rPr>
          <w:rFonts w:ascii="Century" w:eastAsia="ＭＳ 明朝" w:hAnsi="Century" w:cs="Times New Roman" w:hint="eastAsia"/>
          <w:sz w:val="20"/>
          <w:szCs w:val="20"/>
        </w:rPr>
        <w:t>値</w:t>
      </w:r>
      <w:r w:rsidR="00FA06A9" w:rsidRPr="002D5F06">
        <w:rPr>
          <w:rFonts w:ascii="Century" w:eastAsia="ＭＳ 明朝" w:hAnsi="Century" w:cs="Times New Roman" w:hint="eastAsia"/>
          <w:sz w:val="20"/>
          <w:szCs w:val="20"/>
        </w:rPr>
        <w:t>(5.44</w:t>
      </w:r>
      <w:r w:rsidR="00406A2F" w:rsidRPr="002D5F06">
        <w:rPr>
          <w:rFonts w:ascii="Century" w:eastAsia="ＭＳ 明朝" w:hAnsi="Century" w:cs="Times New Roman" w:hint="eastAsia"/>
          <w:sz w:val="20"/>
          <w:szCs w:val="20"/>
        </w:rPr>
        <w:t>％</w:t>
      </w:r>
      <w:r w:rsidR="00406A2F" w:rsidRPr="002D5F06">
        <w:rPr>
          <w:rFonts w:ascii="Century" w:eastAsia="ＭＳ 明朝" w:hAnsi="Century" w:cs="Times New Roman" w:hint="eastAsia"/>
          <w:sz w:val="20"/>
          <w:szCs w:val="20"/>
        </w:rPr>
        <w:t>)</w:t>
      </w:r>
      <w:r w:rsidR="00406A2F" w:rsidRPr="002D5F06">
        <w:rPr>
          <w:rFonts w:ascii="Century" w:eastAsia="ＭＳ 明朝" w:hAnsi="Century" w:cs="Times New Roman" w:hint="eastAsia"/>
          <w:sz w:val="20"/>
          <w:szCs w:val="20"/>
        </w:rPr>
        <w:t>を</w:t>
      </w:r>
      <w:r w:rsidR="00FA06A9" w:rsidRPr="002D5F06">
        <w:rPr>
          <w:rFonts w:ascii="Century" w:eastAsia="ＭＳ 明朝" w:hAnsi="Century" w:cs="Times New Roman" w:hint="eastAsia"/>
          <w:sz w:val="20"/>
          <w:szCs w:val="20"/>
        </w:rPr>
        <w:t>0.14</w:t>
      </w:r>
      <w:r w:rsidR="00FA06A9" w:rsidRPr="002D5F06">
        <w:rPr>
          <w:rFonts w:ascii="Century" w:eastAsia="ＭＳ 明朝" w:hAnsi="Century" w:cs="Times New Roman" w:hint="eastAsia"/>
          <w:sz w:val="20"/>
          <w:szCs w:val="20"/>
        </w:rPr>
        <w:t>ポイント下</w:t>
      </w:r>
      <w:r w:rsidR="00406A2F" w:rsidRPr="002D5F06">
        <w:rPr>
          <w:rFonts w:ascii="Century" w:eastAsia="ＭＳ 明朝" w:hAnsi="Century" w:cs="Times New Roman" w:hint="eastAsia"/>
          <w:sz w:val="20"/>
          <w:szCs w:val="20"/>
        </w:rPr>
        <w:t>回る</w:t>
      </w:r>
      <w:r w:rsidR="00FA06A9" w:rsidRPr="002D5F06">
        <w:rPr>
          <w:rFonts w:ascii="Century" w:eastAsia="ＭＳ 明朝" w:hAnsi="Century" w:cs="Times New Roman" w:hint="eastAsia"/>
          <w:sz w:val="20"/>
          <w:szCs w:val="20"/>
        </w:rPr>
        <w:t>5.30</w:t>
      </w:r>
      <w:r w:rsidR="00406A2F" w:rsidRPr="002D5F06">
        <w:rPr>
          <w:rFonts w:ascii="Century" w:eastAsia="ＭＳ 明朝" w:hAnsi="Century" w:cs="Times New Roman" w:hint="eastAsia"/>
          <w:sz w:val="20"/>
          <w:szCs w:val="20"/>
        </w:rPr>
        <w:t>％となった。</w:t>
      </w:r>
    </w:p>
    <w:p w:rsidR="002D5F06" w:rsidRPr="002D5F06" w:rsidRDefault="00406A2F" w:rsidP="00406A2F">
      <w:pPr>
        <w:jc w:val="left"/>
        <w:rPr>
          <w:rFonts w:ascii="Century" w:eastAsia="ＭＳ 明朝" w:hAnsi="Century" w:cs="Times New Roman"/>
          <w:sz w:val="20"/>
          <w:szCs w:val="20"/>
        </w:rPr>
      </w:pPr>
      <w:r w:rsidRPr="002D5F06">
        <w:rPr>
          <w:rFonts w:ascii="Century" w:eastAsia="ＭＳ 明朝" w:hAnsi="Century" w:cs="Times New Roman" w:hint="eastAsia"/>
          <w:sz w:val="20"/>
          <w:szCs w:val="20"/>
        </w:rPr>
        <w:t>●</w:t>
      </w:r>
      <w:r w:rsidR="00FA06A9" w:rsidRPr="002D5F06">
        <w:rPr>
          <w:rFonts w:ascii="Century" w:eastAsia="ＭＳ 明朝" w:hAnsi="Century" w:cs="Times New Roman" w:hint="eastAsia"/>
          <w:sz w:val="20"/>
          <w:szCs w:val="20"/>
        </w:rPr>
        <w:t>9</w:t>
      </w:r>
      <w:r w:rsidRPr="002D5F06">
        <w:rPr>
          <w:rFonts w:ascii="Century" w:eastAsia="ＭＳ 明朝" w:hAnsi="Century" w:cs="Times New Roman" w:hint="eastAsia"/>
          <w:sz w:val="20"/>
          <w:szCs w:val="20"/>
        </w:rPr>
        <w:t>月から</w:t>
      </w:r>
      <w:r w:rsidR="00FA06A9" w:rsidRPr="002D5F06">
        <w:rPr>
          <w:rFonts w:ascii="Century" w:eastAsia="ＭＳ 明朝" w:hAnsi="Century" w:cs="Times New Roman" w:hint="eastAsia"/>
          <w:sz w:val="20"/>
          <w:szCs w:val="20"/>
        </w:rPr>
        <w:t>10</w:t>
      </w:r>
      <w:r w:rsidRPr="002D5F06">
        <w:rPr>
          <w:rFonts w:ascii="Century" w:eastAsia="ＭＳ 明朝" w:hAnsi="Century" w:cs="Times New Roman" w:hint="eastAsia"/>
          <w:sz w:val="20"/>
          <w:szCs w:val="20"/>
        </w:rPr>
        <w:t>月にかけての物価上昇率は</w:t>
      </w:r>
      <w:r w:rsidR="00FA06A9" w:rsidRPr="002D5F06">
        <w:rPr>
          <w:rFonts w:ascii="Century" w:eastAsia="ＭＳ 明朝" w:hAnsi="Century" w:cs="Times New Roman" w:hint="eastAsia"/>
          <w:sz w:val="20"/>
          <w:szCs w:val="20"/>
        </w:rPr>
        <w:t>0.31</w:t>
      </w:r>
      <w:r w:rsidRPr="002D5F06">
        <w:rPr>
          <w:rFonts w:ascii="Century" w:eastAsia="ＭＳ 明朝" w:hAnsi="Century" w:cs="Times New Roman" w:hint="eastAsia"/>
          <w:sz w:val="20"/>
          <w:szCs w:val="20"/>
        </w:rPr>
        <w:t>ポイント</w:t>
      </w:r>
      <w:r w:rsidR="00FA06A9" w:rsidRPr="002D5F06">
        <w:rPr>
          <w:rFonts w:ascii="Century" w:eastAsia="ＭＳ 明朝" w:hAnsi="Century" w:cs="Times New Roman" w:hint="eastAsia"/>
          <w:sz w:val="20"/>
          <w:szCs w:val="20"/>
        </w:rPr>
        <w:t>下降</w:t>
      </w:r>
      <w:r w:rsidRPr="002D5F06">
        <w:rPr>
          <w:rFonts w:ascii="Century" w:eastAsia="ＭＳ 明朝" w:hAnsi="Century" w:cs="Times New Roman" w:hint="eastAsia"/>
          <w:sz w:val="20"/>
          <w:szCs w:val="20"/>
        </w:rPr>
        <w:t>し、</w:t>
      </w:r>
      <w:r w:rsidR="00FA06A9" w:rsidRPr="002D5F06">
        <w:rPr>
          <w:rFonts w:ascii="Century" w:eastAsia="ＭＳ 明朝" w:hAnsi="Century" w:cs="Times New Roman" w:hint="eastAsia"/>
          <w:sz w:val="20"/>
          <w:szCs w:val="20"/>
        </w:rPr>
        <w:t>10</w:t>
      </w:r>
      <w:r w:rsidR="00FA06A9" w:rsidRPr="002D5F06">
        <w:rPr>
          <w:rFonts w:ascii="Century" w:eastAsia="ＭＳ 明朝" w:hAnsi="Century" w:cs="Times New Roman" w:hint="eastAsia"/>
          <w:sz w:val="20"/>
          <w:szCs w:val="20"/>
        </w:rPr>
        <w:t>月時点での月間累計値は前年同値月の値</w:t>
      </w:r>
      <w:r w:rsidR="00FA06A9" w:rsidRPr="002D5F06">
        <w:rPr>
          <w:rFonts w:ascii="Century" w:eastAsia="ＭＳ 明朝" w:hAnsi="Century" w:cs="Times New Roman" w:hint="eastAsia"/>
          <w:sz w:val="20"/>
          <w:szCs w:val="20"/>
        </w:rPr>
        <w:t>(2.98)</w:t>
      </w:r>
      <w:r w:rsidRPr="002D5F06">
        <w:rPr>
          <w:rFonts w:ascii="Century" w:eastAsia="ＭＳ 明朝" w:hAnsi="Century" w:cs="Times New Roman" w:hint="eastAsia"/>
          <w:sz w:val="20"/>
          <w:szCs w:val="20"/>
        </w:rPr>
        <w:t>上回る</w:t>
      </w:r>
      <w:r w:rsidR="00FA06A9" w:rsidRPr="002D5F06">
        <w:rPr>
          <w:rFonts w:ascii="Century" w:eastAsia="ＭＳ 明朝" w:hAnsi="Century" w:cs="Times New Roman" w:hint="eastAsia"/>
          <w:sz w:val="20"/>
          <w:szCs w:val="20"/>
        </w:rPr>
        <w:t>4.99</w:t>
      </w:r>
      <w:r w:rsidRPr="002D5F06">
        <w:rPr>
          <w:rFonts w:ascii="Century" w:eastAsia="ＭＳ 明朝" w:hAnsi="Century" w:cs="Times New Roman" w:hint="eastAsia"/>
          <w:sz w:val="20"/>
          <w:szCs w:val="20"/>
        </w:rPr>
        <w:t>％となった。</w:t>
      </w:r>
    </w:p>
    <w:p w:rsidR="00406A2F" w:rsidRPr="002D5F06" w:rsidRDefault="002D5F06" w:rsidP="00406A2F">
      <w:pPr>
        <w:jc w:val="left"/>
        <w:rPr>
          <w:rFonts w:ascii="Century" w:eastAsia="ＭＳ 明朝" w:hAnsi="Century" w:cs="Times New Roman"/>
          <w:sz w:val="20"/>
          <w:szCs w:val="20"/>
        </w:rPr>
      </w:pPr>
      <w:r w:rsidRPr="002D5F06">
        <w:rPr>
          <w:rFonts w:ascii="Century" w:eastAsia="ＭＳ 明朝" w:hAnsi="Century" w:cs="Times New Roman" w:hint="eastAsia"/>
          <w:sz w:val="20"/>
          <w:szCs w:val="20"/>
        </w:rPr>
        <w:t>●</w:t>
      </w:r>
      <w:r w:rsidR="00406A2F" w:rsidRPr="002D5F06">
        <w:rPr>
          <w:rFonts w:ascii="Century" w:eastAsia="ＭＳ 明朝" w:hAnsi="Century" w:cs="Times New Roman" w:hint="eastAsia"/>
          <w:sz w:val="20"/>
          <w:szCs w:val="20"/>
        </w:rPr>
        <w:t>オリビエル・カストロ中銀総裁は、</w:t>
      </w:r>
      <w:r w:rsidRPr="002D5F06">
        <w:rPr>
          <w:rFonts w:ascii="Century" w:eastAsia="ＭＳ 明朝" w:hAnsi="Century" w:cs="Times New Roman" w:hint="eastAsia"/>
          <w:sz w:val="20"/>
          <w:szCs w:val="20"/>
        </w:rPr>
        <w:t>年率換算値</w:t>
      </w:r>
      <w:r w:rsidRPr="002D5F06">
        <w:rPr>
          <w:rFonts w:ascii="Century" w:eastAsia="ＭＳ 明朝" w:hAnsi="Century" w:cs="Times New Roman" w:hint="eastAsia"/>
          <w:sz w:val="20"/>
          <w:szCs w:val="20"/>
        </w:rPr>
        <w:t>(</w:t>
      </w:r>
      <w:r w:rsidRPr="002D5F06">
        <w:rPr>
          <w:rFonts w:ascii="Century" w:eastAsia="ＭＳ 明朝" w:hAnsi="Century" w:cs="Times New Roman" w:hint="eastAsia"/>
          <w:sz w:val="20"/>
          <w:szCs w:val="20"/>
        </w:rPr>
        <w:t>表</w:t>
      </w:r>
      <w:r w:rsidRPr="002D5F06">
        <w:rPr>
          <w:rFonts w:ascii="Century" w:eastAsia="ＭＳ 明朝" w:hAnsi="Century" w:cs="Times New Roman" w:hint="eastAsia"/>
          <w:sz w:val="20"/>
          <w:szCs w:val="20"/>
        </w:rPr>
        <w:t>9)</w:t>
      </w:r>
      <w:r w:rsidRPr="002D5F06">
        <w:rPr>
          <w:rFonts w:ascii="Century" w:eastAsia="ＭＳ 明朝" w:hAnsi="Century" w:cs="Times New Roman" w:hint="eastAsia"/>
          <w:sz w:val="20"/>
          <w:szCs w:val="20"/>
        </w:rPr>
        <w:t>では依然としてインフレターゲット内の</w:t>
      </w:r>
      <w:r w:rsidRPr="002D5F06">
        <w:rPr>
          <w:rFonts w:ascii="Century" w:eastAsia="ＭＳ 明朝" w:hAnsi="Century" w:cs="Times New Roman" w:hint="eastAsia"/>
          <w:sz w:val="20"/>
          <w:szCs w:val="20"/>
        </w:rPr>
        <w:t>3</w:t>
      </w:r>
      <w:r w:rsidRPr="002D5F06">
        <w:rPr>
          <w:rFonts w:ascii="Century" w:eastAsia="ＭＳ 明朝" w:hAnsi="Century" w:cs="Times New Roman" w:hint="eastAsia"/>
          <w:sz w:val="20"/>
          <w:szCs w:val="20"/>
        </w:rPr>
        <w:t>－</w:t>
      </w:r>
      <w:r w:rsidRPr="002D5F06">
        <w:rPr>
          <w:rFonts w:ascii="Century" w:eastAsia="ＭＳ 明朝" w:hAnsi="Century" w:cs="Times New Roman" w:hint="eastAsia"/>
          <w:sz w:val="20"/>
          <w:szCs w:val="20"/>
        </w:rPr>
        <w:t>5</w:t>
      </w:r>
      <w:r w:rsidRPr="002D5F06">
        <w:rPr>
          <w:rFonts w:ascii="Century" w:eastAsia="ＭＳ 明朝" w:hAnsi="Century" w:cs="Times New Roman" w:hint="eastAsia"/>
          <w:sz w:val="20"/>
          <w:szCs w:val="20"/>
        </w:rPr>
        <w:t>％を超えているものの</w:t>
      </w:r>
      <w:r w:rsidRPr="002D5F06">
        <w:rPr>
          <w:rFonts w:ascii="Century" w:eastAsia="ＭＳ 明朝" w:hAnsi="Century" w:cs="Times New Roman" w:hint="eastAsia"/>
          <w:sz w:val="20"/>
          <w:szCs w:val="20"/>
        </w:rPr>
        <w:t>(9</w:t>
      </w:r>
      <w:r w:rsidRPr="002D5F06">
        <w:rPr>
          <w:rFonts w:ascii="Century" w:eastAsia="ＭＳ 明朝" w:hAnsi="Century" w:cs="Times New Roman" w:hint="eastAsia"/>
          <w:sz w:val="20"/>
          <w:szCs w:val="20"/>
        </w:rPr>
        <w:t>月</w:t>
      </w:r>
      <w:r w:rsidRPr="002D5F06">
        <w:rPr>
          <w:rFonts w:ascii="Century" w:eastAsia="ＭＳ 明朝" w:hAnsi="Century" w:cs="Times New Roman" w:hint="eastAsia"/>
          <w:sz w:val="20"/>
          <w:szCs w:val="20"/>
        </w:rPr>
        <w:t>5.20</w:t>
      </w:r>
      <w:r w:rsidRPr="002D5F06">
        <w:rPr>
          <w:rFonts w:ascii="Century" w:eastAsia="ＭＳ 明朝" w:hAnsi="Century" w:cs="Times New Roman" w:hint="eastAsia"/>
          <w:sz w:val="20"/>
          <w:szCs w:val="20"/>
        </w:rPr>
        <w:t>％、</w:t>
      </w:r>
      <w:r w:rsidRPr="002D5F06">
        <w:rPr>
          <w:rFonts w:ascii="Century" w:eastAsia="ＭＳ 明朝" w:hAnsi="Century" w:cs="Times New Roman" w:hint="eastAsia"/>
          <w:sz w:val="20"/>
          <w:szCs w:val="20"/>
        </w:rPr>
        <w:t>10</w:t>
      </w:r>
      <w:r w:rsidRPr="002D5F06">
        <w:rPr>
          <w:rFonts w:ascii="Century" w:eastAsia="ＭＳ 明朝" w:hAnsi="Century" w:cs="Times New Roman" w:hint="eastAsia"/>
          <w:sz w:val="20"/>
          <w:szCs w:val="20"/>
        </w:rPr>
        <w:t>月</w:t>
      </w:r>
      <w:r w:rsidRPr="002D5F06">
        <w:rPr>
          <w:rFonts w:ascii="Century" w:eastAsia="ＭＳ 明朝" w:hAnsi="Century" w:cs="Times New Roman" w:hint="eastAsia"/>
          <w:sz w:val="20"/>
          <w:szCs w:val="20"/>
        </w:rPr>
        <w:t>5.70</w:t>
      </w:r>
      <w:r w:rsidRPr="002D5F06">
        <w:rPr>
          <w:rFonts w:ascii="Century" w:eastAsia="ＭＳ 明朝" w:hAnsi="Century" w:cs="Times New Roman" w:hint="eastAsia"/>
          <w:sz w:val="20"/>
          <w:szCs w:val="20"/>
        </w:rPr>
        <w:t>％</w:t>
      </w:r>
      <w:r w:rsidRPr="002D5F06">
        <w:rPr>
          <w:rFonts w:ascii="Century" w:eastAsia="ＭＳ 明朝" w:hAnsi="Century" w:cs="Times New Roman" w:hint="eastAsia"/>
          <w:sz w:val="20"/>
          <w:szCs w:val="20"/>
        </w:rPr>
        <w:t>)</w:t>
      </w:r>
      <w:r w:rsidRPr="002D5F06">
        <w:rPr>
          <w:rFonts w:ascii="Century" w:eastAsia="ＭＳ 明朝" w:hAnsi="Century" w:cs="Times New Roman" w:hint="eastAsia"/>
          <w:sz w:val="20"/>
          <w:szCs w:val="20"/>
        </w:rPr>
        <w:t>、</w:t>
      </w:r>
      <w:r w:rsidR="00FA06A9" w:rsidRPr="002D5F06">
        <w:rPr>
          <w:rFonts w:ascii="Century" w:eastAsia="ＭＳ 明朝" w:hAnsi="Century" w:cs="Times New Roman" w:hint="eastAsia"/>
          <w:sz w:val="20"/>
          <w:szCs w:val="20"/>
        </w:rPr>
        <w:t>物価上昇</w:t>
      </w:r>
      <w:r w:rsidR="00406A2F" w:rsidRPr="002D5F06">
        <w:rPr>
          <w:rFonts w:ascii="Century" w:eastAsia="ＭＳ 明朝" w:hAnsi="Century" w:cs="Times New Roman" w:hint="eastAsia"/>
          <w:sz w:val="20"/>
          <w:szCs w:val="20"/>
        </w:rPr>
        <w:t>は収束に向かっていると</w:t>
      </w:r>
      <w:r w:rsidR="00880119">
        <w:rPr>
          <w:rFonts w:ascii="Century" w:eastAsia="ＭＳ 明朝" w:hAnsi="Century" w:cs="Times New Roman" w:hint="eastAsia"/>
          <w:sz w:val="20"/>
          <w:szCs w:val="20"/>
        </w:rPr>
        <w:t>し</w:t>
      </w:r>
      <w:r w:rsidR="00FA06A9" w:rsidRPr="002D5F06">
        <w:rPr>
          <w:rFonts w:ascii="Century" w:eastAsia="ＭＳ 明朝" w:hAnsi="Century" w:cs="Times New Roman" w:hint="eastAsia"/>
          <w:sz w:val="20"/>
          <w:szCs w:val="20"/>
        </w:rPr>
        <w:t>、年末</w:t>
      </w:r>
      <w:r w:rsidRPr="002D5F06">
        <w:rPr>
          <w:rFonts w:ascii="Century" w:eastAsia="ＭＳ 明朝" w:hAnsi="Century" w:cs="Times New Roman" w:hint="eastAsia"/>
          <w:sz w:val="20"/>
          <w:szCs w:val="20"/>
        </w:rPr>
        <w:t>時点で値はタ</w:t>
      </w:r>
      <w:r w:rsidR="00FA06A9" w:rsidRPr="002D5F06">
        <w:rPr>
          <w:rFonts w:ascii="Century" w:eastAsia="ＭＳ 明朝" w:hAnsi="Century" w:cs="Times New Roman" w:hint="eastAsia"/>
          <w:sz w:val="20"/>
          <w:szCs w:val="20"/>
        </w:rPr>
        <w:t>ーゲット内に収まるとの見方を示している</w:t>
      </w:r>
      <w:r w:rsidR="00406A2F" w:rsidRPr="002D5F06">
        <w:rPr>
          <w:rFonts w:ascii="Century" w:eastAsia="ＭＳ 明朝" w:hAnsi="Century" w:cs="Times New Roman" w:hint="eastAsia"/>
          <w:sz w:val="20"/>
          <w:szCs w:val="20"/>
        </w:rPr>
        <w:t>。</w:t>
      </w:r>
    </w:p>
    <w:p w:rsidR="00793DDE" w:rsidRPr="00406A2F" w:rsidRDefault="00793DDE" w:rsidP="00A84869">
      <w:pPr>
        <w:rPr>
          <w:color w:val="FF0000"/>
          <w:sz w:val="20"/>
          <w:szCs w:val="20"/>
        </w:rPr>
      </w:pPr>
    </w:p>
    <w:p w:rsidR="00803828" w:rsidRDefault="00803828" w:rsidP="00A84869">
      <w:pPr>
        <w:rPr>
          <w:sz w:val="20"/>
          <w:szCs w:val="20"/>
        </w:rPr>
      </w:pPr>
    </w:p>
    <w:p w:rsidR="00803828" w:rsidRDefault="005672EE" w:rsidP="00A84869">
      <w:pPr>
        <w:rPr>
          <w:sz w:val="20"/>
          <w:szCs w:val="20"/>
        </w:rPr>
      </w:pPr>
      <w:r>
        <w:rPr>
          <w:noProof/>
          <w:sz w:val="20"/>
          <w:szCs w:val="20"/>
        </w:rPr>
        <w:drawing>
          <wp:anchor distT="0" distB="0" distL="114300" distR="114300" simplePos="0" relativeHeight="251665408" behindDoc="0" locked="0" layoutInCell="1" allowOverlap="1" wp14:anchorId="6BB26DAB" wp14:editId="37263055">
            <wp:simplePos x="0" y="0"/>
            <wp:positionH relativeFrom="margin">
              <wp:posOffset>234315</wp:posOffset>
            </wp:positionH>
            <wp:positionV relativeFrom="margin">
              <wp:posOffset>2330450</wp:posOffset>
            </wp:positionV>
            <wp:extent cx="4800600" cy="2286000"/>
            <wp:effectExtent l="0" t="0" r="19050" b="19050"/>
            <wp:wrapSquare wrapText="bothSides"/>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03828" w:rsidRDefault="00803828" w:rsidP="00A84869">
      <w:pPr>
        <w:rPr>
          <w:sz w:val="20"/>
          <w:szCs w:val="20"/>
        </w:rPr>
      </w:pPr>
    </w:p>
    <w:p w:rsidR="00803828" w:rsidRDefault="00803828" w:rsidP="00A84869">
      <w:pPr>
        <w:rPr>
          <w:sz w:val="20"/>
          <w:szCs w:val="20"/>
        </w:rPr>
      </w:pPr>
    </w:p>
    <w:p w:rsidR="00803828" w:rsidRDefault="00803828" w:rsidP="00A84869">
      <w:pPr>
        <w:rPr>
          <w:sz w:val="20"/>
          <w:szCs w:val="20"/>
        </w:rPr>
      </w:pPr>
    </w:p>
    <w:p w:rsidR="00803828" w:rsidRDefault="00803828" w:rsidP="00A84869">
      <w:pPr>
        <w:rPr>
          <w:sz w:val="20"/>
          <w:szCs w:val="20"/>
        </w:rPr>
      </w:pPr>
    </w:p>
    <w:p w:rsidR="00803828" w:rsidRDefault="00803828" w:rsidP="00A84869">
      <w:pPr>
        <w:rPr>
          <w:sz w:val="20"/>
          <w:szCs w:val="20"/>
        </w:rPr>
      </w:pPr>
    </w:p>
    <w:p w:rsidR="00803828" w:rsidRDefault="00803828" w:rsidP="00A84869">
      <w:pPr>
        <w:rPr>
          <w:sz w:val="20"/>
          <w:szCs w:val="20"/>
        </w:rPr>
      </w:pPr>
    </w:p>
    <w:p w:rsidR="000023F7" w:rsidRDefault="000023F7" w:rsidP="006F6992">
      <w:pPr>
        <w:jc w:val="center"/>
        <w:rPr>
          <w:sz w:val="20"/>
          <w:szCs w:val="20"/>
        </w:rPr>
      </w:pPr>
    </w:p>
    <w:p w:rsidR="00E7201B" w:rsidRDefault="00E7201B" w:rsidP="00E7201B">
      <w:pPr>
        <w:rPr>
          <w:sz w:val="20"/>
          <w:szCs w:val="20"/>
        </w:rPr>
      </w:pPr>
    </w:p>
    <w:p w:rsidR="00342BCA" w:rsidRDefault="00342BCA" w:rsidP="00E7201B">
      <w:pPr>
        <w:rPr>
          <w:sz w:val="20"/>
          <w:szCs w:val="20"/>
        </w:rPr>
      </w:pPr>
    </w:p>
    <w:p w:rsidR="00342BCA" w:rsidRDefault="00342BCA" w:rsidP="00E7201B">
      <w:pPr>
        <w:rPr>
          <w:sz w:val="20"/>
          <w:szCs w:val="20"/>
        </w:rPr>
      </w:pPr>
    </w:p>
    <w:p w:rsidR="00342BCA" w:rsidRDefault="00502E90" w:rsidP="00E7201B">
      <w:pPr>
        <w:rPr>
          <w:sz w:val="20"/>
          <w:szCs w:val="20"/>
        </w:rPr>
      </w:pPr>
      <w:r>
        <w:rPr>
          <w:noProof/>
          <w:sz w:val="20"/>
          <w:szCs w:val="20"/>
        </w:rPr>
        <w:drawing>
          <wp:anchor distT="0" distB="0" distL="114300" distR="114300" simplePos="0" relativeHeight="251666432" behindDoc="0" locked="0" layoutInCell="1" allowOverlap="1" wp14:anchorId="7D65EE3B" wp14:editId="4A71446B">
            <wp:simplePos x="0" y="0"/>
            <wp:positionH relativeFrom="margin">
              <wp:posOffset>234315</wp:posOffset>
            </wp:positionH>
            <wp:positionV relativeFrom="margin">
              <wp:posOffset>5064125</wp:posOffset>
            </wp:positionV>
            <wp:extent cx="4848225" cy="2800350"/>
            <wp:effectExtent l="0" t="0" r="9525" b="19050"/>
            <wp:wrapSquare wrapText="bothSides"/>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p w:rsidR="00145AD6" w:rsidRDefault="00145AD6" w:rsidP="00E7201B">
      <w:pPr>
        <w:rPr>
          <w:sz w:val="20"/>
          <w:szCs w:val="20"/>
        </w:rPr>
      </w:pPr>
    </w:p>
    <w:p w:rsidR="00145AD6" w:rsidRDefault="00145AD6" w:rsidP="00E7201B">
      <w:pPr>
        <w:rPr>
          <w:sz w:val="20"/>
          <w:szCs w:val="20"/>
        </w:rPr>
      </w:pPr>
    </w:p>
    <w:p w:rsidR="00E7201B" w:rsidRDefault="00E7201B" w:rsidP="00E7201B">
      <w:pPr>
        <w:rPr>
          <w:sz w:val="20"/>
          <w:szCs w:val="20"/>
        </w:rPr>
      </w:pPr>
      <w:r>
        <w:rPr>
          <w:rFonts w:hint="eastAsia"/>
          <w:sz w:val="20"/>
          <w:szCs w:val="20"/>
        </w:rPr>
        <w:lastRenderedPageBreak/>
        <w:t>5</w:t>
      </w:r>
      <w:r w:rsidR="00BA4307">
        <w:rPr>
          <w:rFonts w:hint="eastAsia"/>
          <w:sz w:val="20"/>
          <w:szCs w:val="20"/>
        </w:rPr>
        <w:t xml:space="preserve">　為替・金利</w:t>
      </w:r>
    </w:p>
    <w:p w:rsidR="00BA4307" w:rsidRDefault="00BA4307" w:rsidP="00BA4307">
      <w:pPr>
        <w:pStyle w:val="ac"/>
        <w:numPr>
          <w:ilvl w:val="0"/>
          <w:numId w:val="1"/>
        </w:numPr>
        <w:ind w:leftChars="0"/>
        <w:rPr>
          <w:sz w:val="20"/>
          <w:szCs w:val="20"/>
        </w:rPr>
      </w:pPr>
      <w:r w:rsidRPr="00BA4307">
        <w:rPr>
          <w:rFonts w:hint="eastAsia"/>
          <w:sz w:val="20"/>
          <w:szCs w:val="20"/>
        </w:rPr>
        <w:t>為替レート</w:t>
      </w:r>
    </w:p>
    <w:p w:rsidR="007D197D" w:rsidRPr="00EF35F4" w:rsidRDefault="007D197D" w:rsidP="007D197D">
      <w:pPr>
        <w:rPr>
          <w:sz w:val="20"/>
          <w:szCs w:val="20"/>
        </w:rPr>
      </w:pPr>
      <w:r w:rsidRPr="00EF35F4">
        <w:rPr>
          <w:rFonts w:hint="eastAsia"/>
          <w:sz w:val="20"/>
          <w:szCs w:val="20"/>
        </w:rPr>
        <w:t>●対米ドル為替レート月末値</w:t>
      </w:r>
      <w:r w:rsidRPr="00EF35F4">
        <w:rPr>
          <w:rFonts w:hint="eastAsia"/>
          <w:sz w:val="20"/>
          <w:szCs w:val="20"/>
        </w:rPr>
        <w:t>(</w:t>
      </w:r>
      <w:r w:rsidRPr="00EF35F4">
        <w:rPr>
          <w:rFonts w:hint="eastAsia"/>
          <w:sz w:val="20"/>
          <w:szCs w:val="20"/>
        </w:rPr>
        <w:t>表</w:t>
      </w:r>
      <w:r w:rsidRPr="00EF35F4">
        <w:rPr>
          <w:rFonts w:hint="eastAsia"/>
          <w:sz w:val="20"/>
          <w:szCs w:val="20"/>
        </w:rPr>
        <w:t>10)</w:t>
      </w:r>
      <w:r w:rsidRPr="00EF35F4">
        <w:rPr>
          <w:rFonts w:hint="eastAsia"/>
          <w:sz w:val="20"/>
          <w:szCs w:val="20"/>
        </w:rPr>
        <w:t>は、</w:t>
      </w:r>
      <w:r w:rsidR="00696284" w:rsidRPr="00EF35F4">
        <w:rPr>
          <w:rFonts w:hint="eastAsia"/>
          <w:sz w:val="20"/>
          <w:szCs w:val="20"/>
        </w:rPr>
        <w:t>6</w:t>
      </w:r>
      <w:r w:rsidR="00696284" w:rsidRPr="00EF35F4">
        <w:rPr>
          <w:rFonts w:hint="eastAsia"/>
          <w:sz w:val="20"/>
          <w:szCs w:val="20"/>
        </w:rPr>
        <w:t>月</w:t>
      </w:r>
      <w:r w:rsidRPr="00EF35F4">
        <w:rPr>
          <w:rFonts w:hint="eastAsia"/>
          <w:sz w:val="20"/>
          <w:szCs w:val="20"/>
        </w:rPr>
        <w:t>以降</w:t>
      </w:r>
      <w:r w:rsidR="00EF35F4" w:rsidRPr="00EF35F4">
        <w:rPr>
          <w:rFonts w:hint="eastAsia"/>
          <w:sz w:val="20"/>
          <w:szCs w:val="20"/>
        </w:rPr>
        <w:t>1</w:t>
      </w:r>
      <w:r w:rsidR="00EF35F4" w:rsidRPr="00EF35F4">
        <w:rPr>
          <w:rFonts w:hint="eastAsia"/>
          <w:sz w:val="20"/>
          <w:szCs w:val="20"/>
        </w:rPr>
        <w:t>米ドル</w:t>
      </w:r>
      <w:r w:rsidR="00EF35F4" w:rsidRPr="00EF35F4">
        <w:rPr>
          <w:rFonts w:hint="eastAsia"/>
          <w:sz w:val="20"/>
          <w:szCs w:val="20"/>
        </w:rPr>
        <w:t>540</w:t>
      </w:r>
      <w:r w:rsidR="00EF35F4" w:rsidRPr="00EF35F4">
        <w:rPr>
          <w:rFonts w:hint="eastAsia"/>
          <w:sz w:val="20"/>
          <w:szCs w:val="20"/>
        </w:rPr>
        <w:t>コロン前後の</w:t>
      </w:r>
      <w:r w:rsidR="00696284" w:rsidRPr="00EF35F4">
        <w:rPr>
          <w:rFonts w:hint="eastAsia"/>
          <w:sz w:val="20"/>
          <w:szCs w:val="20"/>
        </w:rPr>
        <w:t>水準を</w:t>
      </w:r>
      <w:r w:rsidR="00EF35F4" w:rsidRPr="00EF35F4">
        <w:rPr>
          <w:rFonts w:hint="eastAsia"/>
          <w:sz w:val="20"/>
          <w:szCs w:val="20"/>
        </w:rPr>
        <w:t>ほぼ</w:t>
      </w:r>
      <w:r w:rsidR="00696284" w:rsidRPr="00EF35F4">
        <w:rPr>
          <w:rFonts w:hint="eastAsia"/>
          <w:sz w:val="20"/>
          <w:szCs w:val="20"/>
        </w:rPr>
        <w:t>維持し</w:t>
      </w:r>
      <w:r w:rsidRPr="00EF35F4">
        <w:rPr>
          <w:rFonts w:hint="eastAsia"/>
          <w:sz w:val="20"/>
          <w:szCs w:val="20"/>
        </w:rPr>
        <w:t>、</w:t>
      </w:r>
      <w:r w:rsidR="00EF35F4" w:rsidRPr="00EF35F4">
        <w:rPr>
          <w:rFonts w:hint="eastAsia"/>
          <w:sz w:val="20"/>
          <w:szCs w:val="20"/>
        </w:rPr>
        <w:t>9</w:t>
      </w:r>
      <w:r w:rsidRPr="00EF35F4">
        <w:rPr>
          <w:rFonts w:hint="eastAsia"/>
          <w:sz w:val="20"/>
          <w:szCs w:val="20"/>
        </w:rPr>
        <w:t>月</w:t>
      </w:r>
      <w:r w:rsidR="00EF35F4" w:rsidRPr="00EF35F4">
        <w:rPr>
          <w:rFonts w:hint="eastAsia"/>
          <w:sz w:val="20"/>
          <w:szCs w:val="20"/>
        </w:rPr>
        <w:t>末時点では</w:t>
      </w:r>
      <w:r w:rsidR="00EF35F4" w:rsidRPr="00EF35F4">
        <w:rPr>
          <w:rFonts w:hint="eastAsia"/>
          <w:sz w:val="20"/>
          <w:szCs w:val="20"/>
        </w:rPr>
        <w:t>541</w:t>
      </w:r>
      <w:r w:rsidR="00EF35F4" w:rsidRPr="00EF35F4">
        <w:rPr>
          <w:rFonts w:hint="eastAsia"/>
          <w:sz w:val="20"/>
          <w:szCs w:val="20"/>
        </w:rPr>
        <w:t>コロン</w:t>
      </w:r>
      <w:r w:rsidRPr="00EF35F4">
        <w:rPr>
          <w:rFonts w:hint="eastAsia"/>
          <w:sz w:val="20"/>
          <w:szCs w:val="20"/>
        </w:rPr>
        <w:t>、</w:t>
      </w:r>
      <w:r w:rsidR="00EF35F4" w:rsidRPr="00EF35F4">
        <w:rPr>
          <w:rFonts w:hint="eastAsia"/>
          <w:sz w:val="20"/>
          <w:szCs w:val="20"/>
        </w:rPr>
        <w:t>10</w:t>
      </w:r>
      <w:r w:rsidR="00EF35F4" w:rsidRPr="00EF35F4">
        <w:rPr>
          <w:rFonts w:hint="eastAsia"/>
          <w:sz w:val="20"/>
          <w:szCs w:val="20"/>
        </w:rPr>
        <w:t>月末時点では</w:t>
      </w:r>
      <w:r w:rsidR="00EF35F4" w:rsidRPr="00EF35F4">
        <w:rPr>
          <w:rFonts w:hint="eastAsia"/>
          <w:sz w:val="20"/>
          <w:szCs w:val="20"/>
        </w:rPr>
        <w:t>539</w:t>
      </w:r>
      <w:r w:rsidR="00EF35F4" w:rsidRPr="00EF35F4">
        <w:rPr>
          <w:rFonts w:hint="eastAsia"/>
          <w:sz w:val="20"/>
          <w:szCs w:val="20"/>
        </w:rPr>
        <w:t>コロンとなった。</w:t>
      </w:r>
    </w:p>
    <w:p w:rsidR="007D197D" w:rsidRPr="00EF35F4" w:rsidRDefault="007D197D" w:rsidP="007D197D">
      <w:pPr>
        <w:rPr>
          <w:sz w:val="20"/>
          <w:szCs w:val="20"/>
        </w:rPr>
      </w:pPr>
      <w:r w:rsidRPr="00EF35F4">
        <w:rPr>
          <w:rFonts w:hint="eastAsia"/>
          <w:sz w:val="20"/>
          <w:szCs w:val="20"/>
        </w:rPr>
        <w:t>●</w:t>
      </w:r>
      <w:r w:rsidR="00EF35F4" w:rsidRPr="00EF35F4">
        <w:rPr>
          <w:rFonts w:hint="eastAsia"/>
          <w:sz w:val="20"/>
          <w:szCs w:val="20"/>
        </w:rPr>
        <w:t>9</w:t>
      </w:r>
      <w:r w:rsidR="00EF35F4" w:rsidRPr="00EF35F4">
        <w:rPr>
          <w:rFonts w:hint="eastAsia"/>
          <w:sz w:val="20"/>
          <w:szCs w:val="20"/>
        </w:rPr>
        <w:t>月</w:t>
      </w:r>
      <w:r w:rsidR="00EF35F4" w:rsidRPr="00EF35F4">
        <w:rPr>
          <w:rFonts w:hint="eastAsia"/>
          <w:sz w:val="20"/>
          <w:szCs w:val="20"/>
        </w:rPr>
        <w:t>16</w:t>
      </w:r>
      <w:r w:rsidR="00EF35F4" w:rsidRPr="00EF35F4">
        <w:rPr>
          <w:rFonts w:hint="eastAsia"/>
          <w:sz w:val="20"/>
          <w:szCs w:val="20"/>
        </w:rPr>
        <w:t>日のムーディーズ社による</w:t>
      </w:r>
      <w:r w:rsidR="00EF35F4">
        <w:rPr>
          <w:rFonts w:hint="eastAsia"/>
          <w:sz w:val="20"/>
          <w:szCs w:val="20"/>
        </w:rPr>
        <w:t>コスタリカの</w:t>
      </w:r>
      <w:r w:rsidR="00EF35F4" w:rsidRPr="00EF35F4">
        <w:rPr>
          <w:rFonts w:hint="eastAsia"/>
          <w:sz w:val="20"/>
          <w:szCs w:val="20"/>
        </w:rPr>
        <w:t>格付けの引き下げ</w:t>
      </w:r>
      <w:r w:rsidR="00EC3C27">
        <w:rPr>
          <w:rFonts w:hint="eastAsia"/>
          <w:sz w:val="20"/>
          <w:szCs w:val="20"/>
        </w:rPr>
        <w:t>措置</w:t>
      </w:r>
      <w:r w:rsidR="00EF35F4" w:rsidRPr="00EF35F4">
        <w:rPr>
          <w:rFonts w:hint="eastAsia"/>
          <w:sz w:val="20"/>
          <w:szCs w:val="20"/>
        </w:rPr>
        <w:t>は、以前から予測されていたものであ</w:t>
      </w:r>
      <w:r w:rsidR="00EC3C27">
        <w:rPr>
          <w:rFonts w:hint="eastAsia"/>
          <w:sz w:val="20"/>
          <w:szCs w:val="20"/>
        </w:rPr>
        <w:t>り、為替市場はそれを織り込</w:t>
      </w:r>
      <w:r w:rsidR="00E16C0C">
        <w:rPr>
          <w:rFonts w:hint="eastAsia"/>
          <w:sz w:val="20"/>
          <w:szCs w:val="20"/>
        </w:rPr>
        <w:t>んだうえで対応し</w:t>
      </w:r>
      <w:r w:rsidR="00EF35F4" w:rsidRPr="00EF35F4">
        <w:rPr>
          <w:rFonts w:hint="eastAsia"/>
          <w:sz w:val="20"/>
          <w:szCs w:val="20"/>
        </w:rPr>
        <w:t>ていたため</w:t>
      </w:r>
      <w:r w:rsidR="00EC3C27">
        <w:rPr>
          <w:rFonts w:hint="eastAsia"/>
          <w:sz w:val="20"/>
          <w:szCs w:val="20"/>
        </w:rPr>
        <w:t>、</w:t>
      </w:r>
      <w:r w:rsidR="00EF35F4">
        <w:rPr>
          <w:rFonts w:hint="eastAsia"/>
          <w:sz w:val="20"/>
          <w:szCs w:val="20"/>
        </w:rPr>
        <w:t>今回の同社の</w:t>
      </w:r>
      <w:r w:rsidR="00EF35F4" w:rsidRPr="00EF35F4">
        <w:rPr>
          <w:rFonts w:hint="eastAsia"/>
          <w:sz w:val="20"/>
          <w:szCs w:val="20"/>
        </w:rPr>
        <w:t>発表後に急激なコロン安は見られなかった。</w:t>
      </w:r>
    </w:p>
    <w:p w:rsidR="00EF35F4" w:rsidRPr="00DB2A0A" w:rsidRDefault="00EF35F4" w:rsidP="007D197D">
      <w:pPr>
        <w:rPr>
          <w:sz w:val="20"/>
          <w:szCs w:val="20"/>
        </w:rPr>
      </w:pPr>
      <w:r w:rsidRPr="00DB2A0A">
        <w:rPr>
          <w:rFonts w:hint="eastAsia"/>
          <w:sz w:val="20"/>
          <w:szCs w:val="20"/>
        </w:rPr>
        <w:t>●政府による為替介入</w:t>
      </w:r>
      <w:r w:rsidR="00DC3233" w:rsidRPr="00DB2A0A">
        <w:rPr>
          <w:rFonts w:hint="eastAsia"/>
          <w:sz w:val="20"/>
          <w:szCs w:val="20"/>
        </w:rPr>
        <w:t>に用いられた外貨額</w:t>
      </w:r>
      <w:r w:rsidRPr="00DB2A0A">
        <w:rPr>
          <w:rFonts w:hint="eastAsia"/>
          <w:sz w:val="20"/>
          <w:szCs w:val="20"/>
        </w:rPr>
        <w:t>も</w:t>
      </w:r>
      <w:r w:rsidR="00DB2A0A" w:rsidRPr="00DB2A0A">
        <w:rPr>
          <w:rFonts w:hint="eastAsia"/>
          <w:sz w:val="20"/>
          <w:szCs w:val="20"/>
        </w:rPr>
        <w:t>、</w:t>
      </w:r>
      <w:r w:rsidR="00DC3233" w:rsidRPr="00DB2A0A">
        <w:rPr>
          <w:rFonts w:hint="eastAsia"/>
          <w:sz w:val="20"/>
          <w:szCs w:val="20"/>
        </w:rPr>
        <w:t>9-10</w:t>
      </w:r>
      <w:r w:rsidR="00DC3233" w:rsidRPr="00DB2A0A">
        <w:rPr>
          <w:rFonts w:hint="eastAsia"/>
          <w:sz w:val="20"/>
          <w:szCs w:val="20"/>
        </w:rPr>
        <w:t>月</w:t>
      </w:r>
      <w:r w:rsidR="00DB2A0A" w:rsidRPr="00DB2A0A">
        <w:rPr>
          <w:rFonts w:hint="eastAsia"/>
          <w:sz w:val="20"/>
          <w:szCs w:val="20"/>
        </w:rPr>
        <w:t>の二ヶ月間は</w:t>
      </w:r>
      <w:r w:rsidR="00DC3233" w:rsidRPr="00DB2A0A">
        <w:rPr>
          <w:rFonts w:hint="eastAsia"/>
          <w:sz w:val="20"/>
          <w:szCs w:val="20"/>
        </w:rPr>
        <w:t>約</w:t>
      </w:r>
      <w:r w:rsidR="00DC3233" w:rsidRPr="00DB2A0A">
        <w:rPr>
          <w:rFonts w:hint="eastAsia"/>
          <w:sz w:val="20"/>
          <w:szCs w:val="20"/>
        </w:rPr>
        <w:t>450</w:t>
      </w:r>
      <w:r w:rsidR="00DC3233" w:rsidRPr="00DB2A0A">
        <w:rPr>
          <w:rFonts w:hint="eastAsia"/>
          <w:sz w:val="20"/>
          <w:szCs w:val="20"/>
        </w:rPr>
        <w:t>万ドル</w:t>
      </w:r>
      <w:r w:rsidR="00DB2A0A" w:rsidRPr="00DB2A0A">
        <w:rPr>
          <w:rFonts w:hint="eastAsia"/>
          <w:sz w:val="20"/>
          <w:szCs w:val="20"/>
        </w:rPr>
        <w:t>(</w:t>
      </w:r>
      <w:r w:rsidR="00DB2A0A" w:rsidRPr="00DB2A0A">
        <w:rPr>
          <w:rFonts w:hint="eastAsia"/>
          <w:sz w:val="20"/>
          <w:szCs w:val="20"/>
        </w:rPr>
        <w:t>ドル買い介入</w:t>
      </w:r>
      <w:r w:rsidR="00DB2A0A" w:rsidRPr="00DB2A0A">
        <w:rPr>
          <w:rFonts w:hint="eastAsia"/>
          <w:sz w:val="20"/>
          <w:szCs w:val="20"/>
        </w:rPr>
        <w:t>)</w:t>
      </w:r>
      <w:r w:rsidR="00DC3233" w:rsidRPr="00DB2A0A">
        <w:rPr>
          <w:rFonts w:hint="eastAsia"/>
          <w:sz w:val="20"/>
          <w:szCs w:val="20"/>
        </w:rPr>
        <w:t>にとどまり、最も為替変動の激しかった</w:t>
      </w:r>
      <w:r w:rsidR="00DC3233" w:rsidRPr="00DB2A0A">
        <w:rPr>
          <w:rFonts w:hint="eastAsia"/>
          <w:sz w:val="20"/>
          <w:szCs w:val="20"/>
        </w:rPr>
        <w:t>4</w:t>
      </w:r>
      <w:r w:rsidR="00DC3233" w:rsidRPr="00DB2A0A">
        <w:rPr>
          <w:rFonts w:hint="eastAsia"/>
          <w:sz w:val="20"/>
          <w:szCs w:val="20"/>
        </w:rPr>
        <w:t>月</w:t>
      </w:r>
      <w:r w:rsidR="003B03E2">
        <w:rPr>
          <w:rFonts w:hint="eastAsia"/>
          <w:sz w:val="20"/>
          <w:szCs w:val="20"/>
        </w:rPr>
        <w:t>には</w:t>
      </w:r>
      <w:r w:rsidR="00DC3233" w:rsidRPr="00DB2A0A">
        <w:rPr>
          <w:rFonts w:hint="eastAsia"/>
          <w:sz w:val="20"/>
          <w:szCs w:val="20"/>
        </w:rPr>
        <w:t>一ヶ月間で約</w:t>
      </w:r>
      <w:r w:rsidR="00DC3233" w:rsidRPr="00DB2A0A">
        <w:rPr>
          <w:rFonts w:hint="eastAsia"/>
          <w:sz w:val="20"/>
          <w:szCs w:val="20"/>
        </w:rPr>
        <w:t>5</w:t>
      </w:r>
      <w:r w:rsidR="00DC3233" w:rsidRPr="00DB2A0A">
        <w:rPr>
          <w:rFonts w:hint="eastAsia"/>
          <w:sz w:val="20"/>
          <w:szCs w:val="20"/>
        </w:rPr>
        <w:t>千万ドル</w:t>
      </w:r>
      <w:r w:rsidR="00DB2A0A" w:rsidRPr="00DB2A0A">
        <w:rPr>
          <w:rFonts w:hint="eastAsia"/>
          <w:sz w:val="20"/>
          <w:szCs w:val="20"/>
        </w:rPr>
        <w:t>(</w:t>
      </w:r>
      <w:r w:rsidR="00DB2A0A" w:rsidRPr="00DB2A0A">
        <w:rPr>
          <w:rFonts w:hint="eastAsia"/>
          <w:sz w:val="20"/>
          <w:szCs w:val="20"/>
        </w:rPr>
        <w:t>ドル売り介入</w:t>
      </w:r>
      <w:r w:rsidR="00DB2A0A" w:rsidRPr="00DB2A0A">
        <w:rPr>
          <w:rFonts w:hint="eastAsia"/>
          <w:sz w:val="20"/>
          <w:szCs w:val="20"/>
        </w:rPr>
        <w:t>)</w:t>
      </w:r>
      <w:r w:rsidR="0054709C">
        <w:rPr>
          <w:rFonts w:hint="eastAsia"/>
          <w:sz w:val="20"/>
          <w:szCs w:val="20"/>
        </w:rPr>
        <w:t>が必要だったことからも、為替</w:t>
      </w:r>
      <w:r w:rsidR="00DC3233" w:rsidRPr="00DB2A0A">
        <w:rPr>
          <w:rFonts w:hint="eastAsia"/>
          <w:sz w:val="20"/>
          <w:szCs w:val="20"/>
        </w:rPr>
        <w:t>安定化傾向が</w:t>
      </w:r>
      <w:r w:rsidR="004B0667">
        <w:rPr>
          <w:rFonts w:hint="eastAsia"/>
          <w:sz w:val="20"/>
          <w:szCs w:val="20"/>
        </w:rPr>
        <w:t>窺える</w:t>
      </w:r>
      <w:r w:rsidR="00DC3233" w:rsidRPr="00DB2A0A">
        <w:rPr>
          <w:rFonts w:hint="eastAsia"/>
          <w:sz w:val="20"/>
          <w:szCs w:val="20"/>
        </w:rPr>
        <w:t>。</w:t>
      </w:r>
    </w:p>
    <w:p w:rsidR="00596171" w:rsidRPr="00DB2A0A" w:rsidRDefault="00596171" w:rsidP="007D197D">
      <w:pPr>
        <w:rPr>
          <w:sz w:val="20"/>
          <w:szCs w:val="20"/>
        </w:rPr>
      </w:pPr>
    </w:p>
    <w:p w:rsidR="00596171" w:rsidRPr="007D197D" w:rsidRDefault="00596171" w:rsidP="007D197D">
      <w:pPr>
        <w:rPr>
          <w:color w:val="FF0000"/>
          <w:sz w:val="20"/>
          <w:szCs w:val="20"/>
        </w:rPr>
      </w:pPr>
    </w:p>
    <w:p w:rsidR="00BA4307" w:rsidRDefault="00BA4307" w:rsidP="00BA4307">
      <w:pPr>
        <w:pStyle w:val="ac"/>
        <w:ind w:leftChars="0" w:left="360"/>
        <w:rPr>
          <w:sz w:val="20"/>
          <w:szCs w:val="20"/>
        </w:rPr>
      </w:pPr>
      <w:r w:rsidRPr="00BA4307">
        <w:rPr>
          <w:noProof/>
          <w:sz w:val="20"/>
          <w:szCs w:val="20"/>
        </w:rPr>
        <w:drawing>
          <wp:anchor distT="0" distB="0" distL="114300" distR="114300" simplePos="0" relativeHeight="251664384" behindDoc="0" locked="0" layoutInCell="1" allowOverlap="1" wp14:anchorId="039167C3" wp14:editId="7C4657D6">
            <wp:simplePos x="0" y="0"/>
            <wp:positionH relativeFrom="margin">
              <wp:align>center</wp:align>
            </wp:positionH>
            <wp:positionV relativeFrom="margin">
              <wp:align>center</wp:align>
            </wp:positionV>
            <wp:extent cx="4600575" cy="3028950"/>
            <wp:effectExtent l="0" t="0" r="9525" b="19050"/>
            <wp:wrapSquare wrapText="bothSides"/>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696284">
        <w:rPr>
          <w:sz w:val="20"/>
          <w:szCs w:val="20"/>
        </w:rPr>
        <w:br w:type="textWrapping" w:clear="all"/>
      </w:r>
    </w:p>
    <w:p w:rsidR="00596171" w:rsidRDefault="00596171" w:rsidP="00BA4307">
      <w:pPr>
        <w:pStyle w:val="ac"/>
        <w:ind w:leftChars="0" w:left="360"/>
        <w:rPr>
          <w:sz w:val="20"/>
          <w:szCs w:val="20"/>
        </w:rPr>
      </w:pPr>
    </w:p>
    <w:p w:rsidR="00596171" w:rsidRDefault="00596171" w:rsidP="00BA4307">
      <w:pPr>
        <w:pStyle w:val="ac"/>
        <w:ind w:leftChars="0" w:left="360"/>
        <w:rPr>
          <w:sz w:val="20"/>
          <w:szCs w:val="20"/>
        </w:rPr>
      </w:pPr>
    </w:p>
    <w:p w:rsidR="00596171" w:rsidRDefault="00596171" w:rsidP="00BA4307">
      <w:pPr>
        <w:pStyle w:val="ac"/>
        <w:ind w:leftChars="0" w:left="360"/>
        <w:rPr>
          <w:sz w:val="20"/>
          <w:szCs w:val="20"/>
        </w:rPr>
      </w:pPr>
    </w:p>
    <w:p w:rsidR="00596171" w:rsidRDefault="00596171" w:rsidP="00BA4307">
      <w:pPr>
        <w:pStyle w:val="ac"/>
        <w:ind w:leftChars="0" w:left="360"/>
        <w:rPr>
          <w:sz w:val="20"/>
          <w:szCs w:val="20"/>
        </w:rPr>
      </w:pPr>
    </w:p>
    <w:p w:rsidR="00596171" w:rsidRDefault="00596171" w:rsidP="00BA4307">
      <w:pPr>
        <w:pStyle w:val="ac"/>
        <w:ind w:leftChars="0" w:left="360"/>
        <w:rPr>
          <w:sz w:val="20"/>
          <w:szCs w:val="20"/>
        </w:rPr>
      </w:pPr>
    </w:p>
    <w:p w:rsidR="00596171" w:rsidRDefault="00596171" w:rsidP="00BA4307">
      <w:pPr>
        <w:pStyle w:val="ac"/>
        <w:ind w:leftChars="0" w:left="360"/>
        <w:rPr>
          <w:sz w:val="20"/>
          <w:szCs w:val="20"/>
        </w:rPr>
      </w:pPr>
    </w:p>
    <w:p w:rsidR="00596171" w:rsidRDefault="00596171" w:rsidP="00BA4307">
      <w:pPr>
        <w:pStyle w:val="ac"/>
        <w:ind w:leftChars="0" w:left="360"/>
        <w:rPr>
          <w:sz w:val="20"/>
          <w:szCs w:val="20"/>
        </w:rPr>
      </w:pPr>
    </w:p>
    <w:p w:rsidR="00596171" w:rsidRDefault="00596171" w:rsidP="00BA4307">
      <w:pPr>
        <w:pStyle w:val="ac"/>
        <w:ind w:leftChars="0" w:left="360"/>
        <w:rPr>
          <w:sz w:val="20"/>
          <w:szCs w:val="20"/>
        </w:rPr>
      </w:pPr>
    </w:p>
    <w:p w:rsidR="00596171" w:rsidRDefault="00596171" w:rsidP="00BA4307">
      <w:pPr>
        <w:pStyle w:val="ac"/>
        <w:ind w:leftChars="0" w:left="360"/>
        <w:rPr>
          <w:sz w:val="20"/>
          <w:szCs w:val="20"/>
        </w:rPr>
      </w:pPr>
    </w:p>
    <w:p w:rsidR="00596171" w:rsidRDefault="00596171" w:rsidP="00BA4307">
      <w:pPr>
        <w:pStyle w:val="ac"/>
        <w:ind w:leftChars="0" w:left="360"/>
        <w:rPr>
          <w:sz w:val="20"/>
          <w:szCs w:val="20"/>
        </w:rPr>
      </w:pPr>
    </w:p>
    <w:p w:rsidR="00BA4307" w:rsidRDefault="00BA4307" w:rsidP="00BA4307">
      <w:pPr>
        <w:pStyle w:val="ac"/>
        <w:numPr>
          <w:ilvl w:val="0"/>
          <w:numId w:val="1"/>
        </w:numPr>
        <w:ind w:leftChars="0"/>
        <w:rPr>
          <w:sz w:val="20"/>
          <w:szCs w:val="20"/>
        </w:rPr>
      </w:pPr>
      <w:r>
        <w:rPr>
          <w:rFonts w:hint="eastAsia"/>
          <w:sz w:val="20"/>
          <w:szCs w:val="20"/>
        </w:rPr>
        <w:lastRenderedPageBreak/>
        <w:t>金利</w:t>
      </w:r>
    </w:p>
    <w:p w:rsidR="00EA6C73" w:rsidRPr="0026655D" w:rsidRDefault="00EA6C73" w:rsidP="00EA6C73">
      <w:pPr>
        <w:rPr>
          <w:rFonts w:ascii="Century" w:eastAsia="ＭＳ 明朝" w:hAnsi="Century" w:cs="Times New Roman"/>
          <w:sz w:val="20"/>
          <w:szCs w:val="20"/>
        </w:rPr>
      </w:pPr>
      <w:r w:rsidRPr="0026655D">
        <w:rPr>
          <w:rFonts w:ascii="Century" w:eastAsia="ＭＳ 明朝" w:hAnsi="Century" w:cs="Times New Roman" w:hint="eastAsia"/>
          <w:sz w:val="20"/>
          <w:szCs w:val="20"/>
        </w:rPr>
        <w:t>●</w:t>
      </w:r>
      <w:r w:rsidR="0026655D" w:rsidRPr="0026655D">
        <w:rPr>
          <w:rFonts w:ascii="Century" w:eastAsia="ＭＳ 明朝" w:hAnsi="Century" w:cs="Times New Roman" w:hint="eastAsia"/>
          <w:sz w:val="20"/>
          <w:szCs w:val="20"/>
        </w:rPr>
        <w:t>9</w:t>
      </w:r>
      <w:r w:rsidRPr="0026655D">
        <w:rPr>
          <w:rFonts w:ascii="Century" w:eastAsia="ＭＳ 明朝" w:hAnsi="Century" w:cs="Times New Roman" w:hint="eastAsia"/>
          <w:sz w:val="20"/>
          <w:szCs w:val="20"/>
        </w:rPr>
        <w:t>月・</w:t>
      </w:r>
      <w:r w:rsidR="0026655D" w:rsidRPr="0026655D">
        <w:rPr>
          <w:rFonts w:ascii="Century" w:eastAsia="ＭＳ 明朝" w:hAnsi="Century" w:cs="Times New Roman" w:hint="eastAsia"/>
          <w:sz w:val="20"/>
          <w:szCs w:val="20"/>
        </w:rPr>
        <w:t>10</w:t>
      </w:r>
      <w:r w:rsidRPr="0026655D">
        <w:rPr>
          <w:rFonts w:ascii="Century" w:eastAsia="ＭＳ 明朝" w:hAnsi="Century" w:cs="Times New Roman" w:hint="eastAsia"/>
          <w:sz w:val="20"/>
          <w:szCs w:val="20"/>
        </w:rPr>
        <w:t>月の月末時点での基本預金金利</w:t>
      </w:r>
      <w:r w:rsidRPr="0026655D">
        <w:rPr>
          <w:rFonts w:ascii="Century" w:eastAsia="ＭＳ 明朝" w:hAnsi="Century" w:cs="Times New Roman"/>
          <w:sz w:val="20"/>
          <w:szCs w:val="20"/>
        </w:rPr>
        <w:t>(</w:t>
      </w:r>
      <w:r w:rsidRPr="0026655D">
        <w:rPr>
          <w:rFonts w:ascii="Century" w:eastAsia="ＭＳ 明朝" w:hAnsi="Century" w:cs="Times New Roman" w:hint="eastAsia"/>
          <w:sz w:val="20"/>
          <w:szCs w:val="20"/>
        </w:rPr>
        <w:t>表</w:t>
      </w:r>
      <w:r w:rsidRPr="0026655D">
        <w:rPr>
          <w:rFonts w:ascii="Century" w:eastAsia="ＭＳ 明朝" w:hAnsi="Century" w:cs="Times New Roman" w:hint="eastAsia"/>
          <w:sz w:val="20"/>
          <w:szCs w:val="20"/>
        </w:rPr>
        <w:t>11</w:t>
      </w:r>
      <w:r w:rsidRPr="0026655D">
        <w:rPr>
          <w:rFonts w:ascii="Century" w:eastAsia="ＭＳ 明朝" w:hAnsi="Century" w:cs="Times New Roman"/>
          <w:sz w:val="20"/>
          <w:szCs w:val="20"/>
        </w:rPr>
        <w:t>)</w:t>
      </w:r>
      <w:r w:rsidRPr="0026655D">
        <w:rPr>
          <w:rFonts w:ascii="Century" w:eastAsia="ＭＳ 明朝" w:hAnsi="Century" w:cs="Times New Roman" w:hint="eastAsia"/>
          <w:sz w:val="20"/>
          <w:szCs w:val="20"/>
        </w:rPr>
        <w:t>は、それぞれ</w:t>
      </w:r>
      <w:r w:rsidR="0026655D" w:rsidRPr="0026655D">
        <w:rPr>
          <w:rFonts w:ascii="Century" w:eastAsia="ＭＳ 明朝" w:hAnsi="Century" w:cs="Times New Roman" w:hint="eastAsia"/>
          <w:sz w:val="20"/>
          <w:szCs w:val="20"/>
        </w:rPr>
        <w:t>7.15</w:t>
      </w:r>
      <w:r w:rsidRPr="0026655D">
        <w:rPr>
          <w:rFonts w:ascii="Century" w:eastAsia="ＭＳ 明朝" w:hAnsi="Century" w:cs="Times New Roman" w:hint="eastAsia"/>
          <w:sz w:val="20"/>
          <w:szCs w:val="20"/>
        </w:rPr>
        <w:t>％、</w:t>
      </w:r>
      <w:r w:rsidR="0026655D" w:rsidRPr="0026655D">
        <w:rPr>
          <w:rFonts w:ascii="Century" w:eastAsia="ＭＳ 明朝" w:hAnsi="Century" w:cs="Times New Roman" w:hint="eastAsia"/>
          <w:sz w:val="20"/>
          <w:szCs w:val="20"/>
        </w:rPr>
        <w:t>7.20</w:t>
      </w:r>
      <w:r w:rsidRPr="0026655D">
        <w:rPr>
          <w:rFonts w:ascii="Century" w:eastAsia="ＭＳ 明朝" w:hAnsi="Century" w:cs="Times New Roman" w:hint="eastAsia"/>
          <w:sz w:val="20"/>
          <w:szCs w:val="20"/>
        </w:rPr>
        <w:t>％となった。</w:t>
      </w:r>
    </w:p>
    <w:p w:rsidR="00EC3C27" w:rsidRDefault="00EA6C73" w:rsidP="00EA6C73">
      <w:pPr>
        <w:jc w:val="left"/>
        <w:rPr>
          <w:rFonts w:ascii="Century" w:eastAsia="ＭＳ 明朝" w:hAnsi="Century" w:cs="Times New Roman"/>
          <w:sz w:val="20"/>
          <w:szCs w:val="20"/>
        </w:rPr>
      </w:pPr>
      <w:r w:rsidRPr="0026655D">
        <w:rPr>
          <w:rFonts w:ascii="Century" w:eastAsia="ＭＳ 明朝" w:hAnsi="Century" w:cs="Times New Roman" w:hint="eastAsia"/>
          <w:sz w:val="20"/>
          <w:szCs w:val="20"/>
        </w:rPr>
        <w:t>●</w:t>
      </w:r>
      <w:r w:rsidR="0026655D" w:rsidRPr="0026655D">
        <w:rPr>
          <w:rFonts w:ascii="Century" w:eastAsia="ＭＳ 明朝" w:hAnsi="Century" w:cs="Times New Roman" w:hint="eastAsia"/>
          <w:sz w:val="20"/>
          <w:szCs w:val="20"/>
        </w:rPr>
        <w:t>引き続きみられた</w:t>
      </w:r>
      <w:r w:rsidRPr="0026655D">
        <w:rPr>
          <w:rFonts w:ascii="Century" w:eastAsia="ＭＳ 明朝" w:hAnsi="Century" w:cs="Times New Roman" w:hint="eastAsia"/>
          <w:sz w:val="20"/>
          <w:szCs w:val="20"/>
        </w:rPr>
        <w:t>段階的な基本預金金利上昇は、インフレ率上昇</w:t>
      </w:r>
      <w:r w:rsidR="0026655D" w:rsidRPr="0026655D">
        <w:rPr>
          <w:rFonts w:ascii="Century" w:eastAsia="ＭＳ 明朝" w:hAnsi="Century" w:cs="Times New Roman" w:hint="eastAsia"/>
          <w:sz w:val="20"/>
          <w:szCs w:val="20"/>
        </w:rPr>
        <w:t>にともなう</w:t>
      </w:r>
      <w:r w:rsidRPr="0026655D">
        <w:rPr>
          <w:rFonts w:ascii="Century" w:eastAsia="ＭＳ 明朝" w:hAnsi="Century" w:cs="Times New Roman" w:hint="eastAsia"/>
          <w:sz w:val="20"/>
          <w:szCs w:val="20"/>
        </w:rPr>
        <w:t>実質預金金利の低下に</w:t>
      </w:r>
      <w:r w:rsidR="0026655D" w:rsidRPr="0026655D">
        <w:rPr>
          <w:rFonts w:ascii="Century" w:eastAsia="ＭＳ 明朝" w:hAnsi="Century" w:cs="Times New Roman" w:hint="eastAsia"/>
          <w:sz w:val="20"/>
          <w:szCs w:val="20"/>
        </w:rPr>
        <w:t>よって、銀行における</w:t>
      </w:r>
      <w:r w:rsidR="00B222E5">
        <w:rPr>
          <w:rFonts w:ascii="Century" w:eastAsia="ＭＳ 明朝" w:hAnsi="Century" w:cs="Times New Roman" w:hint="eastAsia"/>
          <w:sz w:val="20"/>
          <w:szCs w:val="20"/>
        </w:rPr>
        <w:t>預金残高</w:t>
      </w:r>
      <w:r w:rsidRPr="0026655D">
        <w:rPr>
          <w:rFonts w:ascii="Century" w:eastAsia="ＭＳ 明朝" w:hAnsi="Century" w:cs="Times New Roman" w:hint="eastAsia"/>
          <w:sz w:val="20"/>
          <w:szCs w:val="20"/>
        </w:rPr>
        <w:t>減少を回避するための措置である。</w:t>
      </w:r>
      <w:r w:rsidR="0026655D" w:rsidRPr="0026655D">
        <w:rPr>
          <w:rFonts w:ascii="Century" w:eastAsia="ＭＳ 明朝" w:hAnsi="Century" w:cs="Times New Roman" w:hint="eastAsia"/>
          <w:sz w:val="20"/>
          <w:szCs w:val="20"/>
        </w:rPr>
        <w:t>ただし、</w:t>
      </w:r>
      <w:r w:rsidR="00EC3C27">
        <w:rPr>
          <w:rFonts w:ascii="Century" w:eastAsia="ＭＳ 明朝" w:hAnsi="Century" w:cs="Times New Roman" w:hint="eastAsia"/>
          <w:sz w:val="20"/>
          <w:szCs w:val="20"/>
        </w:rPr>
        <w:t>2014</w:t>
      </w:r>
      <w:r w:rsidR="0026655D" w:rsidRPr="0026655D">
        <w:rPr>
          <w:rFonts w:ascii="Century" w:eastAsia="ＭＳ 明朝" w:hAnsi="Century" w:cs="Times New Roman" w:hint="eastAsia"/>
          <w:sz w:val="20"/>
          <w:szCs w:val="20"/>
        </w:rPr>
        <w:t>年始以降</w:t>
      </w:r>
      <w:r w:rsidR="00EC3C27">
        <w:rPr>
          <w:rFonts w:ascii="Century" w:eastAsia="ＭＳ 明朝" w:hAnsi="Century" w:cs="Times New Roman" w:hint="eastAsia"/>
          <w:sz w:val="20"/>
          <w:szCs w:val="20"/>
        </w:rPr>
        <w:t>の</w:t>
      </w:r>
      <w:r w:rsidR="0026655D" w:rsidRPr="0026655D">
        <w:rPr>
          <w:rFonts w:ascii="Century" w:eastAsia="ＭＳ 明朝" w:hAnsi="Century" w:cs="Times New Roman" w:hint="eastAsia"/>
          <w:sz w:val="20"/>
          <w:szCs w:val="20"/>
        </w:rPr>
        <w:t>急速なインフレ</w:t>
      </w:r>
      <w:r w:rsidR="00EC3C27">
        <w:rPr>
          <w:rFonts w:ascii="Century" w:eastAsia="ＭＳ 明朝" w:hAnsi="Century" w:cs="Times New Roman" w:hint="eastAsia"/>
          <w:sz w:val="20"/>
          <w:szCs w:val="20"/>
        </w:rPr>
        <w:t>状況</w:t>
      </w:r>
      <w:r w:rsidR="0026655D" w:rsidRPr="0026655D">
        <w:rPr>
          <w:rFonts w:ascii="Century" w:eastAsia="ＭＳ 明朝" w:hAnsi="Century" w:cs="Times New Roman" w:hint="eastAsia"/>
          <w:sz w:val="20"/>
          <w:szCs w:val="20"/>
        </w:rPr>
        <w:t>に一定の収束が見られているため、近</w:t>
      </w:r>
      <w:r w:rsidR="00EC3C27">
        <w:rPr>
          <w:rFonts w:ascii="Century" w:eastAsia="ＭＳ 明朝" w:hAnsi="Century" w:cs="Times New Roman" w:hint="eastAsia"/>
          <w:sz w:val="20"/>
          <w:szCs w:val="20"/>
        </w:rPr>
        <w:t>いうちに同金利の上げ止めの</w:t>
      </w:r>
      <w:r w:rsidR="0026655D" w:rsidRPr="0026655D">
        <w:rPr>
          <w:rFonts w:ascii="Century" w:eastAsia="ＭＳ 明朝" w:hAnsi="Century" w:cs="Times New Roman" w:hint="eastAsia"/>
          <w:sz w:val="20"/>
          <w:szCs w:val="20"/>
        </w:rPr>
        <w:t>可能性がある。</w:t>
      </w:r>
    </w:p>
    <w:p w:rsidR="0002227F" w:rsidRPr="0002227F" w:rsidRDefault="0002227F" w:rsidP="00EA6C73">
      <w:pPr>
        <w:jc w:val="left"/>
        <w:rPr>
          <w:rFonts w:ascii="Century" w:eastAsia="ＭＳ 明朝" w:hAnsi="Century" w:cs="Times New Roman"/>
          <w:sz w:val="20"/>
          <w:szCs w:val="20"/>
        </w:rPr>
      </w:pPr>
      <w:r w:rsidRPr="0002227F">
        <w:rPr>
          <w:rFonts w:ascii="Century" w:eastAsia="ＭＳ 明朝" w:hAnsi="Century" w:cs="Times New Roman" w:hint="eastAsia"/>
          <w:sz w:val="20"/>
          <w:szCs w:val="20"/>
        </w:rPr>
        <w:t>●</w:t>
      </w:r>
      <w:r w:rsidR="009C7F36">
        <w:rPr>
          <w:rFonts w:ascii="Century" w:eastAsia="ＭＳ 明朝" w:hAnsi="Century" w:cs="Times New Roman" w:hint="eastAsia"/>
          <w:sz w:val="20"/>
          <w:szCs w:val="20"/>
        </w:rPr>
        <w:t>ドル建ての貸付金利について、</w:t>
      </w:r>
      <w:r w:rsidRPr="0002227F">
        <w:rPr>
          <w:rFonts w:ascii="Century" w:eastAsia="ＭＳ 明朝" w:hAnsi="Century" w:cs="Times New Roman" w:hint="eastAsia"/>
          <w:sz w:val="20"/>
          <w:szCs w:val="20"/>
        </w:rPr>
        <w:t>国立銀行の金利は、</w:t>
      </w:r>
      <w:r w:rsidR="00EA6C73" w:rsidRPr="0002227F">
        <w:rPr>
          <w:rFonts w:ascii="Century" w:eastAsia="ＭＳ 明朝" w:hAnsi="Century" w:cs="Times New Roman" w:hint="eastAsia"/>
          <w:sz w:val="20"/>
          <w:szCs w:val="20"/>
        </w:rPr>
        <w:t>7</w:t>
      </w:r>
      <w:r w:rsidR="00EA6C73" w:rsidRPr="0002227F">
        <w:rPr>
          <w:rFonts w:ascii="Century" w:eastAsia="ＭＳ 明朝" w:hAnsi="Century" w:cs="Times New Roman" w:hint="eastAsia"/>
          <w:sz w:val="20"/>
          <w:szCs w:val="20"/>
        </w:rPr>
        <w:t>月末時点</w:t>
      </w:r>
      <w:r w:rsidR="00EA6C73" w:rsidRPr="0002227F">
        <w:rPr>
          <w:rFonts w:ascii="Century" w:eastAsia="ＭＳ 明朝" w:hAnsi="Century" w:cs="Times New Roman" w:hint="eastAsia"/>
          <w:sz w:val="20"/>
          <w:szCs w:val="20"/>
        </w:rPr>
        <w:t>(11.26</w:t>
      </w:r>
      <w:r w:rsidR="00EA6C73" w:rsidRPr="0002227F">
        <w:rPr>
          <w:rFonts w:ascii="Century" w:eastAsia="ＭＳ 明朝" w:hAnsi="Century" w:cs="Times New Roman" w:hint="eastAsia"/>
          <w:sz w:val="20"/>
          <w:szCs w:val="20"/>
        </w:rPr>
        <w:t>％</w:t>
      </w:r>
      <w:r w:rsidR="00EA6C73" w:rsidRPr="0002227F">
        <w:rPr>
          <w:rFonts w:ascii="Century" w:eastAsia="ＭＳ 明朝" w:hAnsi="Century" w:cs="Times New Roman" w:hint="eastAsia"/>
          <w:sz w:val="20"/>
          <w:szCs w:val="20"/>
        </w:rPr>
        <w:t>)</w:t>
      </w:r>
      <w:r w:rsidR="00EA6C73" w:rsidRPr="0002227F">
        <w:rPr>
          <w:rFonts w:ascii="Century" w:eastAsia="ＭＳ 明朝" w:hAnsi="Century" w:cs="Times New Roman" w:hint="eastAsia"/>
          <w:sz w:val="20"/>
          <w:szCs w:val="20"/>
        </w:rPr>
        <w:t>でピークを迎え、</w:t>
      </w:r>
      <w:r w:rsidRPr="0002227F">
        <w:rPr>
          <w:rFonts w:ascii="Century" w:eastAsia="ＭＳ 明朝" w:hAnsi="Century" w:cs="Times New Roman" w:hint="eastAsia"/>
          <w:sz w:val="20"/>
          <w:szCs w:val="20"/>
        </w:rPr>
        <w:t>9</w:t>
      </w:r>
      <w:r w:rsidRPr="0002227F">
        <w:rPr>
          <w:rFonts w:ascii="Century" w:eastAsia="ＭＳ 明朝" w:hAnsi="Century" w:cs="Times New Roman" w:hint="eastAsia"/>
          <w:sz w:val="20"/>
          <w:szCs w:val="20"/>
        </w:rPr>
        <w:t>月・</w:t>
      </w:r>
      <w:r w:rsidRPr="0002227F">
        <w:rPr>
          <w:rFonts w:ascii="Century" w:eastAsia="ＭＳ 明朝" w:hAnsi="Century" w:cs="Times New Roman" w:hint="eastAsia"/>
          <w:sz w:val="20"/>
          <w:szCs w:val="20"/>
        </w:rPr>
        <w:t>10</w:t>
      </w:r>
      <w:r w:rsidRPr="0002227F">
        <w:rPr>
          <w:rFonts w:ascii="Century" w:eastAsia="ＭＳ 明朝" w:hAnsi="Century" w:cs="Times New Roman" w:hint="eastAsia"/>
          <w:sz w:val="20"/>
          <w:szCs w:val="20"/>
        </w:rPr>
        <w:t>月も金利の低下がみられ、それぞれ</w:t>
      </w:r>
      <w:r w:rsidRPr="0002227F">
        <w:rPr>
          <w:rFonts w:ascii="Century" w:eastAsia="ＭＳ 明朝" w:hAnsi="Century" w:cs="Times New Roman" w:hint="eastAsia"/>
          <w:sz w:val="20"/>
          <w:szCs w:val="20"/>
        </w:rPr>
        <w:t>9.98</w:t>
      </w:r>
      <w:r w:rsidRPr="0002227F">
        <w:rPr>
          <w:rFonts w:ascii="Century" w:eastAsia="ＭＳ 明朝" w:hAnsi="Century" w:cs="Times New Roman" w:hint="eastAsia"/>
          <w:sz w:val="20"/>
          <w:szCs w:val="20"/>
        </w:rPr>
        <w:t>％</w:t>
      </w:r>
      <w:r w:rsidR="009C7F36">
        <w:rPr>
          <w:rFonts w:ascii="Century" w:eastAsia="ＭＳ 明朝" w:hAnsi="Century" w:cs="Times New Roman" w:hint="eastAsia"/>
          <w:sz w:val="20"/>
          <w:szCs w:val="20"/>
        </w:rPr>
        <w:t>、</w:t>
      </w:r>
      <w:r w:rsidRPr="0002227F">
        <w:rPr>
          <w:rFonts w:ascii="Century" w:eastAsia="ＭＳ 明朝" w:hAnsi="Century" w:cs="Times New Roman" w:hint="eastAsia"/>
          <w:sz w:val="20"/>
          <w:szCs w:val="20"/>
        </w:rPr>
        <w:t>9.96</w:t>
      </w:r>
      <w:r w:rsidRPr="0002227F">
        <w:rPr>
          <w:rFonts w:ascii="Century" w:eastAsia="ＭＳ 明朝" w:hAnsi="Century" w:cs="Times New Roman" w:hint="eastAsia"/>
          <w:sz w:val="20"/>
          <w:szCs w:val="20"/>
        </w:rPr>
        <w:t>％となっている。同金利が</w:t>
      </w:r>
      <w:r w:rsidRPr="0002227F">
        <w:rPr>
          <w:rFonts w:ascii="Century" w:eastAsia="ＭＳ 明朝" w:hAnsi="Century" w:cs="Times New Roman" w:hint="eastAsia"/>
          <w:sz w:val="20"/>
          <w:szCs w:val="20"/>
        </w:rPr>
        <w:t>10</w:t>
      </w:r>
      <w:r w:rsidRPr="0002227F">
        <w:rPr>
          <w:rFonts w:ascii="Century" w:eastAsia="ＭＳ 明朝" w:hAnsi="Century" w:cs="Times New Roman" w:hint="eastAsia"/>
          <w:sz w:val="20"/>
          <w:szCs w:val="20"/>
        </w:rPr>
        <w:t>％を下回ったのは</w:t>
      </w:r>
      <w:r w:rsidR="00071C15">
        <w:rPr>
          <w:rFonts w:ascii="Century" w:eastAsia="ＭＳ 明朝" w:hAnsi="Century" w:cs="Times New Roman" w:hint="eastAsia"/>
          <w:sz w:val="20"/>
          <w:szCs w:val="20"/>
        </w:rPr>
        <w:t>昨年</w:t>
      </w:r>
      <w:r w:rsidR="00071C15">
        <w:rPr>
          <w:rFonts w:ascii="Century" w:eastAsia="ＭＳ 明朝" w:hAnsi="Century" w:cs="Times New Roman" w:hint="eastAsia"/>
          <w:sz w:val="20"/>
          <w:szCs w:val="20"/>
        </w:rPr>
        <w:t>9</w:t>
      </w:r>
      <w:r w:rsidRPr="0002227F">
        <w:rPr>
          <w:rFonts w:ascii="Century" w:eastAsia="ＭＳ 明朝" w:hAnsi="Century" w:cs="Times New Roman" w:hint="eastAsia"/>
          <w:sz w:val="20"/>
          <w:szCs w:val="20"/>
        </w:rPr>
        <w:t>月以来であ</w:t>
      </w:r>
      <w:r w:rsidR="009C7F36">
        <w:rPr>
          <w:rFonts w:ascii="Century" w:eastAsia="ＭＳ 明朝" w:hAnsi="Century" w:cs="Times New Roman" w:hint="eastAsia"/>
          <w:sz w:val="20"/>
          <w:szCs w:val="20"/>
        </w:rPr>
        <w:t>る。また</w:t>
      </w:r>
      <w:r w:rsidRPr="0002227F">
        <w:rPr>
          <w:rFonts w:ascii="Century" w:eastAsia="ＭＳ 明朝" w:hAnsi="Century" w:cs="Times New Roman" w:hint="eastAsia"/>
          <w:sz w:val="20"/>
          <w:szCs w:val="20"/>
        </w:rPr>
        <w:t>、</w:t>
      </w:r>
      <w:r w:rsidR="00071C15">
        <w:rPr>
          <w:rFonts w:ascii="Century" w:eastAsia="ＭＳ 明朝" w:hAnsi="Century" w:cs="Times New Roman" w:hint="eastAsia"/>
          <w:sz w:val="20"/>
          <w:szCs w:val="20"/>
        </w:rPr>
        <w:t>民間銀行における貸付金利も</w:t>
      </w:r>
      <w:r w:rsidR="00071C15">
        <w:rPr>
          <w:rFonts w:ascii="Century" w:eastAsia="ＭＳ 明朝" w:hAnsi="Century" w:cs="Times New Roman" w:hint="eastAsia"/>
          <w:sz w:val="20"/>
          <w:szCs w:val="20"/>
        </w:rPr>
        <w:t>8</w:t>
      </w:r>
      <w:r w:rsidR="00071C15">
        <w:rPr>
          <w:rFonts w:ascii="Century" w:eastAsia="ＭＳ 明朝" w:hAnsi="Century" w:cs="Times New Roman" w:hint="eastAsia"/>
          <w:sz w:val="20"/>
          <w:szCs w:val="20"/>
        </w:rPr>
        <w:t>％代後半と低い数値を維持していることから、為替</w:t>
      </w:r>
      <w:r w:rsidRPr="0002227F">
        <w:rPr>
          <w:rFonts w:ascii="Century" w:eastAsia="ＭＳ 明朝" w:hAnsi="Century" w:cs="Times New Roman" w:hint="eastAsia"/>
          <w:sz w:val="20"/>
          <w:szCs w:val="20"/>
        </w:rPr>
        <w:t>安定にともなう</w:t>
      </w:r>
      <w:r w:rsidR="00093AE7">
        <w:rPr>
          <w:rFonts w:ascii="Century" w:eastAsia="ＭＳ 明朝" w:hAnsi="Century" w:cs="Times New Roman" w:hint="eastAsia"/>
          <w:sz w:val="20"/>
          <w:szCs w:val="20"/>
        </w:rPr>
        <w:t>銀行による外貨確保</w:t>
      </w:r>
      <w:r w:rsidRPr="0002227F">
        <w:rPr>
          <w:rFonts w:ascii="Century" w:eastAsia="ＭＳ 明朝" w:hAnsi="Century" w:cs="Times New Roman" w:hint="eastAsia"/>
          <w:sz w:val="20"/>
          <w:szCs w:val="20"/>
        </w:rPr>
        <w:t>の</w:t>
      </w:r>
      <w:r w:rsidR="00093AE7">
        <w:rPr>
          <w:rFonts w:ascii="Century" w:eastAsia="ＭＳ 明朝" w:hAnsi="Century" w:cs="Times New Roman" w:hint="eastAsia"/>
          <w:sz w:val="20"/>
          <w:szCs w:val="20"/>
        </w:rPr>
        <w:t>必要性低下</w:t>
      </w:r>
      <w:r w:rsidRPr="0002227F">
        <w:rPr>
          <w:rFonts w:ascii="Century" w:eastAsia="ＭＳ 明朝" w:hAnsi="Century" w:cs="Times New Roman" w:hint="eastAsia"/>
          <w:sz w:val="20"/>
          <w:szCs w:val="20"/>
        </w:rPr>
        <w:t>が</w:t>
      </w:r>
      <w:r w:rsidR="004B0667">
        <w:rPr>
          <w:rFonts w:ascii="Century" w:eastAsia="ＭＳ 明朝" w:hAnsi="Century" w:cs="Times New Roman" w:hint="eastAsia"/>
          <w:sz w:val="20"/>
          <w:szCs w:val="20"/>
        </w:rPr>
        <w:t>窺える</w:t>
      </w:r>
      <w:r w:rsidRPr="0002227F">
        <w:rPr>
          <w:rFonts w:ascii="Century" w:eastAsia="ＭＳ 明朝" w:hAnsi="Century" w:cs="Times New Roman" w:hint="eastAsia"/>
          <w:sz w:val="20"/>
          <w:szCs w:val="20"/>
        </w:rPr>
        <w:t>。</w:t>
      </w:r>
    </w:p>
    <w:p w:rsidR="00EA6C73" w:rsidRPr="007D38B6" w:rsidRDefault="00EA6C73" w:rsidP="00EA6C73">
      <w:pPr>
        <w:jc w:val="left"/>
      </w:pPr>
      <w:r w:rsidRPr="0028285F">
        <w:rPr>
          <w:rFonts w:ascii="Century" w:eastAsia="ＭＳ 明朝" w:hAnsi="Century" w:cs="Times New Roman" w:hint="eastAsia"/>
          <w:sz w:val="20"/>
          <w:szCs w:val="20"/>
        </w:rPr>
        <w:t>●</w:t>
      </w:r>
      <w:r w:rsidR="009C7F36">
        <w:rPr>
          <w:rFonts w:ascii="Century" w:eastAsia="ＭＳ 明朝" w:hAnsi="Century" w:cs="Times New Roman" w:hint="eastAsia"/>
          <w:sz w:val="20"/>
          <w:szCs w:val="20"/>
        </w:rPr>
        <w:t>コロン建て貸付金利について、</w:t>
      </w:r>
      <w:r w:rsidRPr="007D38B6">
        <w:rPr>
          <w:rFonts w:ascii="Century" w:eastAsia="ＭＳ 明朝" w:hAnsi="Century" w:cs="Times New Roman" w:hint="eastAsia"/>
          <w:sz w:val="20"/>
          <w:szCs w:val="20"/>
        </w:rPr>
        <w:t>国立銀行</w:t>
      </w:r>
      <w:r w:rsidR="00602D22">
        <w:rPr>
          <w:rFonts w:ascii="Century" w:eastAsia="ＭＳ 明朝" w:hAnsi="Century" w:cs="Times New Roman" w:hint="eastAsia"/>
          <w:sz w:val="20"/>
          <w:szCs w:val="20"/>
        </w:rPr>
        <w:t>の金利は</w:t>
      </w:r>
      <w:r w:rsidRPr="007D38B6">
        <w:rPr>
          <w:rFonts w:ascii="Century" w:eastAsia="ＭＳ 明朝" w:hAnsi="Century" w:cs="Times New Roman" w:hint="eastAsia"/>
          <w:sz w:val="20"/>
          <w:szCs w:val="20"/>
        </w:rPr>
        <w:t>、</w:t>
      </w:r>
      <w:r w:rsidRPr="007D38B6">
        <w:rPr>
          <w:rFonts w:ascii="Century" w:eastAsia="ＭＳ 明朝" w:hAnsi="Century" w:cs="Times New Roman" w:hint="eastAsia"/>
          <w:sz w:val="20"/>
          <w:szCs w:val="20"/>
        </w:rPr>
        <w:t>8</w:t>
      </w:r>
      <w:r w:rsidRPr="007D38B6">
        <w:rPr>
          <w:rFonts w:ascii="Century" w:eastAsia="ＭＳ 明朝" w:hAnsi="Century" w:cs="Times New Roman" w:hint="eastAsia"/>
          <w:sz w:val="20"/>
          <w:szCs w:val="20"/>
        </w:rPr>
        <w:t>月に若干の低下が見られ</w:t>
      </w:r>
      <w:r w:rsidRPr="007D38B6">
        <w:rPr>
          <w:rFonts w:ascii="Century" w:eastAsia="ＭＳ 明朝" w:hAnsi="Century" w:cs="Times New Roman" w:hint="eastAsia"/>
          <w:sz w:val="20"/>
          <w:szCs w:val="20"/>
        </w:rPr>
        <w:t>15.83</w:t>
      </w:r>
      <w:r w:rsidRPr="007D38B6">
        <w:rPr>
          <w:rFonts w:ascii="Century" w:eastAsia="ＭＳ 明朝" w:hAnsi="Century" w:cs="Times New Roman" w:hint="eastAsia"/>
          <w:sz w:val="20"/>
          <w:szCs w:val="20"/>
        </w:rPr>
        <w:t>％</w:t>
      </w:r>
      <w:r w:rsidR="00830291">
        <w:rPr>
          <w:rFonts w:ascii="Century" w:eastAsia="ＭＳ 明朝" w:hAnsi="Century" w:cs="Times New Roman" w:hint="eastAsia"/>
          <w:sz w:val="20"/>
          <w:szCs w:val="20"/>
        </w:rPr>
        <w:t>を記録したが、</w:t>
      </w:r>
      <w:r w:rsidR="00830291">
        <w:rPr>
          <w:rFonts w:ascii="Century" w:eastAsia="ＭＳ 明朝" w:hAnsi="Century" w:cs="Times New Roman" w:hint="eastAsia"/>
          <w:sz w:val="20"/>
          <w:szCs w:val="20"/>
        </w:rPr>
        <w:t>9</w:t>
      </w:r>
      <w:r w:rsidR="00830291">
        <w:rPr>
          <w:rFonts w:ascii="Century" w:eastAsia="ＭＳ 明朝" w:hAnsi="Century" w:cs="Times New Roman" w:hint="eastAsia"/>
          <w:sz w:val="20"/>
          <w:szCs w:val="20"/>
        </w:rPr>
        <w:t>月･</w:t>
      </w:r>
      <w:r w:rsidR="00830291">
        <w:rPr>
          <w:rFonts w:ascii="Century" w:eastAsia="ＭＳ 明朝" w:hAnsi="Century" w:cs="Times New Roman" w:hint="eastAsia"/>
          <w:sz w:val="20"/>
          <w:szCs w:val="20"/>
        </w:rPr>
        <w:t>10</w:t>
      </w:r>
      <w:r w:rsidR="00830291">
        <w:rPr>
          <w:rFonts w:ascii="Century" w:eastAsia="ＭＳ 明朝" w:hAnsi="Century" w:cs="Times New Roman" w:hint="eastAsia"/>
          <w:sz w:val="20"/>
          <w:szCs w:val="20"/>
        </w:rPr>
        <w:t>月は微増傾向が見られ、それぞれ</w:t>
      </w:r>
      <w:r w:rsidR="00830291">
        <w:rPr>
          <w:rFonts w:ascii="Century" w:eastAsia="ＭＳ 明朝" w:hAnsi="Century" w:cs="Times New Roman" w:hint="eastAsia"/>
          <w:sz w:val="20"/>
          <w:szCs w:val="20"/>
        </w:rPr>
        <w:t>16.11</w:t>
      </w:r>
      <w:r w:rsidR="00830291">
        <w:rPr>
          <w:rFonts w:ascii="Century" w:eastAsia="ＭＳ 明朝" w:hAnsi="Century" w:cs="Times New Roman" w:hint="eastAsia"/>
          <w:sz w:val="20"/>
          <w:szCs w:val="20"/>
        </w:rPr>
        <w:t>％、</w:t>
      </w:r>
      <w:r w:rsidR="00830291">
        <w:rPr>
          <w:rFonts w:ascii="Century" w:eastAsia="ＭＳ 明朝" w:hAnsi="Century" w:cs="Times New Roman" w:hint="eastAsia"/>
          <w:sz w:val="20"/>
          <w:szCs w:val="20"/>
        </w:rPr>
        <w:t>16.28</w:t>
      </w:r>
      <w:r w:rsidR="00830291">
        <w:rPr>
          <w:rFonts w:ascii="Century" w:eastAsia="ＭＳ 明朝" w:hAnsi="Century" w:cs="Times New Roman" w:hint="eastAsia"/>
          <w:sz w:val="20"/>
          <w:szCs w:val="20"/>
        </w:rPr>
        <w:t>％</w:t>
      </w:r>
      <w:r w:rsidRPr="007D38B6">
        <w:rPr>
          <w:rFonts w:ascii="Century" w:eastAsia="ＭＳ 明朝" w:hAnsi="Century" w:cs="Times New Roman" w:hint="eastAsia"/>
          <w:sz w:val="20"/>
          <w:szCs w:val="20"/>
        </w:rPr>
        <w:t>となった。</w:t>
      </w:r>
      <w:r w:rsidR="00602D22">
        <w:rPr>
          <w:rFonts w:ascii="Century" w:eastAsia="ＭＳ 明朝" w:hAnsi="Century" w:cs="Times New Roman" w:hint="eastAsia"/>
          <w:sz w:val="20"/>
          <w:szCs w:val="20"/>
        </w:rPr>
        <w:t>一方、民間銀行では</w:t>
      </w:r>
      <w:r w:rsidR="00602D22" w:rsidRPr="00602D22">
        <w:rPr>
          <w:rFonts w:ascii="Century" w:eastAsia="ＭＳ 明朝" w:hAnsi="Century" w:cs="Times New Roman" w:hint="eastAsia"/>
          <w:sz w:val="20"/>
          <w:szCs w:val="20"/>
        </w:rPr>
        <w:t>銀行貸付金額減少に対処するためにコロン建て貸付金利の引き下げを</w:t>
      </w:r>
      <w:r w:rsidR="00602D22" w:rsidRPr="00602D22">
        <w:rPr>
          <w:rFonts w:ascii="Century" w:eastAsia="ＭＳ 明朝" w:hAnsi="Century" w:cs="Times New Roman" w:hint="eastAsia"/>
          <w:sz w:val="20"/>
          <w:szCs w:val="20"/>
        </w:rPr>
        <w:t>8</w:t>
      </w:r>
      <w:r w:rsidR="00602D22" w:rsidRPr="00602D22">
        <w:rPr>
          <w:rFonts w:ascii="Century" w:eastAsia="ＭＳ 明朝" w:hAnsi="Century" w:cs="Times New Roman" w:hint="eastAsia"/>
          <w:sz w:val="20"/>
          <w:szCs w:val="20"/>
        </w:rPr>
        <w:t>月まで実施していたが、</w:t>
      </w:r>
      <w:r w:rsidR="00602D22" w:rsidRPr="00602D22">
        <w:rPr>
          <w:rFonts w:ascii="Century" w:eastAsia="ＭＳ 明朝" w:hAnsi="Century" w:cs="Times New Roman" w:hint="eastAsia"/>
          <w:sz w:val="20"/>
          <w:szCs w:val="20"/>
        </w:rPr>
        <w:t>8</w:t>
      </w:r>
      <w:r w:rsidR="00602D22" w:rsidRPr="00602D22">
        <w:rPr>
          <w:rFonts w:ascii="Century" w:eastAsia="ＭＳ 明朝" w:hAnsi="Century" w:cs="Times New Roman" w:hint="eastAsia"/>
          <w:sz w:val="20"/>
          <w:szCs w:val="20"/>
        </w:rPr>
        <w:t>月から</w:t>
      </w:r>
      <w:r w:rsidR="00602D22" w:rsidRPr="00602D22">
        <w:rPr>
          <w:rFonts w:ascii="Century" w:eastAsia="ＭＳ 明朝" w:hAnsi="Century" w:cs="Times New Roman" w:hint="eastAsia"/>
          <w:sz w:val="20"/>
          <w:szCs w:val="20"/>
        </w:rPr>
        <w:t>9</w:t>
      </w:r>
      <w:r w:rsidR="00602D22" w:rsidRPr="00602D22">
        <w:rPr>
          <w:rFonts w:ascii="Century" w:eastAsia="ＭＳ 明朝" w:hAnsi="Century" w:cs="Times New Roman" w:hint="eastAsia"/>
          <w:sz w:val="20"/>
          <w:szCs w:val="20"/>
        </w:rPr>
        <w:t>月にかけては</w:t>
      </w:r>
      <w:r w:rsidR="00602D22" w:rsidRPr="00602D22">
        <w:rPr>
          <w:rFonts w:ascii="Century" w:eastAsia="ＭＳ 明朝" w:hAnsi="Century" w:cs="Times New Roman" w:hint="eastAsia"/>
          <w:sz w:val="20"/>
          <w:szCs w:val="20"/>
        </w:rPr>
        <w:t>1</w:t>
      </w:r>
      <w:r w:rsidR="00602D22" w:rsidRPr="00602D22">
        <w:rPr>
          <w:rFonts w:ascii="Century" w:eastAsia="ＭＳ 明朝" w:hAnsi="Century" w:cs="Times New Roman" w:hint="eastAsia"/>
          <w:sz w:val="20"/>
          <w:szCs w:val="20"/>
        </w:rPr>
        <w:t>ポイント以上上昇し</w:t>
      </w:r>
      <w:r w:rsidR="00602D22" w:rsidRPr="00602D22">
        <w:rPr>
          <w:rFonts w:ascii="Century" w:eastAsia="ＭＳ 明朝" w:hAnsi="Century" w:cs="Times New Roman" w:hint="eastAsia"/>
          <w:sz w:val="20"/>
          <w:szCs w:val="20"/>
        </w:rPr>
        <w:t>14.55</w:t>
      </w:r>
      <w:r w:rsidR="00602D22" w:rsidRPr="00602D22">
        <w:rPr>
          <w:rFonts w:ascii="Century" w:eastAsia="ＭＳ 明朝" w:hAnsi="Century" w:cs="Times New Roman" w:hint="eastAsia"/>
          <w:sz w:val="20"/>
          <w:szCs w:val="20"/>
        </w:rPr>
        <w:t>％となり、</w:t>
      </w:r>
      <w:r w:rsidR="00602D22" w:rsidRPr="00602D22">
        <w:rPr>
          <w:rFonts w:ascii="Century" w:eastAsia="ＭＳ 明朝" w:hAnsi="Century" w:cs="Times New Roman" w:hint="eastAsia"/>
          <w:sz w:val="20"/>
          <w:szCs w:val="20"/>
        </w:rPr>
        <w:t>10</w:t>
      </w:r>
      <w:r w:rsidR="00602D22" w:rsidRPr="00602D22">
        <w:rPr>
          <w:rFonts w:ascii="Century" w:eastAsia="ＭＳ 明朝" w:hAnsi="Century" w:cs="Times New Roman" w:hint="eastAsia"/>
          <w:sz w:val="20"/>
          <w:szCs w:val="20"/>
        </w:rPr>
        <w:t>月も</w:t>
      </w:r>
      <w:r w:rsidR="00602D22" w:rsidRPr="00602D22">
        <w:rPr>
          <w:rFonts w:ascii="Century" w:eastAsia="ＭＳ 明朝" w:hAnsi="Century" w:cs="Times New Roman" w:hint="eastAsia"/>
          <w:sz w:val="20"/>
          <w:szCs w:val="20"/>
        </w:rPr>
        <w:t>14.64</w:t>
      </w:r>
      <w:r w:rsidR="00602D22" w:rsidRPr="00602D22">
        <w:rPr>
          <w:rFonts w:ascii="Century" w:eastAsia="ＭＳ 明朝" w:hAnsi="Century" w:cs="Times New Roman" w:hint="eastAsia"/>
          <w:sz w:val="20"/>
          <w:szCs w:val="20"/>
        </w:rPr>
        <w:t>％と微増を見せた。</w:t>
      </w:r>
    </w:p>
    <w:p w:rsidR="003702DA" w:rsidRPr="00EA6C73" w:rsidRDefault="003702DA" w:rsidP="003702DA">
      <w:pPr>
        <w:pStyle w:val="ac"/>
        <w:ind w:leftChars="0" w:left="360"/>
        <w:rPr>
          <w:sz w:val="20"/>
          <w:szCs w:val="20"/>
        </w:rPr>
      </w:pPr>
    </w:p>
    <w:p w:rsidR="00BA4307" w:rsidRDefault="00BA4307" w:rsidP="00BA4307">
      <w:pPr>
        <w:pStyle w:val="ac"/>
        <w:ind w:leftChars="0" w:left="360"/>
        <w:rPr>
          <w:sz w:val="20"/>
          <w:szCs w:val="20"/>
        </w:rPr>
      </w:pPr>
    </w:p>
    <w:p w:rsidR="00083EB2" w:rsidRDefault="00A6450E" w:rsidP="00BA4307">
      <w:pPr>
        <w:pStyle w:val="ac"/>
        <w:ind w:leftChars="0" w:left="360"/>
        <w:rPr>
          <w:sz w:val="20"/>
          <w:szCs w:val="20"/>
        </w:rPr>
      </w:pPr>
      <w:r w:rsidRPr="00A6450E">
        <w:rPr>
          <w:noProof/>
          <w:sz w:val="20"/>
          <w:szCs w:val="20"/>
        </w:rPr>
        <w:drawing>
          <wp:inline distT="0" distB="0" distL="0" distR="0">
            <wp:extent cx="5372100" cy="3752850"/>
            <wp:effectExtent l="0" t="0" r="19050" b="19050"/>
            <wp:docPr id="12"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5EAA" w:rsidRDefault="00FC5EAA" w:rsidP="00BA4307">
      <w:pPr>
        <w:pStyle w:val="ac"/>
        <w:ind w:leftChars="0" w:left="360"/>
        <w:rPr>
          <w:sz w:val="20"/>
          <w:szCs w:val="20"/>
        </w:rPr>
      </w:pPr>
    </w:p>
    <w:p w:rsidR="00FC5EAA" w:rsidRDefault="00FC5EAA" w:rsidP="00BA4307">
      <w:pPr>
        <w:pStyle w:val="ac"/>
        <w:ind w:leftChars="0" w:left="360"/>
        <w:rPr>
          <w:sz w:val="20"/>
          <w:szCs w:val="20"/>
        </w:rPr>
      </w:pPr>
    </w:p>
    <w:p w:rsidR="00083EB2" w:rsidRDefault="00083EB2" w:rsidP="00083EB2">
      <w:pPr>
        <w:rPr>
          <w:sz w:val="20"/>
          <w:szCs w:val="20"/>
        </w:rPr>
      </w:pPr>
      <w:r>
        <w:rPr>
          <w:rFonts w:hint="eastAsia"/>
          <w:sz w:val="20"/>
          <w:szCs w:val="20"/>
        </w:rPr>
        <w:lastRenderedPageBreak/>
        <w:t>６　外貨準備高</w:t>
      </w:r>
    </w:p>
    <w:p w:rsidR="00FF3EB9" w:rsidRPr="0064694E" w:rsidRDefault="00FF3EB9" w:rsidP="00FF3EB9">
      <w:pPr>
        <w:jc w:val="left"/>
        <w:rPr>
          <w:rFonts w:ascii="Century" w:eastAsia="ＭＳ 明朝" w:hAnsi="Century" w:cs="Times New Roman"/>
          <w:sz w:val="20"/>
          <w:szCs w:val="20"/>
        </w:rPr>
      </w:pPr>
      <w:r w:rsidRPr="0064694E">
        <w:rPr>
          <w:rFonts w:ascii="Century" w:eastAsia="ＭＳ 明朝" w:hAnsi="Century" w:cs="Times New Roman" w:hint="eastAsia"/>
          <w:sz w:val="20"/>
          <w:szCs w:val="20"/>
        </w:rPr>
        <w:t>●</w:t>
      </w:r>
      <w:r w:rsidR="009E400A" w:rsidRPr="0064694E">
        <w:rPr>
          <w:rFonts w:ascii="Century" w:eastAsia="ＭＳ 明朝" w:hAnsi="Century" w:cs="Times New Roman" w:hint="eastAsia"/>
          <w:sz w:val="20"/>
          <w:szCs w:val="20"/>
        </w:rPr>
        <w:t>9</w:t>
      </w:r>
      <w:r w:rsidRPr="0064694E">
        <w:rPr>
          <w:rFonts w:ascii="Century" w:eastAsia="ＭＳ 明朝" w:hAnsi="Century" w:cs="Times New Roman" w:hint="eastAsia"/>
          <w:sz w:val="20"/>
          <w:szCs w:val="20"/>
        </w:rPr>
        <w:t>月及び</w:t>
      </w:r>
      <w:r w:rsidR="009E400A" w:rsidRPr="0064694E">
        <w:rPr>
          <w:rFonts w:ascii="Century" w:eastAsia="ＭＳ 明朝" w:hAnsi="Century" w:cs="Times New Roman" w:hint="eastAsia"/>
          <w:sz w:val="20"/>
          <w:szCs w:val="20"/>
        </w:rPr>
        <w:t>10</w:t>
      </w:r>
      <w:r w:rsidRPr="0064694E">
        <w:rPr>
          <w:rFonts w:ascii="Century" w:eastAsia="ＭＳ 明朝" w:hAnsi="Century" w:cs="Times New Roman" w:hint="eastAsia"/>
          <w:sz w:val="20"/>
          <w:szCs w:val="20"/>
        </w:rPr>
        <w:t>月末時点の米ドル準備高</w:t>
      </w:r>
      <w:r w:rsidRPr="0064694E">
        <w:rPr>
          <w:rFonts w:ascii="Century" w:eastAsia="ＭＳ 明朝" w:hAnsi="Century" w:cs="Times New Roman"/>
          <w:sz w:val="20"/>
          <w:szCs w:val="20"/>
        </w:rPr>
        <w:t>(</w:t>
      </w:r>
      <w:r w:rsidRPr="0064694E">
        <w:rPr>
          <w:rFonts w:ascii="Century" w:eastAsia="ＭＳ 明朝" w:hAnsi="Century" w:cs="Times New Roman" w:hint="eastAsia"/>
          <w:sz w:val="20"/>
          <w:szCs w:val="20"/>
        </w:rPr>
        <w:t>表</w:t>
      </w:r>
      <w:r w:rsidRPr="0064694E">
        <w:rPr>
          <w:rFonts w:ascii="Century" w:eastAsia="ＭＳ 明朝" w:hAnsi="Century" w:cs="Times New Roman"/>
          <w:sz w:val="20"/>
          <w:szCs w:val="20"/>
        </w:rPr>
        <w:t>1</w:t>
      </w:r>
      <w:r w:rsidRPr="0064694E">
        <w:rPr>
          <w:rFonts w:ascii="Century" w:eastAsia="ＭＳ 明朝" w:hAnsi="Century" w:cs="Times New Roman" w:hint="eastAsia"/>
          <w:sz w:val="20"/>
          <w:szCs w:val="20"/>
        </w:rPr>
        <w:t>2</w:t>
      </w:r>
      <w:r w:rsidRPr="0064694E">
        <w:rPr>
          <w:rFonts w:ascii="Century" w:eastAsia="ＭＳ 明朝" w:hAnsi="Century" w:cs="Times New Roman"/>
          <w:sz w:val="20"/>
          <w:szCs w:val="20"/>
        </w:rPr>
        <w:t>)</w:t>
      </w:r>
      <w:r w:rsidRPr="0064694E">
        <w:rPr>
          <w:rFonts w:ascii="Century" w:eastAsia="ＭＳ 明朝" w:hAnsi="Century" w:cs="Times New Roman" w:hint="eastAsia"/>
          <w:sz w:val="20"/>
          <w:szCs w:val="20"/>
        </w:rPr>
        <w:t>は各</w:t>
      </w:r>
      <w:r w:rsidRPr="0064694E">
        <w:rPr>
          <w:rFonts w:ascii="Century" w:eastAsia="ＭＳ 明朝" w:hAnsi="Century" w:cs="Times New Roman" w:hint="eastAsia"/>
          <w:sz w:val="20"/>
          <w:szCs w:val="20"/>
        </w:rPr>
        <w:t>7,</w:t>
      </w:r>
      <w:r w:rsidR="009E400A" w:rsidRPr="0064694E">
        <w:rPr>
          <w:rFonts w:ascii="Century" w:eastAsia="ＭＳ 明朝" w:hAnsi="Century" w:cs="Times New Roman" w:hint="eastAsia"/>
          <w:sz w:val="20"/>
          <w:szCs w:val="20"/>
        </w:rPr>
        <w:t>195</w:t>
      </w:r>
      <w:r w:rsidR="009D17A5">
        <w:rPr>
          <w:rFonts w:ascii="Century" w:eastAsia="ＭＳ 明朝" w:hAnsi="Century" w:cs="Times New Roman" w:hint="eastAsia"/>
          <w:sz w:val="20"/>
          <w:szCs w:val="20"/>
        </w:rPr>
        <w:t>.</w:t>
      </w:r>
      <w:r w:rsidR="009E400A" w:rsidRPr="0064694E">
        <w:rPr>
          <w:rFonts w:ascii="Century" w:eastAsia="ＭＳ 明朝" w:hAnsi="Century" w:cs="Times New Roman" w:hint="eastAsia"/>
          <w:sz w:val="20"/>
          <w:szCs w:val="20"/>
        </w:rPr>
        <w:t>1</w:t>
      </w:r>
      <w:r w:rsidRPr="0064694E">
        <w:rPr>
          <w:rFonts w:ascii="Century" w:eastAsia="ＭＳ 明朝" w:hAnsi="Century" w:cs="Times New Roman" w:hint="eastAsia"/>
          <w:sz w:val="20"/>
          <w:szCs w:val="20"/>
        </w:rPr>
        <w:t>百万ドル、</w:t>
      </w:r>
      <w:r w:rsidRPr="0064694E">
        <w:rPr>
          <w:rFonts w:ascii="Century" w:eastAsia="ＭＳ 明朝" w:hAnsi="Century" w:cs="Times New Roman" w:hint="eastAsia"/>
          <w:sz w:val="20"/>
          <w:szCs w:val="20"/>
        </w:rPr>
        <w:t>7,</w:t>
      </w:r>
      <w:r w:rsidR="009E400A" w:rsidRPr="0064694E">
        <w:rPr>
          <w:rFonts w:ascii="Century" w:eastAsia="ＭＳ 明朝" w:hAnsi="Century" w:cs="Times New Roman" w:hint="eastAsia"/>
          <w:sz w:val="20"/>
          <w:szCs w:val="20"/>
        </w:rPr>
        <w:t>081.9</w:t>
      </w:r>
      <w:r w:rsidRPr="0064694E">
        <w:rPr>
          <w:rFonts w:ascii="Century" w:eastAsia="ＭＳ 明朝" w:hAnsi="Century" w:cs="Times New Roman" w:hint="eastAsia"/>
          <w:sz w:val="20"/>
          <w:szCs w:val="20"/>
        </w:rPr>
        <w:t>百万ドルとなった。</w:t>
      </w:r>
    </w:p>
    <w:p w:rsidR="00C738EC" w:rsidRPr="00C738EC" w:rsidRDefault="00FF3EB9" w:rsidP="00FF3EB9">
      <w:pPr>
        <w:jc w:val="left"/>
        <w:rPr>
          <w:rFonts w:ascii="Century" w:eastAsia="ＭＳ 明朝" w:hAnsi="Century" w:cs="Times New Roman"/>
          <w:sz w:val="20"/>
          <w:szCs w:val="20"/>
        </w:rPr>
      </w:pPr>
      <w:r w:rsidRPr="0064694E">
        <w:rPr>
          <w:rFonts w:ascii="Century" w:eastAsia="ＭＳ 明朝" w:hAnsi="Century" w:cs="Times New Roman" w:hint="eastAsia"/>
          <w:sz w:val="20"/>
          <w:szCs w:val="20"/>
        </w:rPr>
        <w:t>●</w:t>
      </w:r>
      <w:r w:rsidR="004A6205">
        <w:rPr>
          <w:rFonts w:ascii="Century" w:eastAsia="ＭＳ 明朝" w:hAnsi="Century" w:cs="Times New Roman" w:hint="eastAsia"/>
          <w:sz w:val="20"/>
          <w:szCs w:val="20"/>
        </w:rPr>
        <w:t>対米ドル為替の安定以降、中銀</w:t>
      </w:r>
      <w:r w:rsidR="009E400A" w:rsidRPr="0064694E">
        <w:rPr>
          <w:rFonts w:ascii="Century" w:eastAsia="ＭＳ 明朝" w:hAnsi="Century" w:cs="Times New Roman" w:hint="eastAsia"/>
          <w:sz w:val="20"/>
          <w:szCs w:val="20"/>
        </w:rPr>
        <w:t>による</w:t>
      </w:r>
      <w:r w:rsidR="004A6205">
        <w:rPr>
          <w:rFonts w:ascii="Century" w:eastAsia="ＭＳ 明朝" w:hAnsi="Century" w:cs="Times New Roman" w:hint="eastAsia"/>
          <w:sz w:val="20"/>
          <w:szCs w:val="20"/>
        </w:rPr>
        <w:t>為替</w:t>
      </w:r>
      <w:r w:rsidR="009E400A" w:rsidRPr="0064694E">
        <w:rPr>
          <w:rFonts w:ascii="Century" w:eastAsia="ＭＳ 明朝" w:hAnsi="Century" w:cs="Times New Roman" w:hint="eastAsia"/>
          <w:sz w:val="20"/>
          <w:szCs w:val="20"/>
        </w:rPr>
        <w:t>市場介入の必要性も小さくなったことから、</w:t>
      </w:r>
      <w:r w:rsidR="00347A5D" w:rsidRPr="0064694E">
        <w:rPr>
          <w:rFonts w:ascii="Century" w:eastAsia="ＭＳ 明朝" w:hAnsi="Century" w:cs="Times New Roman" w:hint="eastAsia"/>
          <w:sz w:val="20"/>
          <w:szCs w:val="20"/>
        </w:rPr>
        <w:t>輸出不振による外貨獲得量は減っているものの、</w:t>
      </w:r>
      <w:r w:rsidR="00347A5D" w:rsidRPr="0064694E">
        <w:rPr>
          <w:rFonts w:ascii="Century" w:eastAsia="ＭＳ 明朝" w:hAnsi="Century" w:cs="Times New Roman" w:hint="eastAsia"/>
          <w:sz w:val="20"/>
          <w:szCs w:val="20"/>
        </w:rPr>
        <w:t>5</w:t>
      </w:r>
      <w:r w:rsidR="00347A5D" w:rsidRPr="0064694E">
        <w:rPr>
          <w:rFonts w:ascii="Century" w:eastAsia="ＭＳ 明朝" w:hAnsi="Century" w:cs="Times New Roman" w:hint="eastAsia"/>
          <w:sz w:val="20"/>
          <w:szCs w:val="20"/>
        </w:rPr>
        <w:t>月から</w:t>
      </w:r>
      <w:r w:rsidR="00347A5D" w:rsidRPr="0064694E">
        <w:rPr>
          <w:rFonts w:ascii="Century" w:eastAsia="ＭＳ 明朝" w:hAnsi="Century" w:cs="Times New Roman" w:hint="eastAsia"/>
          <w:sz w:val="20"/>
          <w:szCs w:val="20"/>
        </w:rPr>
        <w:t>7</w:t>
      </w:r>
      <w:r w:rsidR="00347A5D" w:rsidRPr="0064694E">
        <w:rPr>
          <w:rFonts w:ascii="Century" w:eastAsia="ＭＳ 明朝" w:hAnsi="Century" w:cs="Times New Roman" w:hint="eastAsia"/>
          <w:sz w:val="20"/>
          <w:szCs w:val="20"/>
        </w:rPr>
        <w:t>月</w:t>
      </w:r>
      <w:r w:rsidR="00B222E5">
        <w:rPr>
          <w:rFonts w:ascii="Century" w:eastAsia="ＭＳ 明朝" w:hAnsi="Century" w:cs="Times New Roman" w:hint="eastAsia"/>
          <w:sz w:val="20"/>
          <w:szCs w:val="20"/>
        </w:rPr>
        <w:t>の期間</w:t>
      </w:r>
      <w:r w:rsidR="00347A5D" w:rsidRPr="0064694E">
        <w:rPr>
          <w:rFonts w:ascii="Century" w:eastAsia="ＭＳ 明朝" w:hAnsi="Century" w:cs="Times New Roman" w:hint="eastAsia"/>
          <w:sz w:val="20"/>
          <w:szCs w:val="20"/>
        </w:rPr>
        <w:t>と比較し</w:t>
      </w:r>
      <w:r w:rsidR="009E400A" w:rsidRPr="0064694E">
        <w:rPr>
          <w:rFonts w:ascii="Century" w:eastAsia="ＭＳ 明朝" w:hAnsi="Century" w:cs="Times New Roman" w:hint="eastAsia"/>
          <w:sz w:val="20"/>
          <w:szCs w:val="20"/>
        </w:rPr>
        <w:t>、この</w:t>
      </w:r>
      <w:r w:rsidR="00B222E5">
        <w:rPr>
          <w:rFonts w:ascii="Century" w:eastAsia="ＭＳ 明朝" w:hAnsi="Century" w:cs="Times New Roman" w:hint="eastAsia"/>
          <w:sz w:val="20"/>
          <w:szCs w:val="20"/>
        </w:rPr>
        <w:t>2</w:t>
      </w:r>
      <w:r w:rsidR="009E400A" w:rsidRPr="0064694E">
        <w:rPr>
          <w:rFonts w:ascii="Century" w:eastAsia="ＭＳ 明朝" w:hAnsi="Century" w:cs="Times New Roman" w:hint="eastAsia"/>
          <w:sz w:val="20"/>
          <w:szCs w:val="20"/>
        </w:rPr>
        <w:t>ヶ月間は</w:t>
      </w:r>
      <w:r w:rsidR="00347A5D" w:rsidRPr="0064694E">
        <w:rPr>
          <w:rFonts w:ascii="Century" w:eastAsia="ＭＳ 明朝" w:hAnsi="Century" w:cs="Times New Roman" w:hint="eastAsia"/>
          <w:sz w:val="20"/>
          <w:szCs w:val="20"/>
        </w:rPr>
        <w:t>外貨準備高の</w:t>
      </w:r>
      <w:r w:rsidR="00F91D4C" w:rsidRPr="0064694E">
        <w:rPr>
          <w:rFonts w:ascii="Century" w:eastAsia="ＭＳ 明朝" w:hAnsi="Century" w:cs="Times New Roman" w:hint="eastAsia"/>
          <w:sz w:val="20"/>
          <w:szCs w:val="20"/>
        </w:rPr>
        <w:t>減少幅</w:t>
      </w:r>
      <w:r w:rsidR="009E400A" w:rsidRPr="0064694E">
        <w:rPr>
          <w:rFonts w:ascii="Century" w:eastAsia="ＭＳ 明朝" w:hAnsi="Century" w:cs="Times New Roman" w:hint="eastAsia"/>
          <w:sz w:val="20"/>
          <w:szCs w:val="20"/>
        </w:rPr>
        <w:t>が小さくなっている</w:t>
      </w:r>
      <w:r w:rsidR="00C738EC">
        <w:rPr>
          <w:rFonts w:ascii="Century" w:eastAsia="ＭＳ 明朝" w:hAnsi="Century" w:cs="Times New Roman" w:hint="eastAsia"/>
          <w:sz w:val="20"/>
          <w:szCs w:val="20"/>
        </w:rPr>
        <w:t>。</w:t>
      </w:r>
    </w:p>
    <w:p w:rsidR="00083EB2" w:rsidRPr="00FF3EB9" w:rsidRDefault="00083EB2" w:rsidP="00083EB2">
      <w:pPr>
        <w:rPr>
          <w:sz w:val="20"/>
          <w:szCs w:val="20"/>
        </w:rPr>
      </w:pPr>
    </w:p>
    <w:p w:rsidR="00083EB2" w:rsidRDefault="00083EB2" w:rsidP="00083EB2">
      <w:pPr>
        <w:rPr>
          <w:sz w:val="20"/>
          <w:szCs w:val="20"/>
        </w:rPr>
      </w:pPr>
    </w:p>
    <w:p w:rsidR="00083EB2" w:rsidRDefault="00083EB2" w:rsidP="001D1091">
      <w:pPr>
        <w:jc w:val="center"/>
        <w:rPr>
          <w:sz w:val="20"/>
          <w:szCs w:val="20"/>
        </w:rPr>
      </w:pPr>
      <w:r w:rsidRPr="00083EB2">
        <w:rPr>
          <w:noProof/>
          <w:sz w:val="20"/>
          <w:szCs w:val="20"/>
        </w:rPr>
        <w:drawing>
          <wp:inline distT="0" distB="0" distL="0" distR="0">
            <wp:extent cx="4171950" cy="2838450"/>
            <wp:effectExtent l="0" t="0" r="19050" b="19050"/>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1091" w:rsidRDefault="001D1091" w:rsidP="001D1091">
      <w:pPr>
        <w:rPr>
          <w:sz w:val="20"/>
          <w:szCs w:val="20"/>
        </w:rPr>
      </w:pPr>
    </w:p>
    <w:p w:rsidR="001D1091" w:rsidRDefault="001D1091" w:rsidP="001D1091">
      <w:pPr>
        <w:rPr>
          <w:sz w:val="20"/>
          <w:szCs w:val="20"/>
        </w:rPr>
      </w:pPr>
    </w:p>
    <w:p w:rsidR="001D1091" w:rsidRDefault="001D1091" w:rsidP="001D1091">
      <w:pPr>
        <w:rPr>
          <w:sz w:val="20"/>
          <w:szCs w:val="20"/>
        </w:rPr>
      </w:pPr>
    </w:p>
    <w:p w:rsidR="001D1091" w:rsidRDefault="001D1091" w:rsidP="001D1091">
      <w:pPr>
        <w:rPr>
          <w:sz w:val="20"/>
          <w:szCs w:val="20"/>
        </w:rPr>
      </w:pPr>
    </w:p>
    <w:p w:rsidR="001D1091" w:rsidRDefault="001D1091" w:rsidP="001D1091">
      <w:pPr>
        <w:rPr>
          <w:sz w:val="20"/>
          <w:szCs w:val="20"/>
        </w:rPr>
      </w:pPr>
    </w:p>
    <w:p w:rsidR="001D1091" w:rsidRDefault="001D1091" w:rsidP="001D1091">
      <w:pPr>
        <w:rPr>
          <w:sz w:val="20"/>
          <w:szCs w:val="20"/>
        </w:rPr>
      </w:pPr>
    </w:p>
    <w:p w:rsidR="001D1091" w:rsidRDefault="001D1091" w:rsidP="001D1091">
      <w:pPr>
        <w:rPr>
          <w:sz w:val="20"/>
          <w:szCs w:val="20"/>
        </w:rPr>
      </w:pPr>
    </w:p>
    <w:p w:rsidR="001D1091" w:rsidRDefault="001D1091" w:rsidP="001D1091">
      <w:pPr>
        <w:rPr>
          <w:sz w:val="20"/>
          <w:szCs w:val="20"/>
        </w:rPr>
      </w:pPr>
    </w:p>
    <w:p w:rsidR="001D1091" w:rsidRDefault="001D1091" w:rsidP="001D1091">
      <w:pPr>
        <w:rPr>
          <w:sz w:val="20"/>
          <w:szCs w:val="20"/>
        </w:rPr>
      </w:pPr>
    </w:p>
    <w:p w:rsidR="001D1091" w:rsidRDefault="001D1091" w:rsidP="001D1091">
      <w:pPr>
        <w:rPr>
          <w:sz w:val="20"/>
          <w:szCs w:val="20"/>
        </w:rPr>
      </w:pPr>
    </w:p>
    <w:p w:rsidR="001D1091" w:rsidRDefault="001D1091" w:rsidP="001D1091">
      <w:pPr>
        <w:rPr>
          <w:sz w:val="20"/>
          <w:szCs w:val="20"/>
        </w:rPr>
      </w:pPr>
    </w:p>
    <w:p w:rsidR="001D1091" w:rsidRDefault="001D1091" w:rsidP="001D1091">
      <w:pPr>
        <w:rPr>
          <w:sz w:val="20"/>
          <w:szCs w:val="20"/>
        </w:rPr>
      </w:pPr>
    </w:p>
    <w:p w:rsidR="001D1091" w:rsidRDefault="001D1091" w:rsidP="001D1091">
      <w:pPr>
        <w:rPr>
          <w:sz w:val="20"/>
          <w:szCs w:val="20"/>
        </w:rPr>
      </w:pPr>
    </w:p>
    <w:p w:rsidR="001D1091" w:rsidRDefault="001D1091" w:rsidP="001D1091">
      <w:pPr>
        <w:rPr>
          <w:sz w:val="20"/>
          <w:szCs w:val="20"/>
        </w:rPr>
      </w:pPr>
    </w:p>
    <w:p w:rsidR="001D1091" w:rsidRDefault="001D1091" w:rsidP="001D1091">
      <w:pPr>
        <w:rPr>
          <w:sz w:val="20"/>
          <w:szCs w:val="20"/>
        </w:rPr>
      </w:pPr>
    </w:p>
    <w:p w:rsidR="001D1091" w:rsidRDefault="001D1091" w:rsidP="001D1091">
      <w:pPr>
        <w:rPr>
          <w:sz w:val="20"/>
          <w:szCs w:val="20"/>
        </w:rPr>
      </w:pPr>
    </w:p>
    <w:p w:rsidR="001D1091" w:rsidRPr="000E4167" w:rsidRDefault="001D1091" w:rsidP="001D1091">
      <w:pPr>
        <w:rPr>
          <w:szCs w:val="21"/>
        </w:rPr>
      </w:pPr>
      <w:r w:rsidRPr="000E4167">
        <w:rPr>
          <w:rFonts w:hint="eastAsia"/>
          <w:szCs w:val="21"/>
        </w:rPr>
        <w:lastRenderedPageBreak/>
        <w:t>７　主な出来事</w:t>
      </w:r>
      <w:r w:rsidRPr="000E4167">
        <w:rPr>
          <w:rFonts w:hint="eastAsia"/>
          <w:szCs w:val="21"/>
        </w:rPr>
        <w:t>(</w:t>
      </w:r>
      <w:r w:rsidRPr="000E4167">
        <w:rPr>
          <w:rFonts w:hint="eastAsia"/>
          <w:szCs w:val="21"/>
        </w:rPr>
        <w:t>出典：当地報道など</w:t>
      </w:r>
      <w:r w:rsidRPr="000E4167">
        <w:rPr>
          <w:rFonts w:hint="eastAsia"/>
          <w:szCs w:val="21"/>
        </w:rPr>
        <w:t>)</w:t>
      </w:r>
    </w:p>
    <w:p w:rsidR="001D1091" w:rsidRPr="000E4167" w:rsidRDefault="001D1091" w:rsidP="001D1091">
      <w:pPr>
        <w:pStyle w:val="ac"/>
        <w:numPr>
          <w:ilvl w:val="0"/>
          <w:numId w:val="2"/>
        </w:numPr>
        <w:ind w:leftChars="0"/>
        <w:rPr>
          <w:szCs w:val="21"/>
        </w:rPr>
      </w:pPr>
      <w:r w:rsidRPr="000E4167">
        <w:rPr>
          <w:rFonts w:hint="eastAsia"/>
          <w:szCs w:val="21"/>
        </w:rPr>
        <w:t>国内経済</w:t>
      </w:r>
    </w:p>
    <w:p w:rsidR="000E4167" w:rsidRPr="000E4167" w:rsidRDefault="000E4167" w:rsidP="000E4167">
      <w:pPr>
        <w:rPr>
          <w:b/>
          <w:szCs w:val="21"/>
          <w:u w:val="single"/>
        </w:rPr>
      </w:pPr>
      <w:r w:rsidRPr="000E4167">
        <w:rPr>
          <w:rFonts w:hint="eastAsia"/>
          <w:b/>
          <w:szCs w:val="21"/>
          <w:u w:val="single"/>
        </w:rPr>
        <w:t>●</w:t>
      </w:r>
      <w:r w:rsidRPr="000E4167">
        <w:rPr>
          <w:rFonts w:hint="eastAsia"/>
          <w:b/>
          <w:szCs w:val="21"/>
          <w:u w:val="single"/>
        </w:rPr>
        <w:t>2015</w:t>
      </w:r>
      <w:r w:rsidRPr="000E4167">
        <w:rPr>
          <w:rFonts w:hint="eastAsia"/>
          <w:b/>
          <w:szCs w:val="21"/>
          <w:u w:val="single"/>
        </w:rPr>
        <w:t>年度国家予算政府案の発表</w:t>
      </w:r>
      <w:r w:rsidRPr="000E4167">
        <w:rPr>
          <w:rFonts w:hint="eastAsia"/>
          <w:b/>
          <w:szCs w:val="21"/>
          <w:u w:val="single"/>
        </w:rPr>
        <w:t>(9/2)</w:t>
      </w:r>
    </w:p>
    <w:p w:rsidR="000E4167" w:rsidRPr="000E4167" w:rsidRDefault="000E4167" w:rsidP="00B12EAC">
      <w:pPr>
        <w:ind w:firstLineChars="100" w:firstLine="210"/>
        <w:rPr>
          <w:szCs w:val="21"/>
        </w:rPr>
      </w:pPr>
      <w:r w:rsidRPr="000E4167">
        <w:rPr>
          <w:rFonts w:hint="eastAsia"/>
          <w:szCs w:val="21"/>
        </w:rPr>
        <w:t>9</w:t>
      </w:r>
      <w:r w:rsidRPr="000E4167">
        <w:rPr>
          <w:rFonts w:hint="eastAsia"/>
          <w:szCs w:val="21"/>
        </w:rPr>
        <w:t>月</w:t>
      </w:r>
      <w:r w:rsidRPr="000E4167">
        <w:rPr>
          <w:rFonts w:hint="eastAsia"/>
          <w:szCs w:val="21"/>
        </w:rPr>
        <w:t>1</w:t>
      </w:r>
      <w:r w:rsidRPr="000E4167">
        <w:rPr>
          <w:rFonts w:hint="eastAsia"/>
          <w:szCs w:val="21"/>
        </w:rPr>
        <w:t>日、</w:t>
      </w:r>
      <w:r w:rsidRPr="000E4167">
        <w:rPr>
          <w:rFonts w:hint="eastAsia"/>
          <w:szCs w:val="21"/>
        </w:rPr>
        <w:t>2015</w:t>
      </w:r>
      <w:r w:rsidRPr="000E4167">
        <w:rPr>
          <w:rFonts w:hint="eastAsia"/>
          <w:szCs w:val="21"/>
        </w:rPr>
        <w:t>年度の国家予算政府案が発表され</w:t>
      </w:r>
      <w:r w:rsidR="009D17A5">
        <w:rPr>
          <w:rFonts w:hint="eastAsia"/>
          <w:szCs w:val="21"/>
        </w:rPr>
        <w:t>、その</w:t>
      </w:r>
      <w:r w:rsidRPr="000E4167">
        <w:rPr>
          <w:rFonts w:hint="eastAsia"/>
          <w:szCs w:val="21"/>
        </w:rPr>
        <w:t>額は前年比約</w:t>
      </w:r>
      <w:r w:rsidRPr="000E4167">
        <w:rPr>
          <w:rFonts w:hint="eastAsia"/>
          <w:szCs w:val="21"/>
        </w:rPr>
        <w:t>19</w:t>
      </w:r>
      <w:r w:rsidRPr="000E4167">
        <w:rPr>
          <w:rFonts w:hint="eastAsia"/>
          <w:szCs w:val="21"/>
        </w:rPr>
        <w:t>％増の約</w:t>
      </w:r>
      <w:r w:rsidRPr="000E4167">
        <w:rPr>
          <w:rFonts w:hint="eastAsia"/>
          <w:szCs w:val="21"/>
        </w:rPr>
        <w:t>79</w:t>
      </w:r>
      <w:r w:rsidRPr="000E4167">
        <w:rPr>
          <w:rFonts w:hint="eastAsia"/>
          <w:szCs w:val="21"/>
        </w:rPr>
        <w:t>兆コロンとなる見込となった。</w:t>
      </w:r>
      <w:r w:rsidR="009D17A5">
        <w:rPr>
          <w:rFonts w:hint="eastAsia"/>
          <w:szCs w:val="21"/>
        </w:rPr>
        <w:t>政府は予算額の</w:t>
      </w:r>
      <w:r w:rsidRPr="000E4167">
        <w:rPr>
          <w:rFonts w:hint="eastAsia"/>
          <w:szCs w:val="21"/>
        </w:rPr>
        <w:t>増加要因として</w:t>
      </w:r>
      <w:r w:rsidR="009D17A5">
        <w:rPr>
          <w:rFonts w:hint="eastAsia"/>
          <w:szCs w:val="21"/>
        </w:rPr>
        <w:t>、債務償還、金利払い、教育予算の増加、年金支払いの必要性など</w:t>
      </w:r>
      <w:r w:rsidR="003316D0">
        <w:rPr>
          <w:rFonts w:hint="eastAsia"/>
          <w:szCs w:val="21"/>
        </w:rPr>
        <w:t>の</w:t>
      </w:r>
      <w:r w:rsidRPr="000E4167">
        <w:rPr>
          <w:rFonts w:hint="eastAsia"/>
          <w:szCs w:val="21"/>
        </w:rPr>
        <w:t>理由を挙げている。また、予算の</w:t>
      </w:r>
      <w:r w:rsidRPr="000E4167">
        <w:rPr>
          <w:rFonts w:hint="eastAsia"/>
          <w:szCs w:val="21"/>
        </w:rPr>
        <w:t>53</w:t>
      </w:r>
      <w:r w:rsidRPr="000E4167">
        <w:rPr>
          <w:rFonts w:hint="eastAsia"/>
          <w:szCs w:val="21"/>
        </w:rPr>
        <w:t>％を国家の基礎的歳入で、</w:t>
      </w:r>
      <w:r w:rsidRPr="000E4167">
        <w:rPr>
          <w:rFonts w:hint="eastAsia"/>
          <w:szCs w:val="21"/>
        </w:rPr>
        <w:t>47</w:t>
      </w:r>
      <w:r w:rsidRPr="000E4167">
        <w:rPr>
          <w:rFonts w:hint="eastAsia"/>
          <w:szCs w:val="21"/>
        </w:rPr>
        <w:t>％は国債発行でまかなう予定となっている。エリオ・ファジャス財務大臣は、必要としている分野に予算が回るように</w:t>
      </w:r>
      <w:r w:rsidR="00B222E5">
        <w:rPr>
          <w:rFonts w:hint="eastAsia"/>
          <w:szCs w:val="21"/>
        </w:rPr>
        <w:t>した</w:t>
      </w:r>
      <w:r w:rsidRPr="000E4167">
        <w:rPr>
          <w:rFonts w:hint="eastAsia"/>
          <w:szCs w:val="21"/>
        </w:rPr>
        <w:t>と説明した。経済</w:t>
      </w:r>
      <w:r w:rsidR="00B222E5">
        <w:rPr>
          <w:rFonts w:hint="eastAsia"/>
          <w:szCs w:val="21"/>
        </w:rPr>
        <w:t>専門</w:t>
      </w:r>
      <w:r w:rsidRPr="000E4167">
        <w:rPr>
          <w:rFonts w:hint="eastAsia"/>
          <w:szCs w:val="21"/>
        </w:rPr>
        <w:t>家からは、増加する財政赤字額により、コスタリカの投資先としてのリスクが</w:t>
      </w:r>
      <w:r w:rsidR="00936A3C">
        <w:rPr>
          <w:rFonts w:hint="eastAsia"/>
          <w:szCs w:val="21"/>
        </w:rPr>
        <w:t>高まる</w:t>
      </w:r>
      <w:r w:rsidRPr="000E4167">
        <w:rPr>
          <w:rFonts w:hint="eastAsia"/>
          <w:szCs w:val="21"/>
        </w:rPr>
        <w:t>ことでムーディーズ社等の格付けが引き下げられる</w:t>
      </w:r>
      <w:r w:rsidR="00B12EAC">
        <w:rPr>
          <w:rFonts w:hint="eastAsia"/>
          <w:szCs w:val="21"/>
        </w:rPr>
        <w:t>可能性や、政府が打ち出している</w:t>
      </w:r>
      <w:r w:rsidR="00140921">
        <w:rPr>
          <w:rFonts w:hint="eastAsia"/>
          <w:szCs w:val="21"/>
        </w:rPr>
        <w:t>増税などの</w:t>
      </w:r>
      <w:r w:rsidR="00B12EAC">
        <w:rPr>
          <w:rFonts w:hint="eastAsia"/>
          <w:szCs w:val="21"/>
        </w:rPr>
        <w:t>財政健全化対策</w:t>
      </w:r>
      <w:r w:rsidR="00823832">
        <w:rPr>
          <w:rFonts w:hint="eastAsia"/>
          <w:szCs w:val="21"/>
        </w:rPr>
        <w:t>の</w:t>
      </w:r>
      <w:r w:rsidR="00B222E5">
        <w:rPr>
          <w:rFonts w:hint="eastAsia"/>
          <w:szCs w:val="21"/>
        </w:rPr>
        <w:t>実効</w:t>
      </w:r>
      <w:r w:rsidR="006348E7">
        <w:rPr>
          <w:rFonts w:hint="eastAsia"/>
          <w:szCs w:val="21"/>
        </w:rPr>
        <w:t>性</w:t>
      </w:r>
      <w:r w:rsidR="00823832">
        <w:rPr>
          <w:rFonts w:hint="eastAsia"/>
          <w:szCs w:val="21"/>
        </w:rPr>
        <w:t>に対する懸念が示され</w:t>
      </w:r>
      <w:r w:rsidR="00B222E5">
        <w:rPr>
          <w:rFonts w:hint="eastAsia"/>
          <w:szCs w:val="21"/>
        </w:rPr>
        <w:t>た</w:t>
      </w:r>
      <w:r w:rsidRPr="000E4167">
        <w:rPr>
          <w:rFonts w:hint="eastAsia"/>
          <w:szCs w:val="21"/>
        </w:rPr>
        <w:t>。</w:t>
      </w:r>
    </w:p>
    <w:p w:rsidR="000E4167" w:rsidRPr="000E4167" w:rsidRDefault="000E4167" w:rsidP="000E4167">
      <w:pPr>
        <w:rPr>
          <w:szCs w:val="21"/>
        </w:rPr>
      </w:pPr>
    </w:p>
    <w:p w:rsidR="000E4167" w:rsidRPr="000E4167" w:rsidRDefault="000E4167" w:rsidP="000E4167">
      <w:pPr>
        <w:rPr>
          <w:b/>
          <w:szCs w:val="21"/>
          <w:u w:val="single"/>
        </w:rPr>
      </w:pPr>
      <w:r w:rsidRPr="000E4167">
        <w:rPr>
          <w:rFonts w:hint="eastAsia"/>
          <w:b/>
          <w:szCs w:val="21"/>
          <w:u w:val="single"/>
        </w:rPr>
        <w:t>●コスタリカの物価上昇が顕著に</w:t>
      </w:r>
      <w:r w:rsidRPr="000E4167">
        <w:rPr>
          <w:rFonts w:hint="eastAsia"/>
          <w:b/>
          <w:szCs w:val="21"/>
          <w:u w:val="single"/>
        </w:rPr>
        <w:t>(9/3)</w:t>
      </w:r>
    </w:p>
    <w:p w:rsidR="000E4167" w:rsidRPr="000E4167" w:rsidRDefault="000E4167" w:rsidP="00596EC9">
      <w:pPr>
        <w:ind w:firstLineChars="100" w:firstLine="210"/>
        <w:rPr>
          <w:szCs w:val="21"/>
        </w:rPr>
      </w:pPr>
      <w:r w:rsidRPr="000E4167">
        <w:rPr>
          <w:rFonts w:hint="eastAsia"/>
          <w:szCs w:val="21"/>
        </w:rPr>
        <w:t>国家統計局</w:t>
      </w:r>
      <w:r w:rsidRPr="000E4167">
        <w:rPr>
          <w:rFonts w:hint="eastAsia"/>
          <w:szCs w:val="21"/>
        </w:rPr>
        <w:t>(</w:t>
      </w:r>
      <w:r w:rsidRPr="000E4167">
        <w:rPr>
          <w:rFonts w:hint="eastAsia"/>
          <w:szCs w:val="21"/>
        </w:rPr>
        <w:t>ＩＮＥＣ</w:t>
      </w:r>
      <w:r w:rsidRPr="000E4167">
        <w:rPr>
          <w:rFonts w:hint="eastAsia"/>
          <w:szCs w:val="21"/>
        </w:rPr>
        <w:t>)</w:t>
      </w:r>
      <w:r w:rsidRPr="000E4167">
        <w:rPr>
          <w:rFonts w:hint="eastAsia"/>
          <w:szCs w:val="21"/>
        </w:rPr>
        <w:t>による消費者物価指数を元に当地ナシオン紙が算出したところ、この</w:t>
      </w:r>
      <w:r w:rsidRPr="000E4167">
        <w:rPr>
          <w:rFonts w:hint="eastAsia"/>
          <w:szCs w:val="21"/>
        </w:rPr>
        <w:t>1</w:t>
      </w:r>
      <w:r w:rsidRPr="000E4167">
        <w:rPr>
          <w:rFonts w:hint="eastAsia"/>
          <w:szCs w:val="21"/>
        </w:rPr>
        <w:t>年間で青果類の価格は約</w:t>
      </w:r>
      <w:r w:rsidRPr="000E4167">
        <w:rPr>
          <w:rFonts w:hint="eastAsia"/>
          <w:szCs w:val="21"/>
        </w:rPr>
        <w:t>22</w:t>
      </w:r>
      <w:r w:rsidRPr="000E4167">
        <w:rPr>
          <w:rFonts w:hint="eastAsia"/>
          <w:szCs w:val="21"/>
        </w:rPr>
        <w:t>％上昇した。また</w:t>
      </w:r>
      <w:r w:rsidR="00596EC9">
        <w:rPr>
          <w:rFonts w:hint="eastAsia"/>
          <w:szCs w:val="21"/>
        </w:rPr>
        <w:t>、</w:t>
      </w:r>
      <w:r w:rsidRPr="000E4167">
        <w:rPr>
          <w:rFonts w:hint="eastAsia"/>
          <w:szCs w:val="21"/>
        </w:rPr>
        <w:t>魚介類や砂糖などの価格も上昇した。農業関係者からは、ドル高に伴うインフレだけでなく、エル・ニーニョ現象による異常気象も事態を悪化させているとの意見が出ている。その他にも、教育、公共交通、電話やインターネットサービスの価格も上昇し、全体の物価上昇率</w:t>
      </w:r>
      <w:r w:rsidRPr="000E4167">
        <w:rPr>
          <w:rFonts w:hint="eastAsia"/>
          <w:szCs w:val="21"/>
        </w:rPr>
        <w:t>(2013</w:t>
      </w:r>
      <w:r w:rsidRPr="000E4167">
        <w:rPr>
          <w:rFonts w:hint="eastAsia"/>
          <w:szCs w:val="21"/>
        </w:rPr>
        <w:t>年</w:t>
      </w:r>
      <w:r w:rsidRPr="000E4167">
        <w:rPr>
          <w:rFonts w:hint="eastAsia"/>
          <w:szCs w:val="21"/>
        </w:rPr>
        <w:t>8</w:t>
      </w:r>
      <w:r w:rsidRPr="000E4167">
        <w:rPr>
          <w:rFonts w:hint="eastAsia"/>
          <w:szCs w:val="21"/>
        </w:rPr>
        <w:t>月―</w:t>
      </w:r>
      <w:r w:rsidRPr="000E4167">
        <w:rPr>
          <w:rFonts w:hint="eastAsia"/>
          <w:szCs w:val="21"/>
        </w:rPr>
        <w:t>2014</w:t>
      </w:r>
      <w:r w:rsidRPr="000E4167">
        <w:rPr>
          <w:rFonts w:hint="eastAsia"/>
          <w:szCs w:val="21"/>
        </w:rPr>
        <w:t>年</w:t>
      </w:r>
      <w:r w:rsidRPr="000E4167">
        <w:rPr>
          <w:rFonts w:hint="eastAsia"/>
          <w:szCs w:val="21"/>
        </w:rPr>
        <w:t>8</w:t>
      </w:r>
      <w:r w:rsidRPr="000E4167">
        <w:rPr>
          <w:rFonts w:hint="eastAsia"/>
          <w:szCs w:val="21"/>
        </w:rPr>
        <w:t>月</w:t>
      </w:r>
      <w:r w:rsidRPr="000E4167">
        <w:rPr>
          <w:rFonts w:hint="eastAsia"/>
          <w:szCs w:val="21"/>
        </w:rPr>
        <w:t>)</w:t>
      </w:r>
      <w:r w:rsidRPr="000E4167">
        <w:rPr>
          <w:rFonts w:hint="eastAsia"/>
          <w:szCs w:val="21"/>
        </w:rPr>
        <w:t>は</w:t>
      </w:r>
      <w:r w:rsidRPr="000E4167">
        <w:rPr>
          <w:rFonts w:hint="eastAsia"/>
          <w:szCs w:val="21"/>
        </w:rPr>
        <w:t>5.49</w:t>
      </w:r>
      <w:r w:rsidRPr="000E4167">
        <w:rPr>
          <w:rFonts w:hint="eastAsia"/>
          <w:szCs w:val="21"/>
        </w:rPr>
        <w:t>％と、</w:t>
      </w:r>
      <w:r w:rsidRPr="000E4167">
        <w:rPr>
          <w:rFonts w:hint="eastAsia"/>
          <w:szCs w:val="21"/>
        </w:rPr>
        <w:t>8</w:t>
      </w:r>
      <w:r w:rsidRPr="000E4167">
        <w:rPr>
          <w:rFonts w:hint="eastAsia"/>
          <w:szCs w:val="21"/>
        </w:rPr>
        <w:t>月実施の調査ではこの</w:t>
      </w:r>
      <w:r w:rsidRPr="000E4167">
        <w:rPr>
          <w:rFonts w:hint="eastAsia"/>
          <w:szCs w:val="21"/>
        </w:rPr>
        <w:t>4</w:t>
      </w:r>
      <w:r w:rsidRPr="000E4167">
        <w:rPr>
          <w:rFonts w:hint="eastAsia"/>
          <w:szCs w:val="21"/>
        </w:rPr>
        <w:t>年間で最も高い数値を記録した。</w:t>
      </w:r>
    </w:p>
    <w:p w:rsidR="000E4167" w:rsidRPr="000E4167" w:rsidRDefault="000E4167" w:rsidP="000E4167">
      <w:pPr>
        <w:rPr>
          <w:szCs w:val="21"/>
        </w:rPr>
      </w:pPr>
    </w:p>
    <w:p w:rsidR="000E4167" w:rsidRPr="000E4167" w:rsidRDefault="000E4167" w:rsidP="000E4167">
      <w:pPr>
        <w:rPr>
          <w:b/>
          <w:szCs w:val="21"/>
          <w:u w:val="single"/>
        </w:rPr>
      </w:pPr>
      <w:r w:rsidRPr="000E4167">
        <w:rPr>
          <w:rFonts w:hint="eastAsia"/>
          <w:b/>
          <w:szCs w:val="21"/>
          <w:u w:val="single"/>
        </w:rPr>
        <w:t>●農牧省、特定農牧畜産品に予算を投入へ</w:t>
      </w:r>
      <w:r w:rsidRPr="000E4167">
        <w:rPr>
          <w:rFonts w:hint="eastAsia"/>
          <w:b/>
          <w:szCs w:val="21"/>
          <w:u w:val="single"/>
        </w:rPr>
        <w:t>(9/12)</w:t>
      </w:r>
    </w:p>
    <w:p w:rsidR="000E4167" w:rsidRPr="000E4167" w:rsidRDefault="000E4167" w:rsidP="00B222E5">
      <w:pPr>
        <w:ind w:firstLineChars="100" w:firstLine="210"/>
        <w:rPr>
          <w:szCs w:val="21"/>
        </w:rPr>
      </w:pPr>
      <w:r w:rsidRPr="000E4167">
        <w:rPr>
          <w:rFonts w:hint="eastAsia"/>
          <w:szCs w:val="21"/>
        </w:rPr>
        <w:t>農牧省は今後</w:t>
      </w:r>
      <w:r w:rsidRPr="000E4167">
        <w:rPr>
          <w:rFonts w:hint="eastAsia"/>
          <w:szCs w:val="21"/>
        </w:rPr>
        <w:t>4</w:t>
      </w:r>
      <w:r w:rsidRPr="000E4167">
        <w:rPr>
          <w:rFonts w:hint="eastAsia"/>
          <w:szCs w:val="21"/>
        </w:rPr>
        <w:t>年間で、穀物・肉・牛乳・ジャガイモ・タマネギの生産</w:t>
      </w:r>
      <w:r w:rsidR="00B222E5">
        <w:rPr>
          <w:rFonts w:hint="eastAsia"/>
          <w:szCs w:val="21"/>
        </w:rPr>
        <w:t>性</w:t>
      </w:r>
      <w:r w:rsidRPr="000E4167">
        <w:rPr>
          <w:rFonts w:hint="eastAsia"/>
          <w:szCs w:val="21"/>
        </w:rPr>
        <w:t>向上に予算を重点的に投入する計画を発表した。同省は、これまで</w:t>
      </w:r>
      <w:r w:rsidR="00B222E5">
        <w:rPr>
          <w:rFonts w:hint="eastAsia"/>
          <w:szCs w:val="21"/>
        </w:rPr>
        <w:t>これら</w:t>
      </w:r>
      <w:r w:rsidRPr="000E4167">
        <w:rPr>
          <w:rFonts w:hint="eastAsia"/>
          <w:szCs w:val="21"/>
        </w:rPr>
        <w:t>作物の生産</w:t>
      </w:r>
      <w:r w:rsidR="00B222E5">
        <w:rPr>
          <w:rFonts w:hint="eastAsia"/>
          <w:szCs w:val="21"/>
        </w:rPr>
        <w:t>性が低かった理由として、技術イノベーションの遅れ、輸入品の影響、零細農家</w:t>
      </w:r>
      <w:r w:rsidRPr="000E4167">
        <w:rPr>
          <w:rFonts w:hint="eastAsia"/>
          <w:szCs w:val="21"/>
        </w:rPr>
        <w:t>が多いことなどを挙げた。</w:t>
      </w:r>
      <w:r w:rsidR="00B222E5">
        <w:rPr>
          <w:rFonts w:hint="eastAsia"/>
          <w:szCs w:val="21"/>
        </w:rPr>
        <w:t>ちなみに、</w:t>
      </w:r>
      <w:r w:rsidR="003F60DD">
        <w:rPr>
          <w:rFonts w:hint="eastAsia"/>
          <w:szCs w:val="21"/>
        </w:rPr>
        <w:t>コメ</w:t>
      </w:r>
      <w:r w:rsidRPr="000E4167">
        <w:rPr>
          <w:rFonts w:hint="eastAsia"/>
          <w:szCs w:val="21"/>
        </w:rPr>
        <w:t>に関しては１</w:t>
      </w:r>
      <w:r w:rsidR="00596EC9">
        <w:rPr>
          <w:rFonts w:hint="eastAsia"/>
          <w:szCs w:val="21"/>
        </w:rPr>
        <w:t>h</w:t>
      </w:r>
      <w:r w:rsidRPr="000E4167">
        <w:rPr>
          <w:rFonts w:hint="eastAsia"/>
          <w:szCs w:val="21"/>
        </w:rPr>
        <w:t>a</w:t>
      </w:r>
      <w:r w:rsidRPr="000E4167">
        <w:rPr>
          <w:rFonts w:hint="eastAsia"/>
          <w:szCs w:val="21"/>
        </w:rPr>
        <w:t>あたりの生産量が</w:t>
      </w:r>
      <w:r w:rsidRPr="000E4167">
        <w:rPr>
          <w:rFonts w:hint="eastAsia"/>
          <w:szCs w:val="21"/>
        </w:rPr>
        <w:t>3.9</w:t>
      </w:r>
      <w:r w:rsidRPr="000E4167">
        <w:rPr>
          <w:rFonts w:hint="eastAsia"/>
          <w:szCs w:val="21"/>
        </w:rPr>
        <w:t>トンで、ウルグアイの</w:t>
      </w:r>
      <w:r w:rsidRPr="000E4167">
        <w:rPr>
          <w:rFonts w:hint="eastAsia"/>
          <w:szCs w:val="21"/>
        </w:rPr>
        <w:t>7.76</w:t>
      </w:r>
      <w:r w:rsidR="00B222E5">
        <w:rPr>
          <w:rFonts w:hint="eastAsia"/>
          <w:szCs w:val="21"/>
        </w:rPr>
        <w:t>トンの</w:t>
      </w:r>
      <w:r w:rsidRPr="000E4167">
        <w:rPr>
          <w:rFonts w:hint="eastAsia"/>
          <w:szCs w:val="21"/>
        </w:rPr>
        <w:t>約半分となっている。また、豆類でも</w:t>
      </w:r>
      <w:r w:rsidRPr="000E4167">
        <w:rPr>
          <w:rFonts w:hint="eastAsia"/>
          <w:szCs w:val="21"/>
        </w:rPr>
        <w:t>1ha</w:t>
      </w:r>
      <w:r w:rsidRPr="000E4167">
        <w:rPr>
          <w:rFonts w:hint="eastAsia"/>
          <w:szCs w:val="21"/>
        </w:rPr>
        <w:t>あたりの生産量はニカラグアと比較して</w:t>
      </w:r>
      <w:r w:rsidRPr="000E4167">
        <w:rPr>
          <w:rFonts w:hint="eastAsia"/>
          <w:szCs w:val="21"/>
        </w:rPr>
        <w:t>0.16</w:t>
      </w:r>
      <w:r w:rsidRPr="000E4167">
        <w:rPr>
          <w:rFonts w:hint="eastAsia"/>
          <w:szCs w:val="21"/>
        </w:rPr>
        <w:t>トン少ない</w:t>
      </w:r>
      <w:r w:rsidRPr="000E4167">
        <w:rPr>
          <w:rFonts w:hint="eastAsia"/>
          <w:szCs w:val="21"/>
        </w:rPr>
        <w:t>0.6</w:t>
      </w:r>
      <w:r w:rsidRPr="000E4167">
        <w:rPr>
          <w:rFonts w:hint="eastAsia"/>
          <w:szCs w:val="21"/>
        </w:rPr>
        <w:t>トンとなっている。農牧省は現在</w:t>
      </w:r>
      <w:r w:rsidR="00EA68E1">
        <w:rPr>
          <w:rFonts w:hint="eastAsia"/>
          <w:szCs w:val="21"/>
        </w:rPr>
        <w:t>、</w:t>
      </w:r>
      <w:r w:rsidRPr="000E4167">
        <w:rPr>
          <w:rFonts w:hint="eastAsia"/>
          <w:szCs w:val="21"/>
        </w:rPr>
        <w:t>来年予算</w:t>
      </w:r>
      <w:r w:rsidR="00EA68E1">
        <w:rPr>
          <w:rFonts w:hint="eastAsia"/>
          <w:szCs w:val="21"/>
        </w:rPr>
        <w:t>として</w:t>
      </w:r>
      <w:r w:rsidRPr="000E4167">
        <w:rPr>
          <w:rFonts w:hint="eastAsia"/>
          <w:szCs w:val="21"/>
        </w:rPr>
        <w:t>前年比約</w:t>
      </w:r>
      <w:r w:rsidRPr="000E4167">
        <w:rPr>
          <w:rFonts w:hint="eastAsia"/>
          <w:szCs w:val="21"/>
        </w:rPr>
        <w:t>2</w:t>
      </w:r>
      <w:r w:rsidRPr="000E4167">
        <w:rPr>
          <w:rFonts w:hint="eastAsia"/>
          <w:szCs w:val="21"/>
        </w:rPr>
        <w:t>割増しの</w:t>
      </w:r>
      <w:r w:rsidRPr="000E4167">
        <w:rPr>
          <w:rFonts w:hint="eastAsia"/>
          <w:szCs w:val="21"/>
        </w:rPr>
        <w:t>500</w:t>
      </w:r>
      <w:r w:rsidRPr="000E4167">
        <w:rPr>
          <w:rFonts w:hint="eastAsia"/>
          <w:szCs w:val="21"/>
        </w:rPr>
        <w:t>億コロンを求めており、同省の地方組織への予算、国家生産者評議会などの協力機関との協働プロジェクトへの予算増大を図る予定となっている。各作物の</w:t>
      </w:r>
      <w:r w:rsidR="00B222E5">
        <w:rPr>
          <w:rFonts w:hint="eastAsia"/>
          <w:szCs w:val="21"/>
        </w:rPr>
        <w:t>生産性に係る</w:t>
      </w:r>
      <w:r w:rsidRPr="000E4167">
        <w:rPr>
          <w:rFonts w:hint="eastAsia"/>
          <w:szCs w:val="21"/>
        </w:rPr>
        <w:t>具体的数値目標は、近日発表予定の国家開発計画の中で発表される見通しとなっている。</w:t>
      </w:r>
    </w:p>
    <w:p w:rsidR="000E4167" w:rsidRPr="000E4167" w:rsidRDefault="000E4167" w:rsidP="000E4167">
      <w:pPr>
        <w:rPr>
          <w:szCs w:val="21"/>
        </w:rPr>
      </w:pPr>
    </w:p>
    <w:p w:rsidR="000E4167" w:rsidRPr="000E4167" w:rsidRDefault="000E4167" w:rsidP="000E4167">
      <w:pPr>
        <w:rPr>
          <w:b/>
          <w:szCs w:val="21"/>
          <w:u w:val="single"/>
        </w:rPr>
      </w:pPr>
      <w:r w:rsidRPr="000E4167">
        <w:rPr>
          <w:rFonts w:hint="eastAsia"/>
          <w:b/>
          <w:szCs w:val="21"/>
          <w:u w:val="single"/>
        </w:rPr>
        <w:t>●ムーディーズ社、コスタリカの格付けを引き下げる</w:t>
      </w:r>
      <w:r w:rsidRPr="000E4167">
        <w:rPr>
          <w:rFonts w:hint="eastAsia"/>
          <w:b/>
          <w:szCs w:val="21"/>
          <w:u w:val="single"/>
        </w:rPr>
        <w:t>(9/17)</w:t>
      </w:r>
    </w:p>
    <w:p w:rsidR="000E4167" w:rsidRPr="000E4167" w:rsidRDefault="000E4167" w:rsidP="000E4167">
      <w:pPr>
        <w:ind w:firstLineChars="100" w:firstLine="210"/>
        <w:rPr>
          <w:szCs w:val="21"/>
        </w:rPr>
      </w:pPr>
      <w:r w:rsidRPr="000E4167">
        <w:rPr>
          <w:rFonts w:hint="eastAsia"/>
          <w:szCs w:val="21"/>
        </w:rPr>
        <w:t>9</w:t>
      </w:r>
      <w:r w:rsidRPr="000E4167">
        <w:rPr>
          <w:rFonts w:hint="eastAsia"/>
          <w:szCs w:val="21"/>
        </w:rPr>
        <w:t>月</w:t>
      </w:r>
      <w:r w:rsidRPr="000E4167">
        <w:rPr>
          <w:rFonts w:hint="eastAsia"/>
          <w:szCs w:val="21"/>
        </w:rPr>
        <w:t>16</w:t>
      </w:r>
      <w:r w:rsidRPr="000E4167">
        <w:rPr>
          <w:rFonts w:hint="eastAsia"/>
          <w:szCs w:val="21"/>
        </w:rPr>
        <w:t>日、米国格付け会社ムーディーズはコスタリカの財政赤字問題と、現政権が打ち出している同問題への対策の効率性への疑問から、同国の</w:t>
      </w:r>
      <w:r w:rsidR="00B222E5">
        <w:rPr>
          <w:rFonts w:hint="eastAsia"/>
          <w:szCs w:val="21"/>
        </w:rPr>
        <w:t>格付け</w:t>
      </w:r>
      <w:r w:rsidRPr="000E4167">
        <w:rPr>
          <w:rFonts w:hint="eastAsia"/>
          <w:szCs w:val="21"/>
        </w:rPr>
        <w:t>を</w:t>
      </w:r>
      <w:r w:rsidRPr="000E4167">
        <w:rPr>
          <w:rFonts w:hint="eastAsia"/>
          <w:szCs w:val="21"/>
        </w:rPr>
        <w:t>2010</w:t>
      </w:r>
      <w:r w:rsidRPr="000E4167">
        <w:rPr>
          <w:rFonts w:hint="eastAsia"/>
          <w:szCs w:val="21"/>
        </w:rPr>
        <w:t>年に設定した現状の</w:t>
      </w:r>
      <w:r w:rsidRPr="000E4167">
        <w:rPr>
          <w:rFonts w:hint="eastAsia"/>
          <w:szCs w:val="21"/>
        </w:rPr>
        <w:t>Baa3</w:t>
      </w:r>
      <w:r w:rsidRPr="000E4167">
        <w:rPr>
          <w:rFonts w:hint="eastAsia"/>
          <w:szCs w:val="21"/>
        </w:rPr>
        <w:t>から</w:t>
      </w:r>
      <w:r w:rsidRPr="000E4167">
        <w:rPr>
          <w:rFonts w:hint="eastAsia"/>
          <w:szCs w:val="21"/>
        </w:rPr>
        <w:t xml:space="preserve"> Ba1</w:t>
      </w:r>
      <w:r w:rsidRPr="000E4167">
        <w:rPr>
          <w:rFonts w:hint="eastAsia"/>
          <w:szCs w:val="21"/>
        </w:rPr>
        <w:t>へ引き下げること</w:t>
      </w:r>
      <w:r w:rsidR="009D17A5">
        <w:rPr>
          <w:rFonts w:hint="eastAsia"/>
          <w:szCs w:val="21"/>
        </w:rPr>
        <w:t>を</w:t>
      </w:r>
      <w:r w:rsidRPr="000E4167">
        <w:rPr>
          <w:rFonts w:hint="eastAsia"/>
          <w:szCs w:val="21"/>
        </w:rPr>
        <w:t>発表した。これを受け、ファジャス財務大臣は、</w:t>
      </w:r>
      <w:r w:rsidR="00B222E5">
        <w:rPr>
          <w:rFonts w:hint="eastAsia"/>
          <w:szCs w:val="21"/>
        </w:rPr>
        <w:t>これまで</w:t>
      </w:r>
      <w:r w:rsidRPr="000E4167">
        <w:rPr>
          <w:rFonts w:hint="eastAsia"/>
          <w:szCs w:val="21"/>
        </w:rPr>
        <w:t>財政改革</w:t>
      </w:r>
      <w:r w:rsidR="00B222E5">
        <w:rPr>
          <w:rFonts w:hint="eastAsia"/>
          <w:szCs w:val="21"/>
        </w:rPr>
        <w:t>が</w:t>
      </w:r>
      <w:r w:rsidRPr="000E4167">
        <w:rPr>
          <w:rFonts w:hint="eastAsia"/>
          <w:szCs w:val="21"/>
        </w:rPr>
        <w:t>断行</w:t>
      </w:r>
      <w:r w:rsidR="00B222E5">
        <w:rPr>
          <w:rFonts w:hint="eastAsia"/>
          <w:szCs w:val="21"/>
        </w:rPr>
        <w:t>されて</w:t>
      </w:r>
      <w:r w:rsidRPr="000E4167">
        <w:rPr>
          <w:rFonts w:hint="eastAsia"/>
          <w:szCs w:val="21"/>
        </w:rPr>
        <w:t>こなかったことが今回の格下げにつながったと</w:t>
      </w:r>
      <w:r w:rsidR="00470E91">
        <w:rPr>
          <w:rFonts w:hint="eastAsia"/>
          <w:szCs w:val="21"/>
        </w:rPr>
        <w:t>、</w:t>
      </w:r>
      <w:r w:rsidR="00B222E5">
        <w:rPr>
          <w:rFonts w:hint="eastAsia"/>
          <w:szCs w:val="21"/>
        </w:rPr>
        <w:t>過去の政権</w:t>
      </w:r>
      <w:r w:rsidR="00B222E5">
        <w:rPr>
          <w:rFonts w:hint="eastAsia"/>
          <w:szCs w:val="21"/>
        </w:rPr>
        <w:lastRenderedPageBreak/>
        <w:t>を</w:t>
      </w:r>
      <w:r w:rsidRPr="000E4167">
        <w:rPr>
          <w:rFonts w:hint="eastAsia"/>
          <w:szCs w:val="21"/>
        </w:rPr>
        <w:t>非難する一方で、現政権が今後実施する政策は財政の健全化を目指したものであると述べた。今回コスタリカが債務支払い能力の最も安定している国のリストか</w:t>
      </w:r>
      <w:r w:rsidR="00B222E5">
        <w:rPr>
          <w:rFonts w:hint="eastAsia"/>
          <w:szCs w:val="21"/>
        </w:rPr>
        <w:t>ら外れたことにより、今後国外からの資金調達が困難になり、</w:t>
      </w:r>
      <w:r w:rsidRPr="000E4167">
        <w:rPr>
          <w:rFonts w:hint="eastAsia"/>
          <w:szCs w:val="21"/>
        </w:rPr>
        <w:t>国債金利</w:t>
      </w:r>
      <w:r w:rsidR="00B222E5">
        <w:rPr>
          <w:rFonts w:hint="eastAsia"/>
          <w:szCs w:val="21"/>
        </w:rPr>
        <w:t>が更に</w:t>
      </w:r>
      <w:r w:rsidRPr="000E4167">
        <w:rPr>
          <w:rFonts w:hint="eastAsia"/>
          <w:szCs w:val="21"/>
        </w:rPr>
        <w:t>上昇</w:t>
      </w:r>
      <w:r w:rsidR="00B222E5">
        <w:rPr>
          <w:rFonts w:hint="eastAsia"/>
          <w:szCs w:val="21"/>
        </w:rPr>
        <w:t>す</w:t>
      </w:r>
      <w:r w:rsidRPr="000E4167">
        <w:rPr>
          <w:rFonts w:hint="eastAsia"/>
          <w:szCs w:val="21"/>
        </w:rPr>
        <w:t>ることが予測されている。また、</w:t>
      </w:r>
      <w:r w:rsidR="00B222E5">
        <w:rPr>
          <w:rFonts w:hint="eastAsia"/>
          <w:szCs w:val="21"/>
        </w:rPr>
        <w:t>この金利上昇が</w:t>
      </w:r>
      <w:r w:rsidRPr="000E4167">
        <w:rPr>
          <w:rFonts w:hint="eastAsia"/>
          <w:szCs w:val="21"/>
        </w:rPr>
        <w:t>今後</w:t>
      </w:r>
      <w:r w:rsidR="00470E91">
        <w:rPr>
          <w:rFonts w:hint="eastAsia"/>
          <w:szCs w:val="21"/>
        </w:rPr>
        <w:t>、</w:t>
      </w:r>
      <w:r w:rsidRPr="000E4167">
        <w:rPr>
          <w:rFonts w:hint="eastAsia"/>
          <w:szCs w:val="21"/>
        </w:rPr>
        <w:t>国内金融機関の企業や個人</w:t>
      </w:r>
      <w:r w:rsidR="00B222E5">
        <w:rPr>
          <w:rFonts w:hint="eastAsia"/>
          <w:szCs w:val="21"/>
        </w:rPr>
        <w:t>向け</w:t>
      </w:r>
      <w:r w:rsidR="00FB65D3">
        <w:rPr>
          <w:rFonts w:hint="eastAsia"/>
          <w:szCs w:val="21"/>
        </w:rPr>
        <w:t>貸付金利にも波及</w:t>
      </w:r>
      <w:r w:rsidRPr="000E4167">
        <w:rPr>
          <w:rFonts w:hint="eastAsia"/>
          <w:szCs w:val="21"/>
        </w:rPr>
        <w:t>する可能性がある。ただし、今回の格下げは以前から予測されていたことであったため、短期的には、今回の</w:t>
      </w:r>
      <w:r w:rsidR="00B222E5">
        <w:rPr>
          <w:rFonts w:hint="eastAsia"/>
          <w:szCs w:val="21"/>
        </w:rPr>
        <w:t>格付けの引き下げ</w:t>
      </w:r>
      <w:r w:rsidRPr="000E4167">
        <w:rPr>
          <w:rFonts w:hint="eastAsia"/>
          <w:szCs w:val="21"/>
        </w:rPr>
        <w:t>を受けての急激な金利上昇は起こらないとの見方が広がっている。</w:t>
      </w:r>
    </w:p>
    <w:p w:rsidR="000E4167" w:rsidRPr="000E4167" w:rsidRDefault="000E4167" w:rsidP="000E4167">
      <w:pPr>
        <w:rPr>
          <w:szCs w:val="21"/>
        </w:rPr>
      </w:pPr>
    </w:p>
    <w:p w:rsidR="000E4167" w:rsidRPr="001D517A" w:rsidRDefault="000E4167" w:rsidP="000E4167">
      <w:pPr>
        <w:rPr>
          <w:b/>
          <w:szCs w:val="21"/>
          <w:u w:val="single"/>
        </w:rPr>
      </w:pPr>
      <w:r w:rsidRPr="001D517A">
        <w:rPr>
          <w:rFonts w:hint="eastAsia"/>
          <w:b/>
          <w:szCs w:val="21"/>
          <w:u w:val="single"/>
        </w:rPr>
        <w:t>●税収額、</w:t>
      </w:r>
      <w:r w:rsidRPr="001D517A">
        <w:rPr>
          <w:rFonts w:hint="eastAsia"/>
          <w:b/>
          <w:szCs w:val="21"/>
          <w:u w:val="single"/>
        </w:rPr>
        <w:t>2009</w:t>
      </w:r>
      <w:r w:rsidRPr="001D517A">
        <w:rPr>
          <w:rFonts w:hint="eastAsia"/>
          <w:b/>
          <w:szCs w:val="21"/>
          <w:u w:val="single"/>
        </w:rPr>
        <w:t>年以来最小の増加率を記録</w:t>
      </w:r>
      <w:r w:rsidRPr="001D517A">
        <w:rPr>
          <w:rFonts w:hint="eastAsia"/>
          <w:b/>
          <w:szCs w:val="21"/>
          <w:u w:val="single"/>
        </w:rPr>
        <w:t>(10/21)</w:t>
      </w:r>
    </w:p>
    <w:p w:rsidR="000E4167" w:rsidRDefault="000E4167" w:rsidP="001D517A">
      <w:pPr>
        <w:ind w:firstLineChars="100" w:firstLine="210"/>
        <w:rPr>
          <w:szCs w:val="21"/>
        </w:rPr>
      </w:pPr>
      <w:r w:rsidRPr="000E4167">
        <w:rPr>
          <w:rFonts w:hint="eastAsia"/>
          <w:szCs w:val="21"/>
        </w:rPr>
        <w:t>2014</w:t>
      </w:r>
      <w:r w:rsidRPr="000E4167">
        <w:rPr>
          <w:rFonts w:hint="eastAsia"/>
          <w:szCs w:val="21"/>
        </w:rPr>
        <w:t>年の</w:t>
      </w:r>
      <w:r w:rsidRPr="000E4167">
        <w:rPr>
          <w:rFonts w:hint="eastAsia"/>
          <w:szCs w:val="21"/>
        </w:rPr>
        <w:t>9</w:t>
      </w:r>
      <w:r w:rsidRPr="000E4167">
        <w:rPr>
          <w:rFonts w:hint="eastAsia"/>
          <w:szCs w:val="21"/>
        </w:rPr>
        <w:t>月までの税収額増加率は前年比</w:t>
      </w:r>
      <w:r w:rsidRPr="000E4167">
        <w:rPr>
          <w:rFonts w:hint="eastAsia"/>
          <w:szCs w:val="21"/>
        </w:rPr>
        <w:t>7.5</w:t>
      </w:r>
      <w:r w:rsidRPr="000E4167">
        <w:rPr>
          <w:rFonts w:hint="eastAsia"/>
          <w:szCs w:val="21"/>
        </w:rPr>
        <w:t>％増にとどまり、これは世界同時不況のあった</w:t>
      </w:r>
      <w:r w:rsidRPr="000E4167">
        <w:rPr>
          <w:rFonts w:hint="eastAsia"/>
          <w:szCs w:val="21"/>
        </w:rPr>
        <w:t>2009</w:t>
      </w:r>
      <w:r w:rsidRPr="000E4167">
        <w:rPr>
          <w:rFonts w:hint="eastAsia"/>
          <w:szCs w:val="21"/>
        </w:rPr>
        <w:t>年以来最も低い数値となった。主な要因として、国内経済活動の低迷があげられている。特に全税収の約</w:t>
      </w:r>
      <w:r w:rsidRPr="000E4167">
        <w:rPr>
          <w:rFonts w:hint="eastAsia"/>
          <w:szCs w:val="21"/>
        </w:rPr>
        <w:t>3</w:t>
      </w:r>
      <w:r w:rsidRPr="000E4167">
        <w:rPr>
          <w:rFonts w:hint="eastAsia"/>
          <w:szCs w:val="21"/>
        </w:rPr>
        <w:t>分の</w:t>
      </w:r>
      <w:r w:rsidRPr="000E4167">
        <w:rPr>
          <w:rFonts w:hint="eastAsia"/>
          <w:szCs w:val="21"/>
        </w:rPr>
        <w:t>1</w:t>
      </w:r>
      <w:r w:rsidRPr="000E4167">
        <w:rPr>
          <w:rFonts w:hint="eastAsia"/>
          <w:szCs w:val="21"/>
        </w:rPr>
        <w:t>をしめる所得税と燃料税の伸び悩みが深刻化しており、他方で売上税は前年から増加を記録した。また、ドル高コロン安にともない、税関での税収増が顕著だった。</w:t>
      </w:r>
    </w:p>
    <w:p w:rsidR="00B96687" w:rsidRPr="000E4167" w:rsidRDefault="00B96687" w:rsidP="001D517A">
      <w:pPr>
        <w:ind w:firstLineChars="100" w:firstLine="210"/>
        <w:rPr>
          <w:szCs w:val="21"/>
        </w:rPr>
      </w:pPr>
    </w:p>
    <w:p w:rsidR="00B96687" w:rsidRPr="001D517A" w:rsidRDefault="00B96687" w:rsidP="00B96687">
      <w:pPr>
        <w:rPr>
          <w:b/>
          <w:szCs w:val="21"/>
          <w:u w:val="single"/>
        </w:rPr>
      </w:pPr>
      <w:r w:rsidRPr="001D517A">
        <w:rPr>
          <w:rFonts w:hint="eastAsia"/>
          <w:b/>
          <w:szCs w:val="21"/>
          <w:u w:val="single"/>
        </w:rPr>
        <w:t>●マグロ漁は太平洋の</w:t>
      </w:r>
      <w:r w:rsidRPr="001D517A">
        <w:rPr>
          <w:rFonts w:hint="eastAsia"/>
          <w:b/>
          <w:szCs w:val="21"/>
          <w:u w:val="single"/>
        </w:rPr>
        <w:t>2</w:t>
      </w:r>
      <w:r w:rsidRPr="001D517A">
        <w:rPr>
          <w:rFonts w:hint="eastAsia"/>
          <w:b/>
          <w:szCs w:val="21"/>
          <w:u w:val="single"/>
        </w:rPr>
        <w:t>海域に限定</w:t>
      </w:r>
      <w:r w:rsidRPr="001D517A">
        <w:rPr>
          <w:rFonts w:hint="eastAsia"/>
          <w:b/>
          <w:szCs w:val="21"/>
          <w:u w:val="single"/>
        </w:rPr>
        <w:t>(10/21)</w:t>
      </w:r>
    </w:p>
    <w:p w:rsidR="00B96687" w:rsidRPr="000E4167" w:rsidRDefault="00B96687" w:rsidP="00B96687">
      <w:pPr>
        <w:ind w:firstLineChars="100" w:firstLine="210"/>
        <w:rPr>
          <w:szCs w:val="21"/>
        </w:rPr>
      </w:pPr>
      <w:r>
        <w:rPr>
          <w:rFonts w:hint="eastAsia"/>
          <w:szCs w:val="21"/>
        </w:rPr>
        <w:t>コスタリカ政府</w:t>
      </w:r>
      <w:r w:rsidRPr="000E4167">
        <w:rPr>
          <w:rFonts w:hint="eastAsia"/>
          <w:szCs w:val="21"/>
        </w:rPr>
        <w:t>は</w:t>
      </w:r>
      <w:r w:rsidR="00B222E5">
        <w:rPr>
          <w:rFonts w:hint="eastAsia"/>
          <w:szCs w:val="21"/>
        </w:rPr>
        <w:t>10</w:t>
      </w:r>
      <w:r w:rsidR="00B222E5">
        <w:rPr>
          <w:rFonts w:hint="eastAsia"/>
          <w:szCs w:val="21"/>
        </w:rPr>
        <w:t>月</w:t>
      </w:r>
      <w:r w:rsidR="00B222E5">
        <w:rPr>
          <w:rFonts w:hint="eastAsia"/>
          <w:szCs w:val="21"/>
        </w:rPr>
        <w:t>20</w:t>
      </w:r>
      <w:r>
        <w:rPr>
          <w:rFonts w:hint="eastAsia"/>
          <w:szCs w:val="21"/>
        </w:rPr>
        <w:t>日、</w:t>
      </w:r>
      <w:r w:rsidRPr="000E4167">
        <w:rPr>
          <w:rFonts w:hint="eastAsia"/>
          <w:szCs w:val="21"/>
        </w:rPr>
        <w:t>マグロおよび一部の</w:t>
      </w:r>
      <w:r>
        <w:rPr>
          <w:rFonts w:hint="eastAsia"/>
          <w:szCs w:val="21"/>
        </w:rPr>
        <w:t>魚類</w:t>
      </w:r>
      <w:r w:rsidRPr="000E4167">
        <w:rPr>
          <w:rFonts w:hint="eastAsia"/>
          <w:szCs w:val="21"/>
        </w:rPr>
        <w:t>の捕獲は</w:t>
      </w:r>
      <w:r>
        <w:rPr>
          <w:rFonts w:hint="eastAsia"/>
          <w:szCs w:val="21"/>
        </w:rPr>
        <w:t>今後</w:t>
      </w:r>
      <w:r w:rsidRPr="000E4167">
        <w:rPr>
          <w:rFonts w:hint="eastAsia"/>
          <w:szCs w:val="21"/>
        </w:rPr>
        <w:t>太平洋の</w:t>
      </w:r>
      <w:r w:rsidRPr="000E4167">
        <w:rPr>
          <w:rFonts w:hint="eastAsia"/>
          <w:szCs w:val="21"/>
        </w:rPr>
        <w:t>2</w:t>
      </w:r>
      <w:r w:rsidRPr="000E4167">
        <w:rPr>
          <w:rFonts w:hint="eastAsia"/>
          <w:szCs w:val="21"/>
        </w:rPr>
        <w:t>海域内のみで実施すること</w:t>
      </w:r>
      <w:r>
        <w:rPr>
          <w:rFonts w:hint="eastAsia"/>
          <w:szCs w:val="21"/>
        </w:rPr>
        <w:t>を定めた</w:t>
      </w:r>
      <w:r w:rsidRPr="000E4167">
        <w:rPr>
          <w:rFonts w:hint="eastAsia"/>
          <w:szCs w:val="21"/>
        </w:rPr>
        <w:t>政令を発表した。</w:t>
      </w:r>
      <w:r>
        <w:rPr>
          <w:rFonts w:hint="eastAsia"/>
          <w:szCs w:val="21"/>
        </w:rPr>
        <w:t>2</w:t>
      </w:r>
      <w:r>
        <w:rPr>
          <w:rFonts w:hint="eastAsia"/>
          <w:szCs w:val="21"/>
        </w:rPr>
        <w:t>海域は、</w:t>
      </w:r>
      <w:r w:rsidRPr="000E4167">
        <w:rPr>
          <w:rFonts w:hint="eastAsia"/>
          <w:szCs w:val="21"/>
        </w:rPr>
        <w:t>沿岸から</w:t>
      </w:r>
      <w:r w:rsidRPr="000E4167">
        <w:rPr>
          <w:rFonts w:hint="eastAsia"/>
          <w:szCs w:val="21"/>
        </w:rPr>
        <w:t>40</w:t>
      </w:r>
      <w:r w:rsidRPr="000E4167">
        <w:rPr>
          <w:rFonts w:hint="eastAsia"/>
          <w:szCs w:val="21"/>
        </w:rPr>
        <w:t>海里</w:t>
      </w:r>
      <w:r w:rsidRPr="000E4167">
        <w:rPr>
          <w:rFonts w:hint="eastAsia"/>
          <w:szCs w:val="21"/>
        </w:rPr>
        <w:t>(74km)</w:t>
      </w:r>
      <w:r>
        <w:rPr>
          <w:rFonts w:hint="eastAsia"/>
          <w:szCs w:val="21"/>
        </w:rPr>
        <w:t>までと、その先となっている。前者は小規模漁船による自営業者、後者</w:t>
      </w:r>
      <w:r w:rsidRPr="000E4167">
        <w:rPr>
          <w:rFonts w:hint="eastAsia"/>
          <w:szCs w:val="21"/>
        </w:rPr>
        <w:t>は大型漁船を持つ企業と棲み分けを図</w:t>
      </w:r>
      <w:r w:rsidR="00B222E5">
        <w:rPr>
          <w:rFonts w:hint="eastAsia"/>
          <w:szCs w:val="21"/>
        </w:rPr>
        <w:t>る</w:t>
      </w:r>
      <w:r>
        <w:rPr>
          <w:rFonts w:hint="eastAsia"/>
          <w:szCs w:val="21"/>
        </w:rPr>
        <w:t>ことを目的とし、政令遵守を確認するための</w:t>
      </w:r>
      <w:r w:rsidRPr="000E4167">
        <w:rPr>
          <w:rFonts w:hint="eastAsia"/>
          <w:szCs w:val="21"/>
        </w:rPr>
        <w:t>ＧＰＳ搭載なども義務化</w:t>
      </w:r>
      <w:r>
        <w:rPr>
          <w:rFonts w:hint="eastAsia"/>
          <w:szCs w:val="21"/>
        </w:rPr>
        <w:t>される</w:t>
      </w:r>
      <w:r w:rsidRPr="000E4167">
        <w:rPr>
          <w:rFonts w:hint="eastAsia"/>
          <w:szCs w:val="21"/>
        </w:rPr>
        <w:t>。ココ島国立公園や</w:t>
      </w:r>
      <w:r>
        <w:rPr>
          <w:rFonts w:hint="eastAsia"/>
          <w:szCs w:val="21"/>
        </w:rPr>
        <w:t>、</w:t>
      </w:r>
      <w:r w:rsidRPr="000E4167">
        <w:rPr>
          <w:rFonts w:hint="eastAsia"/>
          <w:szCs w:val="21"/>
        </w:rPr>
        <w:t>モンテス・スブマリナ海域</w:t>
      </w:r>
      <w:r>
        <w:rPr>
          <w:rFonts w:hint="eastAsia"/>
          <w:szCs w:val="21"/>
        </w:rPr>
        <w:t>など環境資源として重要な</w:t>
      </w:r>
      <w:r w:rsidRPr="000E4167">
        <w:rPr>
          <w:rFonts w:hint="eastAsia"/>
          <w:szCs w:val="21"/>
        </w:rPr>
        <w:t>海域</w:t>
      </w:r>
      <w:r>
        <w:rPr>
          <w:rFonts w:hint="eastAsia"/>
          <w:szCs w:val="21"/>
        </w:rPr>
        <w:t>や、その他の海洋生物の</w:t>
      </w:r>
      <w:r w:rsidRPr="000E4167">
        <w:rPr>
          <w:rFonts w:hint="eastAsia"/>
          <w:szCs w:val="21"/>
        </w:rPr>
        <w:t>重要な繁殖地とされている海域での漁業活動も禁止される見通しとなっている。</w:t>
      </w:r>
    </w:p>
    <w:p w:rsidR="000E4167" w:rsidRPr="00B96687" w:rsidRDefault="000E4167" w:rsidP="000E4167">
      <w:pPr>
        <w:rPr>
          <w:szCs w:val="21"/>
        </w:rPr>
      </w:pPr>
    </w:p>
    <w:p w:rsidR="000E4167" w:rsidRPr="001D517A" w:rsidRDefault="000E4167" w:rsidP="000E4167">
      <w:pPr>
        <w:rPr>
          <w:b/>
          <w:szCs w:val="21"/>
          <w:u w:val="single"/>
        </w:rPr>
      </w:pPr>
      <w:r w:rsidRPr="001D517A">
        <w:rPr>
          <w:rFonts w:hint="eastAsia"/>
          <w:b/>
          <w:szCs w:val="21"/>
          <w:u w:val="single"/>
        </w:rPr>
        <w:t>●リモン港湾労働者によるストライキ</w:t>
      </w:r>
      <w:r w:rsidRPr="001D517A">
        <w:rPr>
          <w:rFonts w:hint="eastAsia"/>
          <w:b/>
          <w:szCs w:val="21"/>
          <w:u w:val="single"/>
        </w:rPr>
        <w:t>(10/11-30)</w:t>
      </w:r>
    </w:p>
    <w:p w:rsidR="000E4167" w:rsidRPr="000E4167" w:rsidRDefault="000E4167" w:rsidP="001D517A">
      <w:pPr>
        <w:ind w:firstLineChars="100" w:firstLine="210"/>
        <w:rPr>
          <w:szCs w:val="21"/>
        </w:rPr>
      </w:pPr>
      <w:r w:rsidRPr="000E4167">
        <w:rPr>
          <w:rFonts w:hint="eastAsia"/>
          <w:szCs w:val="21"/>
        </w:rPr>
        <w:t>10</w:t>
      </w:r>
      <w:r w:rsidRPr="000E4167">
        <w:rPr>
          <w:rFonts w:hint="eastAsia"/>
          <w:szCs w:val="21"/>
        </w:rPr>
        <w:t>月</w:t>
      </w:r>
      <w:r w:rsidRPr="000E4167">
        <w:rPr>
          <w:rFonts w:hint="eastAsia"/>
          <w:szCs w:val="21"/>
        </w:rPr>
        <w:t>10</w:t>
      </w:r>
      <w:r w:rsidRPr="000E4167">
        <w:rPr>
          <w:rFonts w:hint="eastAsia"/>
          <w:szCs w:val="21"/>
        </w:rPr>
        <w:t>日にコスタリカ最高裁第一法廷において、</w:t>
      </w:r>
      <w:r w:rsidRPr="000E4167">
        <w:rPr>
          <w:rFonts w:hint="eastAsia"/>
          <w:szCs w:val="21"/>
        </w:rPr>
        <w:t>Japdeva(</w:t>
      </w:r>
      <w:r w:rsidRPr="000E4167">
        <w:rPr>
          <w:rFonts w:hint="eastAsia"/>
          <w:szCs w:val="21"/>
        </w:rPr>
        <w:t>大西洋岸港湾管理・経済開発委員会</w:t>
      </w:r>
      <w:r w:rsidRPr="000E4167">
        <w:rPr>
          <w:rFonts w:hint="eastAsia"/>
          <w:szCs w:val="21"/>
        </w:rPr>
        <w:t>(</w:t>
      </w:r>
      <w:r w:rsidRPr="000E4167">
        <w:rPr>
          <w:rFonts w:hint="eastAsia"/>
          <w:szCs w:val="21"/>
        </w:rPr>
        <w:t>同港湾公社</w:t>
      </w:r>
      <w:r w:rsidRPr="000E4167">
        <w:rPr>
          <w:rFonts w:hint="eastAsia"/>
          <w:szCs w:val="21"/>
        </w:rPr>
        <w:t>))</w:t>
      </w:r>
      <w:r w:rsidRPr="000E4167">
        <w:rPr>
          <w:rFonts w:hint="eastAsia"/>
          <w:szCs w:val="21"/>
        </w:rPr>
        <w:t>の労働組合である</w:t>
      </w:r>
      <w:r w:rsidRPr="000E4167">
        <w:rPr>
          <w:rFonts w:hint="eastAsia"/>
          <w:szCs w:val="21"/>
        </w:rPr>
        <w:t>Sintrajap</w:t>
      </w:r>
      <w:r w:rsidRPr="000E4167">
        <w:rPr>
          <w:rFonts w:hint="eastAsia"/>
          <w:szCs w:val="21"/>
        </w:rPr>
        <w:t>による訴えが棄却され、オランダ資本の</w:t>
      </w:r>
      <w:r w:rsidRPr="000E4167">
        <w:rPr>
          <w:rFonts w:hint="eastAsia"/>
          <w:szCs w:val="21"/>
        </w:rPr>
        <w:t>APMTerminals(</w:t>
      </w:r>
      <w:r w:rsidRPr="000E4167">
        <w:rPr>
          <w:rFonts w:hint="eastAsia"/>
          <w:szCs w:val="21"/>
        </w:rPr>
        <w:t>世界有数のメガターミナル・オペレーター</w:t>
      </w:r>
      <w:r w:rsidRPr="000E4167">
        <w:rPr>
          <w:rFonts w:hint="eastAsia"/>
          <w:szCs w:val="21"/>
        </w:rPr>
        <w:t>)</w:t>
      </w:r>
      <w:r w:rsidRPr="000E4167">
        <w:rPr>
          <w:rFonts w:hint="eastAsia"/>
          <w:szCs w:val="21"/>
        </w:rPr>
        <w:t>によるリモン県モイン港におけるメガ・ポート</w:t>
      </w:r>
      <w:r w:rsidRPr="000E4167">
        <w:rPr>
          <w:rFonts w:hint="eastAsia"/>
          <w:szCs w:val="21"/>
        </w:rPr>
        <w:t>(</w:t>
      </w:r>
      <w:r w:rsidRPr="000E4167">
        <w:rPr>
          <w:rFonts w:hint="eastAsia"/>
          <w:szCs w:val="21"/>
        </w:rPr>
        <w:t>大規模コンテナ・ターミナル</w:t>
      </w:r>
      <w:r w:rsidRPr="000E4167">
        <w:rPr>
          <w:rFonts w:hint="eastAsia"/>
          <w:szCs w:val="21"/>
        </w:rPr>
        <w:t>)</w:t>
      </w:r>
      <w:r w:rsidRPr="000E4167">
        <w:rPr>
          <w:rFonts w:hint="eastAsia"/>
          <w:szCs w:val="21"/>
        </w:rPr>
        <w:t>建設プロジェクト開始が認められて以降、</w:t>
      </w:r>
      <w:r w:rsidRPr="000E4167">
        <w:rPr>
          <w:rFonts w:hint="eastAsia"/>
          <w:szCs w:val="21"/>
        </w:rPr>
        <w:t>Sintrajap</w:t>
      </w:r>
      <w:r w:rsidRPr="000E4167">
        <w:rPr>
          <w:rFonts w:hint="eastAsia"/>
          <w:szCs w:val="21"/>
        </w:rPr>
        <w:t>による同プロジェクトへの反発は強まり、同労組は</w:t>
      </w:r>
      <w:r w:rsidRPr="000E4167">
        <w:rPr>
          <w:rFonts w:hint="eastAsia"/>
          <w:szCs w:val="21"/>
        </w:rPr>
        <w:t>22</w:t>
      </w:r>
      <w:r w:rsidRPr="000E4167">
        <w:rPr>
          <w:rFonts w:hint="eastAsia"/>
          <w:szCs w:val="21"/>
        </w:rPr>
        <w:t>日午前からリモン県のリモン港及びモイン港でストライキを開始した。同労組は今回のストライキの目的について、建設プロジェクト自体に反対しているのではなく、</w:t>
      </w:r>
      <w:r w:rsidRPr="000E4167">
        <w:rPr>
          <w:rFonts w:hint="eastAsia"/>
          <w:szCs w:val="21"/>
        </w:rPr>
        <w:t>APMTerminals</w:t>
      </w:r>
      <w:r w:rsidRPr="000E4167">
        <w:rPr>
          <w:rFonts w:hint="eastAsia"/>
          <w:szCs w:val="21"/>
        </w:rPr>
        <w:t>にコンテナ取扱の独占的権利を与える契約条項が見直され、</w:t>
      </w:r>
      <w:r w:rsidRPr="000E4167">
        <w:rPr>
          <w:rFonts w:hint="eastAsia"/>
          <w:szCs w:val="21"/>
        </w:rPr>
        <w:t>Japdeva</w:t>
      </w:r>
      <w:r w:rsidRPr="000E4167">
        <w:rPr>
          <w:rFonts w:hint="eastAsia"/>
          <w:szCs w:val="21"/>
        </w:rPr>
        <w:t>が</w:t>
      </w:r>
      <w:r w:rsidRPr="000E4167">
        <w:rPr>
          <w:rFonts w:hint="eastAsia"/>
          <w:szCs w:val="21"/>
        </w:rPr>
        <w:t>APMTerminals</w:t>
      </w:r>
      <w:r w:rsidRPr="000E4167">
        <w:rPr>
          <w:rFonts w:hint="eastAsia"/>
          <w:szCs w:val="21"/>
        </w:rPr>
        <w:t>と競争できる余地を政府に確保してもらうことにあるとしている。この事態を受け、ソリス大統領は</w:t>
      </w:r>
      <w:r w:rsidRPr="000E4167">
        <w:rPr>
          <w:rFonts w:hint="eastAsia"/>
          <w:szCs w:val="21"/>
        </w:rPr>
        <w:t>22</w:t>
      </w:r>
      <w:r w:rsidRPr="000E4167">
        <w:rPr>
          <w:rFonts w:hint="eastAsia"/>
          <w:szCs w:val="21"/>
        </w:rPr>
        <w:t>日夕刻に</w:t>
      </w:r>
      <w:r w:rsidRPr="000E4167">
        <w:rPr>
          <w:rFonts w:hint="eastAsia"/>
          <w:szCs w:val="21"/>
        </w:rPr>
        <w:t>150</w:t>
      </w:r>
      <w:r w:rsidRPr="000E4167">
        <w:rPr>
          <w:rFonts w:hint="eastAsia"/>
          <w:szCs w:val="21"/>
        </w:rPr>
        <w:t>人の警察官</w:t>
      </w:r>
      <w:r w:rsidR="006E4829">
        <w:rPr>
          <w:rFonts w:hint="eastAsia"/>
          <w:szCs w:val="21"/>
        </w:rPr>
        <w:t>を</w:t>
      </w:r>
      <w:r w:rsidRPr="000E4167">
        <w:rPr>
          <w:rFonts w:hint="eastAsia"/>
          <w:szCs w:val="21"/>
        </w:rPr>
        <w:t>動員</w:t>
      </w:r>
      <w:r w:rsidR="006E4829">
        <w:rPr>
          <w:rFonts w:hint="eastAsia"/>
          <w:szCs w:val="21"/>
        </w:rPr>
        <w:t>して</w:t>
      </w:r>
      <w:r w:rsidRPr="000E4167">
        <w:rPr>
          <w:rFonts w:hint="eastAsia"/>
          <w:szCs w:val="21"/>
        </w:rPr>
        <w:t>、労組により閉鎖されていたモイン港を開放することを決断。わずか</w:t>
      </w:r>
      <w:r w:rsidRPr="000E4167">
        <w:rPr>
          <w:rFonts w:hint="eastAsia"/>
          <w:szCs w:val="21"/>
        </w:rPr>
        <w:t>9</w:t>
      </w:r>
      <w:r w:rsidRPr="000E4167">
        <w:rPr>
          <w:rFonts w:hint="eastAsia"/>
          <w:szCs w:val="21"/>
        </w:rPr>
        <w:t>分間に</w:t>
      </w:r>
      <w:r w:rsidRPr="000E4167">
        <w:rPr>
          <w:rFonts w:hint="eastAsia"/>
          <w:szCs w:val="21"/>
        </w:rPr>
        <w:t>68</w:t>
      </w:r>
      <w:r w:rsidRPr="000E4167">
        <w:rPr>
          <w:rFonts w:hint="eastAsia"/>
          <w:szCs w:val="21"/>
        </w:rPr>
        <w:t>名の労働者が逮捕された。この事態を受け、同日に</w:t>
      </w:r>
      <w:r w:rsidRPr="000E4167">
        <w:rPr>
          <w:rFonts w:hint="eastAsia"/>
          <w:szCs w:val="21"/>
        </w:rPr>
        <w:t>Sintrajap</w:t>
      </w:r>
      <w:r w:rsidRPr="000E4167">
        <w:rPr>
          <w:rFonts w:hint="eastAsia"/>
          <w:szCs w:val="21"/>
        </w:rPr>
        <w:t>のロナルド・</w:t>
      </w:r>
      <w:r w:rsidRPr="000E4167">
        <w:rPr>
          <w:rFonts w:hint="eastAsia"/>
          <w:szCs w:val="21"/>
        </w:rPr>
        <w:lastRenderedPageBreak/>
        <w:t>ブレア書記長は、「もし政府が我々に害を与えるなら我々も同様に反応する。」と述べ、ストライキの無期限化も辞さない姿勢を示した。</w:t>
      </w:r>
    </w:p>
    <w:p w:rsidR="000E4167" w:rsidRPr="000E4167" w:rsidRDefault="000E4167" w:rsidP="00093B0E">
      <w:pPr>
        <w:ind w:firstLineChars="100" w:firstLine="210"/>
        <w:rPr>
          <w:szCs w:val="21"/>
        </w:rPr>
      </w:pPr>
      <w:r w:rsidRPr="000E4167">
        <w:rPr>
          <w:rFonts w:hint="eastAsia"/>
          <w:szCs w:val="21"/>
        </w:rPr>
        <w:t>27</w:t>
      </w:r>
      <w:r w:rsidRPr="000E4167">
        <w:rPr>
          <w:rFonts w:hint="eastAsia"/>
          <w:szCs w:val="21"/>
        </w:rPr>
        <w:t>日に</w:t>
      </w:r>
      <w:r w:rsidR="00093B0E">
        <w:rPr>
          <w:rFonts w:hint="eastAsia"/>
          <w:szCs w:val="21"/>
        </w:rPr>
        <w:t>は</w:t>
      </w:r>
      <w:r w:rsidRPr="000E4167">
        <w:rPr>
          <w:rFonts w:hint="eastAsia"/>
          <w:szCs w:val="21"/>
        </w:rPr>
        <w:t>モラレス労働大臣、マッキンリー</w:t>
      </w:r>
      <w:r w:rsidRPr="000E4167">
        <w:rPr>
          <w:rFonts w:hint="eastAsia"/>
          <w:szCs w:val="21"/>
        </w:rPr>
        <w:t>Japdeva</w:t>
      </w:r>
      <w:r w:rsidRPr="000E4167">
        <w:rPr>
          <w:rFonts w:hint="eastAsia"/>
          <w:szCs w:val="21"/>
        </w:rPr>
        <w:t>総裁、国会議員及び労働組合の代表者との間で</w:t>
      </w:r>
      <w:r w:rsidRPr="000E4167">
        <w:rPr>
          <w:rFonts w:hint="eastAsia"/>
          <w:szCs w:val="21"/>
        </w:rPr>
        <w:t>3</w:t>
      </w:r>
      <w:r w:rsidRPr="000E4167">
        <w:rPr>
          <w:rFonts w:hint="eastAsia"/>
          <w:szCs w:val="21"/>
        </w:rPr>
        <w:t>時間に渡る会合が開かれ、</w:t>
      </w:r>
      <w:r w:rsidR="006E4829" w:rsidRPr="006E4829">
        <w:rPr>
          <w:rFonts w:hint="eastAsia"/>
          <w:szCs w:val="21"/>
        </w:rPr>
        <w:t>政府側からは</w:t>
      </w:r>
      <w:r w:rsidR="006E4829" w:rsidRPr="006E4829">
        <w:rPr>
          <w:rFonts w:hint="eastAsia"/>
          <w:szCs w:val="21"/>
        </w:rPr>
        <w:t>Japdeva</w:t>
      </w:r>
      <w:r w:rsidR="006E4829" w:rsidRPr="006E4829">
        <w:rPr>
          <w:rFonts w:hint="eastAsia"/>
          <w:szCs w:val="21"/>
        </w:rPr>
        <w:t>の組織強化とリモン県発展プロジェクトのための約</w:t>
      </w:r>
      <w:r w:rsidR="006E4829">
        <w:rPr>
          <w:rFonts w:hint="eastAsia"/>
          <w:szCs w:val="21"/>
        </w:rPr>
        <w:t>4,060</w:t>
      </w:r>
      <w:r w:rsidR="006E4829" w:rsidRPr="006E4829">
        <w:rPr>
          <w:rFonts w:hint="eastAsia"/>
          <w:szCs w:val="21"/>
        </w:rPr>
        <w:t>億コロン</w:t>
      </w:r>
      <w:r w:rsidR="006E4829" w:rsidRPr="006E4829">
        <w:rPr>
          <w:rFonts w:hint="eastAsia"/>
          <w:szCs w:val="21"/>
        </w:rPr>
        <w:t>(</w:t>
      </w:r>
      <w:r w:rsidR="006E4829">
        <w:rPr>
          <w:rFonts w:hint="eastAsia"/>
          <w:szCs w:val="21"/>
        </w:rPr>
        <w:t>約</w:t>
      </w:r>
      <w:r w:rsidR="006E4829">
        <w:rPr>
          <w:rFonts w:hint="eastAsia"/>
          <w:szCs w:val="21"/>
        </w:rPr>
        <w:t>7.5</w:t>
      </w:r>
      <w:r w:rsidR="006E4829" w:rsidRPr="006E4829">
        <w:rPr>
          <w:rFonts w:hint="eastAsia"/>
          <w:szCs w:val="21"/>
        </w:rPr>
        <w:t>億ドル</w:t>
      </w:r>
      <w:r w:rsidR="006E4829" w:rsidRPr="006E4829">
        <w:rPr>
          <w:rFonts w:hint="eastAsia"/>
          <w:szCs w:val="21"/>
        </w:rPr>
        <w:t>)</w:t>
      </w:r>
      <w:r w:rsidR="006E4829" w:rsidRPr="006E4829">
        <w:rPr>
          <w:rFonts w:hint="eastAsia"/>
          <w:szCs w:val="21"/>
        </w:rPr>
        <w:t>の投資案が示された。</w:t>
      </w:r>
      <w:r w:rsidRPr="000E4167">
        <w:rPr>
          <w:rFonts w:hint="eastAsia"/>
          <w:szCs w:val="21"/>
        </w:rPr>
        <w:t>しかし、</w:t>
      </w:r>
      <w:r w:rsidRPr="000E4167">
        <w:rPr>
          <w:rFonts w:hint="eastAsia"/>
          <w:szCs w:val="21"/>
        </w:rPr>
        <w:t>Sintrajap</w:t>
      </w:r>
      <w:r w:rsidRPr="000E4167">
        <w:rPr>
          <w:rFonts w:hint="eastAsia"/>
          <w:szCs w:val="21"/>
        </w:rPr>
        <w:t>側はこれらの提案は政府側が当然に行うべき既存の義務に過ぎず、我々の訴えているもの</w:t>
      </w:r>
      <w:r w:rsidRPr="000E4167">
        <w:rPr>
          <w:rFonts w:hint="eastAsia"/>
          <w:szCs w:val="21"/>
        </w:rPr>
        <w:t>(APMTerminals</w:t>
      </w:r>
      <w:r w:rsidRPr="000E4167">
        <w:rPr>
          <w:rFonts w:hint="eastAsia"/>
          <w:szCs w:val="21"/>
        </w:rPr>
        <w:t>によるモイン港でのコンテナ取扱の独占回避</w:t>
      </w:r>
      <w:r w:rsidRPr="000E4167">
        <w:rPr>
          <w:rFonts w:hint="eastAsia"/>
          <w:szCs w:val="21"/>
        </w:rPr>
        <w:t>)</w:t>
      </w:r>
      <w:r w:rsidRPr="000E4167">
        <w:rPr>
          <w:rFonts w:hint="eastAsia"/>
          <w:szCs w:val="21"/>
        </w:rPr>
        <w:t>とは異なるとし、ストライキ継続</w:t>
      </w:r>
      <w:r w:rsidR="008345E6">
        <w:rPr>
          <w:rFonts w:hint="eastAsia"/>
          <w:szCs w:val="21"/>
        </w:rPr>
        <w:t>の</w:t>
      </w:r>
      <w:r w:rsidRPr="000E4167">
        <w:rPr>
          <w:rFonts w:hint="eastAsia"/>
          <w:szCs w:val="21"/>
        </w:rPr>
        <w:t>方針を示した。</w:t>
      </w:r>
    </w:p>
    <w:p w:rsidR="000E4167" w:rsidRPr="000E4167" w:rsidRDefault="000E4167" w:rsidP="000E4167">
      <w:pPr>
        <w:rPr>
          <w:szCs w:val="21"/>
        </w:rPr>
      </w:pPr>
    </w:p>
    <w:p w:rsidR="001D1091" w:rsidRPr="000E4167" w:rsidRDefault="001D1091" w:rsidP="001D1091">
      <w:pPr>
        <w:pStyle w:val="ac"/>
        <w:numPr>
          <w:ilvl w:val="0"/>
          <w:numId w:val="2"/>
        </w:numPr>
        <w:ind w:leftChars="0"/>
        <w:rPr>
          <w:szCs w:val="21"/>
        </w:rPr>
      </w:pPr>
      <w:r w:rsidRPr="000E4167">
        <w:rPr>
          <w:rFonts w:hint="eastAsia"/>
          <w:szCs w:val="21"/>
        </w:rPr>
        <w:t>対外経済</w:t>
      </w:r>
    </w:p>
    <w:p w:rsidR="00A44212" w:rsidRPr="000E4167" w:rsidRDefault="00A44212" w:rsidP="00FC4C7E">
      <w:pPr>
        <w:rPr>
          <w:b/>
          <w:szCs w:val="21"/>
          <w:u w:val="single"/>
        </w:rPr>
      </w:pPr>
      <w:r w:rsidRPr="000E4167">
        <w:rPr>
          <w:rFonts w:hint="eastAsia"/>
          <w:b/>
          <w:szCs w:val="21"/>
          <w:u w:val="single"/>
        </w:rPr>
        <w:t>●コスタリカ産パイナップル、中国へ輸出</w:t>
      </w:r>
      <w:r w:rsidRPr="000E4167">
        <w:rPr>
          <w:rFonts w:hint="eastAsia"/>
          <w:b/>
          <w:szCs w:val="21"/>
          <w:u w:val="single"/>
        </w:rPr>
        <w:t>(9/9)</w:t>
      </w:r>
    </w:p>
    <w:p w:rsidR="00FC4C7E" w:rsidRPr="000E4167" w:rsidRDefault="00D4347B" w:rsidP="000E4167">
      <w:pPr>
        <w:ind w:firstLineChars="100" w:firstLine="210"/>
        <w:rPr>
          <w:szCs w:val="21"/>
        </w:rPr>
      </w:pPr>
      <w:r w:rsidRPr="000E4167">
        <w:rPr>
          <w:rFonts w:hint="eastAsia"/>
          <w:szCs w:val="21"/>
        </w:rPr>
        <w:t>コスタリカ</w:t>
      </w:r>
      <w:r w:rsidR="003F737C">
        <w:rPr>
          <w:rFonts w:hint="eastAsia"/>
          <w:szCs w:val="21"/>
        </w:rPr>
        <w:t>から</w:t>
      </w:r>
      <w:r w:rsidR="00FC4C7E" w:rsidRPr="000E4167">
        <w:rPr>
          <w:rFonts w:hint="eastAsia"/>
          <w:szCs w:val="21"/>
        </w:rPr>
        <w:t>中国</w:t>
      </w:r>
      <w:r w:rsidR="003F737C">
        <w:rPr>
          <w:rFonts w:hint="eastAsia"/>
          <w:szCs w:val="21"/>
        </w:rPr>
        <w:t>への</w:t>
      </w:r>
      <w:r w:rsidRPr="000E4167">
        <w:rPr>
          <w:rFonts w:hint="eastAsia"/>
          <w:szCs w:val="21"/>
        </w:rPr>
        <w:t>パイナップル</w:t>
      </w:r>
      <w:r w:rsidR="003F737C">
        <w:rPr>
          <w:rFonts w:hint="eastAsia"/>
          <w:szCs w:val="21"/>
        </w:rPr>
        <w:t>の輸出</w:t>
      </w:r>
      <w:r w:rsidR="00FC4C7E" w:rsidRPr="000E4167">
        <w:rPr>
          <w:rFonts w:hint="eastAsia"/>
          <w:szCs w:val="21"/>
        </w:rPr>
        <w:t>に</w:t>
      </w:r>
      <w:r w:rsidRPr="000E4167">
        <w:rPr>
          <w:rFonts w:hint="eastAsia"/>
          <w:szCs w:val="21"/>
        </w:rPr>
        <w:t>ついて、衛生面に関する</w:t>
      </w:r>
      <w:r w:rsidR="003F737C">
        <w:rPr>
          <w:rFonts w:hint="eastAsia"/>
          <w:szCs w:val="21"/>
        </w:rPr>
        <w:t>両国間での議定書</w:t>
      </w:r>
      <w:r w:rsidRPr="000E4167">
        <w:rPr>
          <w:rFonts w:hint="eastAsia"/>
          <w:szCs w:val="21"/>
        </w:rPr>
        <w:t>調印が</w:t>
      </w:r>
      <w:r w:rsidR="00FC4C7E" w:rsidRPr="000E4167">
        <w:rPr>
          <w:rFonts w:hint="eastAsia"/>
          <w:szCs w:val="21"/>
        </w:rPr>
        <w:t>近づいている。中国</w:t>
      </w:r>
      <w:r w:rsidRPr="000E4167">
        <w:rPr>
          <w:rFonts w:hint="eastAsia"/>
          <w:szCs w:val="21"/>
        </w:rPr>
        <w:t>政府の代表団</w:t>
      </w:r>
      <w:r w:rsidR="003F737C">
        <w:rPr>
          <w:rFonts w:hint="eastAsia"/>
          <w:szCs w:val="21"/>
        </w:rPr>
        <w:t>は、</w:t>
      </w:r>
      <w:r w:rsidRPr="000E4167">
        <w:rPr>
          <w:rFonts w:hint="eastAsia"/>
          <w:szCs w:val="21"/>
        </w:rPr>
        <w:t>8</w:t>
      </w:r>
      <w:r w:rsidRPr="000E4167">
        <w:rPr>
          <w:rFonts w:hint="eastAsia"/>
          <w:szCs w:val="21"/>
        </w:rPr>
        <w:t>月下旬から約</w:t>
      </w:r>
      <w:r w:rsidRPr="000E4167">
        <w:rPr>
          <w:rFonts w:hint="eastAsia"/>
          <w:szCs w:val="21"/>
        </w:rPr>
        <w:t>2</w:t>
      </w:r>
      <w:r w:rsidRPr="000E4167">
        <w:rPr>
          <w:rFonts w:hint="eastAsia"/>
          <w:szCs w:val="21"/>
        </w:rPr>
        <w:t>週間にわたり</w:t>
      </w:r>
      <w:r w:rsidR="00FC4C7E" w:rsidRPr="000E4167">
        <w:rPr>
          <w:rFonts w:hint="eastAsia"/>
          <w:szCs w:val="21"/>
        </w:rPr>
        <w:t>コスタリカを訪問し、その際にパイナップル畑や梱包の衛生状況を確認した。また</w:t>
      </w:r>
      <w:r w:rsidR="003F737C">
        <w:rPr>
          <w:rFonts w:hint="eastAsia"/>
          <w:szCs w:val="21"/>
        </w:rPr>
        <w:t>、その際に</w:t>
      </w:r>
      <w:r w:rsidR="00FC4C7E" w:rsidRPr="000E4167">
        <w:rPr>
          <w:rFonts w:hint="eastAsia"/>
          <w:szCs w:val="21"/>
        </w:rPr>
        <w:t>国家植物衛生サービス</w:t>
      </w:r>
      <w:r w:rsidR="00FC4C7E" w:rsidRPr="000E4167">
        <w:rPr>
          <w:rFonts w:hint="eastAsia"/>
          <w:szCs w:val="21"/>
        </w:rPr>
        <w:t>(SFE)</w:t>
      </w:r>
      <w:r w:rsidR="00FC4C7E" w:rsidRPr="000E4167">
        <w:rPr>
          <w:rFonts w:hint="eastAsia"/>
          <w:szCs w:val="21"/>
        </w:rPr>
        <w:t>の施設やその管理体制も見学した。パイナップル生産輸出商工会会長は</w:t>
      </w:r>
      <w:r w:rsidR="003F737C">
        <w:rPr>
          <w:rFonts w:hint="eastAsia"/>
          <w:szCs w:val="21"/>
        </w:rPr>
        <w:t>人口</w:t>
      </w:r>
      <w:r w:rsidR="00FC4C7E" w:rsidRPr="000E4167">
        <w:rPr>
          <w:rFonts w:hint="eastAsia"/>
          <w:szCs w:val="21"/>
        </w:rPr>
        <w:t>15</w:t>
      </w:r>
      <w:r w:rsidR="00FC4C7E" w:rsidRPr="000E4167">
        <w:rPr>
          <w:rFonts w:hint="eastAsia"/>
          <w:szCs w:val="21"/>
        </w:rPr>
        <w:t>億</w:t>
      </w:r>
      <w:r w:rsidR="003F737C">
        <w:rPr>
          <w:rFonts w:hint="eastAsia"/>
          <w:szCs w:val="21"/>
        </w:rPr>
        <w:t>人</w:t>
      </w:r>
      <w:r w:rsidR="00FC4C7E" w:rsidRPr="000E4167">
        <w:rPr>
          <w:rFonts w:hint="eastAsia"/>
          <w:szCs w:val="21"/>
        </w:rPr>
        <w:t>を</w:t>
      </w:r>
      <w:r w:rsidR="006E4829">
        <w:rPr>
          <w:rFonts w:hint="eastAsia"/>
          <w:szCs w:val="21"/>
        </w:rPr>
        <w:t>有する</w:t>
      </w:r>
      <w:r w:rsidR="00FC4C7E" w:rsidRPr="000E4167">
        <w:rPr>
          <w:rFonts w:hint="eastAsia"/>
          <w:szCs w:val="21"/>
        </w:rPr>
        <w:t>中国は市場として非常にポテンシャルがある</w:t>
      </w:r>
      <w:r w:rsidR="003F737C">
        <w:rPr>
          <w:rFonts w:hint="eastAsia"/>
          <w:szCs w:val="21"/>
        </w:rPr>
        <w:t>とし、</w:t>
      </w:r>
      <w:r w:rsidR="00FC4C7E" w:rsidRPr="000E4167">
        <w:rPr>
          <w:rFonts w:hint="eastAsia"/>
          <w:szCs w:val="21"/>
        </w:rPr>
        <w:t>コスタリカにとって米国に次ぐ輸出先となる可能性がある</w:t>
      </w:r>
      <w:r w:rsidRPr="000E4167">
        <w:rPr>
          <w:rFonts w:hint="eastAsia"/>
          <w:szCs w:val="21"/>
        </w:rPr>
        <w:t>と述べた</w:t>
      </w:r>
      <w:r w:rsidR="00FC4C7E" w:rsidRPr="000E4167">
        <w:rPr>
          <w:rFonts w:hint="eastAsia"/>
          <w:szCs w:val="21"/>
        </w:rPr>
        <w:t>。農牧省</w:t>
      </w:r>
      <w:r w:rsidRPr="000E4167">
        <w:rPr>
          <w:rFonts w:hint="eastAsia"/>
          <w:szCs w:val="21"/>
        </w:rPr>
        <w:t>の試算によると、中国への輸入を拡大させるためには今後国内の作付面積</w:t>
      </w:r>
      <w:r w:rsidR="00FC4C7E" w:rsidRPr="000E4167">
        <w:rPr>
          <w:rFonts w:hint="eastAsia"/>
          <w:szCs w:val="21"/>
        </w:rPr>
        <w:t>拡大を図らなくてはならない。</w:t>
      </w:r>
      <w:r w:rsidRPr="000E4167">
        <w:rPr>
          <w:rFonts w:hint="eastAsia"/>
          <w:szCs w:val="21"/>
        </w:rPr>
        <w:t>関係者</w:t>
      </w:r>
      <w:r w:rsidR="00FC4C7E" w:rsidRPr="000E4167">
        <w:rPr>
          <w:rFonts w:hint="eastAsia"/>
          <w:szCs w:val="21"/>
        </w:rPr>
        <w:t>からは中国への輸出拡大を歓迎する一方、中国の求める基準に</w:t>
      </w:r>
      <w:r w:rsidR="003F737C">
        <w:rPr>
          <w:rFonts w:hint="eastAsia"/>
          <w:szCs w:val="21"/>
        </w:rPr>
        <w:t>適った</w:t>
      </w:r>
      <w:r w:rsidR="00FC4C7E" w:rsidRPr="000E4167">
        <w:rPr>
          <w:rFonts w:hint="eastAsia"/>
          <w:szCs w:val="21"/>
        </w:rPr>
        <w:t>生産</w:t>
      </w:r>
      <w:r w:rsidR="003F737C">
        <w:rPr>
          <w:rFonts w:hint="eastAsia"/>
          <w:szCs w:val="21"/>
        </w:rPr>
        <w:t>方法の確立</w:t>
      </w:r>
      <w:r w:rsidR="00FC4C7E" w:rsidRPr="000E4167">
        <w:rPr>
          <w:rFonts w:hint="eastAsia"/>
          <w:szCs w:val="21"/>
        </w:rPr>
        <w:t>や環境配慮が重要</w:t>
      </w:r>
      <w:r w:rsidR="003F737C">
        <w:rPr>
          <w:rFonts w:hint="eastAsia"/>
          <w:szCs w:val="21"/>
        </w:rPr>
        <w:t>である</w:t>
      </w:r>
      <w:r w:rsidR="00FC4C7E" w:rsidRPr="000E4167">
        <w:rPr>
          <w:rFonts w:hint="eastAsia"/>
          <w:szCs w:val="21"/>
        </w:rPr>
        <w:t>と</w:t>
      </w:r>
      <w:r w:rsidRPr="000E4167">
        <w:rPr>
          <w:rFonts w:hint="eastAsia"/>
          <w:szCs w:val="21"/>
        </w:rPr>
        <w:t>の</w:t>
      </w:r>
      <w:r w:rsidR="00FC4C7E" w:rsidRPr="000E4167">
        <w:rPr>
          <w:rFonts w:hint="eastAsia"/>
          <w:szCs w:val="21"/>
        </w:rPr>
        <w:t>指摘</w:t>
      </w:r>
      <w:r w:rsidRPr="000E4167">
        <w:rPr>
          <w:rFonts w:hint="eastAsia"/>
          <w:szCs w:val="21"/>
        </w:rPr>
        <w:t>も出ている</w:t>
      </w:r>
      <w:r w:rsidR="00FC4C7E" w:rsidRPr="000E4167">
        <w:rPr>
          <w:rFonts w:hint="eastAsia"/>
          <w:szCs w:val="21"/>
        </w:rPr>
        <w:t>。地理的な距離</w:t>
      </w:r>
      <w:r w:rsidR="00FC4C7E" w:rsidRPr="000E4167">
        <w:rPr>
          <w:rFonts w:hint="eastAsia"/>
          <w:szCs w:val="21"/>
        </w:rPr>
        <w:t>(30</w:t>
      </w:r>
      <w:r w:rsidR="00FC4C7E" w:rsidRPr="000E4167">
        <w:rPr>
          <w:rFonts w:hint="eastAsia"/>
          <w:szCs w:val="21"/>
        </w:rPr>
        <w:t>日かかる</w:t>
      </w:r>
      <w:r w:rsidR="00FC4C7E" w:rsidRPr="000E4167">
        <w:rPr>
          <w:rFonts w:hint="eastAsia"/>
          <w:szCs w:val="21"/>
        </w:rPr>
        <w:t>)</w:t>
      </w:r>
      <w:r w:rsidRPr="000E4167">
        <w:rPr>
          <w:rFonts w:hint="eastAsia"/>
          <w:szCs w:val="21"/>
        </w:rPr>
        <w:t>ことに関しては、保存技術の進歩により、大きな支障</w:t>
      </w:r>
      <w:r w:rsidR="003F737C">
        <w:rPr>
          <w:rFonts w:hint="eastAsia"/>
          <w:szCs w:val="21"/>
        </w:rPr>
        <w:t>と</w:t>
      </w:r>
      <w:r w:rsidRPr="000E4167">
        <w:rPr>
          <w:rFonts w:hint="eastAsia"/>
          <w:szCs w:val="21"/>
        </w:rPr>
        <w:t>は</w:t>
      </w:r>
      <w:r w:rsidR="003F737C">
        <w:rPr>
          <w:rFonts w:hint="eastAsia"/>
          <w:szCs w:val="21"/>
        </w:rPr>
        <w:t>なら</w:t>
      </w:r>
      <w:r w:rsidRPr="000E4167">
        <w:rPr>
          <w:rFonts w:hint="eastAsia"/>
          <w:szCs w:val="21"/>
        </w:rPr>
        <w:t>ないとされている</w:t>
      </w:r>
      <w:r w:rsidR="00FC4C7E" w:rsidRPr="000E4167">
        <w:rPr>
          <w:rFonts w:hint="eastAsia"/>
          <w:szCs w:val="21"/>
        </w:rPr>
        <w:t>。</w:t>
      </w:r>
    </w:p>
    <w:p w:rsidR="00FC4C7E" w:rsidRPr="000E4167" w:rsidRDefault="00FC4C7E" w:rsidP="00FC4C7E">
      <w:pPr>
        <w:rPr>
          <w:szCs w:val="21"/>
        </w:rPr>
      </w:pPr>
    </w:p>
    <w:p w:rsidR="00FC4C7E" w:rsidRPr="000E4167" w:rsidRDefault="00FF1F5B" w:rsidP="00FC4C7E">
      <w:pPr>
        <w:rPr>
          <w:b/>
          <w:szCs w:val="21"/>
          <w:u w:val="single"/>
        </w:rPr>
      </w:pPr>
      <w:r w:rsidRPr="000E4167">
        <w:rPr>
          <w:rFonts w:hint="eastAsia"/>
          <w:b/>
          <w:szCs w:val="21"/>
          <w:u w:val="single"/>
        </w:rPr>
        <w:t>●政府、</w:t>
      </w:r>
      <w:r w:rsidR="00C03103">
        <w:rPr>
          <w:rFonts w:hint="eastAsia"/>
          <w:b/>
          <w:szCs w:val="21"/>
          <w:u w:val="single"/>
        </w:rPr>
        <w:t>今後</w:t>
      </w:r>
      <w:r w:rsidRPr="000E4167">
        <w:rPr>
          <w:rFonts w:hint="eastAsia"/>
          <w:b/>
          <w:szCs w:val="21"/>
          <w:u w:val="single"/>
        </w:rPr>
        <w:t>外国投資を呼び込む産業を明確化</w:t>
      </w:r>
      <w:r w:rsidRPr="000E4167">
        <w:rPr>
          <w:rFonts w:hint="eastAsia"/>
          <w:b/>
          <w:szCs w:val="21"/>
          <w:u w:val="single"/>
        </w:rPr>
        <w:t>(9/23)</w:t>
      </w:r>
    </w:p>
    <w:p w:rsidR="00FC4C7E" w:rsidRPr="000E4167" w:rsidRDefault="000B736A" w:rsidP="000E4167">
      <w:pPr>
        <w:ind w:firstLineChars="100" w:firstLine="210"/>
        <w:rPr>
          <w:szCs w:val="21"/>
        </w:rPr>
      </w:pPr>
      <w:r>
        <w:rPr>
          <w:rFonts w:hint="eastAsia"/>
          <w:szCs w:val="21"/>
        </w:rPr>
        <w:t>9</w:t>
      </w:r>
      <w:r>
        <w:rPr>
          <w:rFonts w:hint="eastAsia"/>
          <w:szCs w:val="21"/>
        </w:rPr>
        <w:t>月</w:t>
      </w:r>
      <w:r w:rsidR="00FF1F5B" w:rsidRPr="000E4167">
        <w:rPr>
          <w:rFonts w:hint="eastAsia"/>
          <w:szCs w:val="21"/>
        </w:rPr>
        <w:t>22</w:t>
      </w:r>
      <w:r w:rsidR="00FF1F5B" w:rsidRPr="000E4167">
        <w:rPr>
          <w:rFonts w:hint="eastAsia"/>
          <w:szCs w:val="21"/>
        </w:rPr>
        <w:t>日、米国ニューヨークで開催されたコスタリカへの投資を誘致するビデオ会合において、</w:t>
      </w:r>
      <w:r w:rsidR="00FC4C7E" w:rsidRPr="000E4167">
        <w:rPr>
          <w:rFonts w:hint="eastAsia"/>
          <w:szCs w:val="21"/>
        </w:rPr>
        <w:t>モラ貿易大臣とコスタリカ投資振興機構</w:t>
      </w:r>
      <w:r w:rsidR="00FC4C7E" w:rsidRPr="000E4167">
        <w:rPr>
          <w:rFonts w:hint="eastAsia"/>
          <w:szCs w:val="21"/>
        </w:rPr>
        <w:t>(CINDE)</w:t>
      </w:r>
      <w:r w:rsidR="00FC4C7E" w:rsidRPr="000E4167">
        <w:rPr>
          <w:rFonts w:hint="eastAsia"/>
          <w:szCs w:val="21"/>
        </w:rPr>
        <w:t>のロッシ総裁</w:t>
      </w:r>
      <w:r w:rsidR="00FF1F5B" w:rsidRPr="000E4167">
        <w:rPr>
          <w:rFonts w:hint="eastAsia"/>
          <w:szCs w:val="21"/>
        </w:rPr>
        <w:t>は</w:t>
      </w:r>
      <w:r w:rsidR="00FC4C7E" w:rsidRPr="000E4167">
        <w:rPr>
          <w:rFonts w:hint="eastAsia"/>
          <w:szCs w:val="21"/>
        </w:rPr>
        <w:t>、今後サービス業、ハイテクノロジー産業や生命科学産業だけでなく、軽工業</w:t>
      </w:r>
      <w:r w:rsidR="00FF1F5B" w:rsidRPr="000E4167">
        <w:rPr>
          <w:rFonts w:hint="eastAsia"/>
          <w:szCs w:val="21"/>
        </w:rPr>
        <w:t>や農産加工業も外国からの投資対象にしていくことを発表した。</w:t>
      </w:r>
      <w:r w:rsidR="00FC4C7E" w:rsidRPr="000E4167">
        <w:rPr>
          <w:rFonts w:hint="eastAsia"/>
          <w:szCs w:val="21"/>
        </w:rPr>
        <w:t>同時に</w:t>
      </w:r>
      <w:r w:rsidR="00FF1F5B" w:rsidRPr="000E4167">
        <w:rPr>
          <w:rFonts w:hint="eastAsia"/>
          <w:szCs w:val="21"/>
        </w:rPr>
        <w:t>、コスタリカ</w:t>
      </w:r>
      <w:r w:rsidR="00FC4C7E" w:rsidRPr="000E4167">
        <w:rPr>
          <w:rFonts w:hint="eastAsia"/>
          <w:szCs w:val="21"/>
        </w:rPr>
        <w:t>国内でデジタルサービスを展開する</w:t>
      </w:r>
      <w:r w:rsidR="00FC4C7E" w:rsidRPr="000E4167">
        <w:rPr>
          <w:rFonts w:hint="eastAsia"/>
          <w:szCs w:val="21"/>
        </w:rPr>
        <w:t>ACCENTURE</w:t>
      </w:r>
      <w:r w:rsidR="00FC4C7E" w:rsidRPr="000E4167">
        <w:rPr>
          <w:rFonts w:hint="eastAsia"/>
          <w:szCs w:val="21"/>
        </w:rPr>
        <w:t>社の事業拡大も発表</w:t>
      </w:r>
      <w:r w:rsidR="00FF1F5B" w:rsidRPr="000E4167">
        <w:rPr>
          <w:rFonts w:hint="eastAsia"/>
          <w:szCs w:val="21"/>
        </w:rPr>
        <w:t>した</w:t>
      </w:r>
      <w:r w:rsidR="00FC4C7E" w:rsidRPr="000E4167">
        <w:rPr>
          <w:rFonts w:hint="eastAsia"/>
          <w:szCs w:val="21"/>
        </w:rPr>
        <w:t>。</w:t>
      </w:r>
      <w:r w:rsidR="00FF1F5B" w:rsidRPr="000E4167">
        <w:rPr>
          <w:rFonts w:hint="eastAsia"/>
          <w:szCs w:val="21"/>
        </w:rPr>
        <w:t>今後は</w:t>
      </w:r>
      <w:r w:rsidR="00FC4C7E" w:rsidRPr="000E4167">
        <w:rPr>
          <w:rFonts w:hint="eastAsia"/>
          <w:szCs w:val="21"/>
        </w:rPr>
        <w:t>投資対象に指定した産業を、経済発展途上地域へ誘致</w:t>
      </w:r>
      <w:r w:rsidR="006E4829">
        <w:rPr>
          <w:rFonts w:hint="eastAsia"/>
          <w:szCs w:val="21"/>
        </w:rPr>
        <w:t>していく</w:t>
      </w:r>
      <w:r w:rsidR="00FF1F5B" w:rsidRPr="000E4167">
        <w:rPr>
          <w:rFonts w:hint="eastAsia"/>
          <w:szCs w:val="21"/>
        </w:rPr>
        <w:t>予定と</w:t>
      </w:r>
      <w:r w:rsidR="006E4829">
        <w:rPr>
          <w:rFonts w:hint="eastAsia"/>
          <w:szCs w:val="21"/>
        </w:rPr>
        <w:t>し</w:t>
      </w:r>
      <w:r w:rsidR="00FF1F5B" w:rsidRPr="000E4167">
        <w:rPr>
          <w:rFonts w:hint="eastAsia"/>
          <w:szCs w:val="21"/>
        </w:rPr>
        <w:t>ている</w:t>
      </w:r>
      <w:r w:rsidR="00FC4C7E" w:rsidRPr="000E4167">
        <w:rPr>
          <w:rFonts w:hint="eastAsia"/>
          <w:szCs w:val="21"/>
        </w:rPr>
        <w:t>。農産加工</w:t>
      </w:r>
      <w:r w:rsidR="00FF1F5B" w:rsidRPr="000E4167">
        <w:rPr>
          <w:rFonts w:hint="eastAsia"/>
          <w:szCs w:val="21"/>
        </w:rPr>
        <w:t>品生産協会は、今後既存商品</w:t>
      </w:r>
      <w:r w:rsidR="00596EC9">
        <w:rPr>
          <w:rFonts w:hint="eastAsia"/>
          <w:szCs w:val="21"/>
        </w:rPr>
        <w:t>販売</w:t>
      </w:r>
      <w:r w:rsidR="00FF1F5B" w:rsidRPr="000E4167">
        <w:rPr>
          <w:rFonts w:hint="eastAsia"/>
          <w:szCs w:val="21"/>
        </w:rPr>
        <w:t>の強化と新商品の開拓のどちらを優先するのか明確にする</w:t>
      </w:r>
      <w:r w:rsidR="00FC4C7E" w:rsidRPr="000E4167">
        <w:rPr>
          <w:rFonts w:hint="eastAsia"/>
          <w:szCs w:val="21"/>
        </w:rPr>
        <w:t>必要があるとしつつ</w:t>
      </w:r>
      <w:r w:rsidR="00FF1F5B" w:rsidRPr="000E4167">
        <w:rPr>
          <w:rFonts w:hint="eastAsia"/>
          <w:szCs w:val="21"/>
        </w:rPr>
        <w:t>も、</w:t>
      </w:r>
      <w:r w:rsidR="00FC4C7E" w:rsidRPr="000E4167">
        <w:rPr>
          <w:rFonts w:hint="eastAsia"/>
          <w:szCs w:val="21"/>
        </w:rPr>
        <w:t>投資</w:t>
      </w:r>
      <w:r w:rsidR="00FF1F5B" w:rsidRPr="000E4167">
        <w:rPr>
          <w:rFonts w:hint="eastAsia"/>
          <w:szCs w:val="21"/>
        </w:rPr>
        <w:t>対象産業</w:t>
      </w:r>
      <w:r w:rsidR="00FC4C7E" w:rsidRPr="000E4167">
        <w:rPr>
          <w:rFonts w:hint="eastAsia"/>
          <w:szCs w:val="21"/>
        </w:rPr>
        <w:t>の多様化を図る</w:t>
      </w:r>
      <w:r w:rsidR="00FC4C7E" w:rsidRPr="000E4167">
        <w:rPr>
          <w:rFonts w:hint="eastAsia"/>
          <w:szCs w:val="21"/>
        </w:rPr>
        <w:t>CINDE</w:t>
      </w:r>
      <w:r w:rsidR="00FC4C7E" w:rsidRPr="000E4167">
        <w:rPr>
          <w:rFonts w:hint="eastAsia"/>
          <w:szCs w:val="21"/>
        </w:rPr>
        <w:t>とその効率</w:t>
      </w:r>
      <w:r w:rsidR="00FF1F5B" w:rsidRPr="000E4167">
        <w:rPr>
          <w:rFonts w:hint="eastAsia"/>
          <w:szCs w:val="21"/>
        </w:rPr>
        <w:t>的な手法に</w:t>
      </w:r>
      <w:r w:rsidR="00596EC9">
        <w:rPr>
          <w:rFonts w:hint="eastAsia"/>
          <w:szCs w:val="21"/>
        </w:rPr>
        <w:t>対しては</w:t>
      </w:r>
      <w:r w:rsidR="006E4829">
        <w:rPr>
          <w:rFonts w:hint="eastAsia"/>
          <w:szCs w:val="21"/>
        </w:rPr>
        <w:t>支持する意向を示した</w:t>
      </w:r>
      <w:r w:rsidR="00FF1F5B" w:rsidRPr="000E4167">
        <w:rPr>
          <w:rFonts w:hint="eastAsia"/>
          <w:szCs w:val="21"/>
        </w:rPr>
        <w:t>。</w:t>
      </w:r>
    </w:p>
    <w:p w:rsidR="00FF1F5B" w:rsidRPr="000E4167" w:rsidRDefault="00FF1F5B" w:rsidP="00FF1F5B">
      <w:pPr>
        <w:ind w:firstLineChars="100" w:firstLine="210"/>
        <w:rPr>
          <w:szCs w:val="21"/>
        </w:rPr>
      </w:pPr>
    </w:p>
    <w:p w:rsidR="008D7588" w:rsidRPr="000E4167" w:rsidRDefault="008D7588" w:rsidP="00FC4C7E">
      <w:pPr>
        <w:rPr>
          <w:b/>
          <w:szCs w:val="21"/>
          <w:u w:val="single"/>
        </w:rPr>
      </w:pPr>
      <w:r w:rsidRPr="000E4167">
        <w:rPr>
          <w:rFonts w:hint="eastAsia"/>
          <w:b/>
          <w:szCs w:val="21"/>
          <w:u w:val="single"/>
        </w:rPr>
        <w:t>●生命科学関連製品の輸出増加</w:t>
      </w:r>
      <w:r w:rsidRPr="000E4167">
        <w:rPr>
          <w:rFonts w:hint="eastAsia"/>
          <w:b/>
          <w:szCs w:val="21"/>
          <w:u w:val="single"/>
        </w:rPr>
        <w:t>(9/26)</w:t>
      </w:r>
    </w:p>
    <w:p w:rsidR="00FC4C7E" w:rsidRDefault="00FC4C7E" w:rsidP="00596EC9">
      <w:pPr>
        <w:ind w:firstLineChars="100" w:firstLine="210"/>
        <w:rPr>
          <w:szCs w:val="21"/>
        </w:rPr>
      </w:pPr>
      <w:r w:rsidRPr="000E4167">
        <w:rPr>
          <w:rFonts w:hint="eastAsia"/>
          <w:szCs w:val="21"/>
        </w:rPr>
        <w:t>生命科学</w:t>
      </w:r>
      <w:r w:rsidR="004F1F74" w:rsidRPr="000E4167">
        <w:rPr>
          <w:rFonts w:hint="eastAsia"/>
          <w:szCs w:val="21"/>
        </w:rPr>
        <w:t>関連</w:t>
      </w:r>
      <w:r w:rsidR="00596EC9">
        <w:rPr>
          <w:rFonts w:hint="eastAsia"/>
          <w:szCs w:val="21"/>
        </w:rPr>
        <w:t>製品の</w:t>
      </w:r>
      <w:r w:rsidR="004F1F74" w:rsidRPr="000E4167">
        <w:rPr>
          <w:rFonts w:hint="eastAsia"/>
          <w:szCs w:val="21"/>
        </w:rPr>
        <w:t>今年</w:t>
      </w:r>
      <w:r w:rsidR="004F1F74" w:rsidRPr="000E4167">
        <w:rPr>
          <w:rFonts w:hint="eastAsia"/>
          <w:szCs w:val="21"/>
        </w:rPr>
        <w:t>8</w:t>
      </w:r>
      <w:r w:rsidR="004F1F74" w:rsidRPr="000E4167">
        <w:rPr>
          <w:rFonts w:hint="eastAsia"/>
          <w:szCs w:val="21"/>
        </w:rPr>
        <w:t>月時点で</w:t>
      </w:r>
      <w:r w:rsidR="00596EC9">
        <w:rPr>
          <w:rFonts w:hint="eastAsia"/>
          <w:szCs w:val="21"/>
        </w:rPr>
        <w:t>の累積輸出額は</w:t>
      </w:r>
      <w:r w:rsidRPr="000E4167">
        <w:rPr>
          <w:rFonts w:hint="eastAsia"/>
          <w:szCs w:val="21"/>
        </w:rPr>
        <w:t>前年</w:t>
      </w:r>
      <w:r w:rsidR="004F1F74" w:rsidRPr="000E4167">
        <w:rPr>
          <w:rFonts w:hint="eastAsia"/>
          <w:szCs w:val="21"/>
        </w:rPr>
        <w:t>同月</w:t>
      </w:r>
      <w:r w:rsidRPr="000E4167">
        <w:rPr>
          <w:rFonts w:hint="eastAsia"/>
          <w:szCs w:val="21"/>
        </w:rPr>
        <w:t>比</w:t>
      </w:r>
      <w:r w:rsidR="004F1F74" w:rsidRPr="000E4167">
        <w:rPr>
          <w:rFonts w:hint="eastAsia"/>
          <w:szCs w:val="21"/>
        </w:rPr>
        <w:t>約</w:t>
      </w:r>
      <w:r w:rsidRPr="000E4167">
        <w:rPr>
          <w:rFonts w:hint="eastAsia"/>
          <w:szCs w:val="21"/>
        </w:rPr>
        <w:t>19</w:t>
      </w:r>
      <w:r w:rsidRPr="000E4167">
        <w:rPr>
          <w:rFonts w:hint="eastAsia"/>
          <w:szCs w:val="21"/>
        </w:rPr>
        <w:t>％増</w:t>
      </w:r>
      <w:r w:rsidR="004F1F74" w:rsidRPr="000E4167">
        <w:rPr>
          <w:rFonts w:hint="eastAsia"/>
          <w:szCs w:val="21"/>
        </w:rPr>
        <w:t>を記録し、インテル社の製造部門</w:t>
      </w:r>
      <w:r w:rsidRPr="000E4167">
        <w:rPr>
          <w:rFonts w:hint="eastAsia"/>
          <w:szCs w:val="21"/>
        </w:rPr>
        <w:t>撤退</w:t>
      </w:r>
      <w:r w:rsidR="004F1F74" w:rsidRPr="000E4167">
        <w:rPr>
          <w:rFonts w:hint="eastAsia"/>
          <w:szCs w:val="21"/>
        </w:rPr>
        <w:t>による電子部品輸出額低下</w:t>
      </w:r>
      <w:r w:rsidRPr="000E4167">
        <w:rPr>
          <w:rFonts w:hint="eastAsia"/>
          <w:szCs w:val="21"/>
        </w:rPr>
        <w:t>を一定</w:t>
      </w:r>
      <w:r w:rsidR="00B9410C">
        <w:rPr>
          <w:rFonts w:hint="eastAsia"/>
          <w:szCs w:val="21"/>
        </w:rPr>
        <w:t>程度</w:t>
      </w:r>
      <w:r w:rsidRPr="000E4167">
        <w:rPr>
          <w:rFonts w:hint="eastAsia"/>
          <w:szCs w:val="21"/>
        </w:rPr>
        <w:t>カバーしている。同様にパイナップルやバナナ、加工食品や牛乳なども前年から輸出額が上回っており、</w:t>
      </w:r>
      <w:r w:rsidRPr="000E4167">
        <w:rPr>
          <w:rFonts w:hint="eastAsia"/>
          <w:szCs w:val="21"/>
        </w:rPr>
        <w:t>8</w:t>
      </w:r>
      <w:r w:rsidRPr="000E4167">
        <w:rPr>
          <w:rFonts w:hint="eastAsia"/>
          <w:szCs w:val="21"/>
        </w:rPr>
        <w:t>月時点では全</w:t>
      </w:r>
      <w:r w:rsidRPr="000E4167">
        <w:rPr>
          <w:rFonts w:hint="eastAsia"/>
          <w:szCs w:val="21"/>
        </w:rPr>
        <w:lastRenderedPageBreak/>
        <w:t>体で前年比</w:t>
      </w:r>
      <w:r w:rsidRPr="000E4167">
        <w:rPr>
          <w:rFonts w:hint="eastAsia"/>
          <w:szCs w:val="21"/>
        </w:rPr>
        <w:t>1.8</w:t>
      </w:r>
      <w:r w:rsidRPr="000E4167">
        <w:rPr>
          <w:rFonts w:hint="eastAsia"/>
          <w:szCs w:val="21"/>
        </w:rPr>
        <w:t>％増</w:t>
      </w:r>
      <w:r w:rsidR="00596EC9">
        <w:rPr>
          <w:rFonts w:hint="eastAsia"/>
          <w:szCs w:val="21"/>
        </w:rPr>
        <w:t>となっている</w:t>
      </w:r>
      <w:r w:rsidRPr="000E4167">
        <w:rPr>
          <w:rFonts w:hint="eastAsia"/>
          <w:szCs w:val="21"/>
        </w:rPr>
        <w:t>。しかし</w:t>
      </w:r>
      <w:r w:rsidR="00596EC9">
        <w:rPr>
          <w:rFonts w:hint="eastAsia"/>
          <w:szCs w:val="21"/>
        </w:rPr>
        <w:t>、</w:t>
      </w:r>
      <w:r w:rsidR="00AD44DF">
        <w:rPr>
          <w:rFonts w:hint="eastAsia"/>
          <w:szCs w:val="21"/>
        </w:rPr>
        <w:t>インテル社</w:t>
      </w:r>
      <w:r w:rsidR="00B9410C">
        <w:rPr>
          <w:rFonts w:hint="eastAsia"/>
          <w:szCs w:val="21"/>
        </w:rPr>
        <w:t>製造部門の撤退</w:t>
      </w:r>
      <w:r w:rsidR="00AD44DF">
        <w:rPr>
          <w:rFonts w:hint="eastAsia"/>
          <w:szCs w:val="21"/>
        </w:rPr>
        <w:t>の影響は</w:t>
      </w:r>
      <w:r w:rsidR="00B9410C">
        <w:rPr>
          <w:rFonts w:hint="eastAsia"/>
          <w:szCs w:val="21"/>
        </w:rPr>
        <w:t>今後顕在していく</w:t>
      </w:r>
      <w:r w:rsidR="00AD44DF">
        <w:rPr>
          <w:rFonts w:hint="eastAsia"/>
          <w:szCs w:val="21"/>
        </w:rPr>
        <w:t>と</w:t>
      </w:r>
      <w:r w:rsidR="00B96687">
        <w:rPr>
          <w:rFonts w:hint="eastAsia"/>
          <w:szCs w:val="21"/>
        </w:rPr>
        <w:t>の見方が広まっており、</w:t>
      </w:r>
      <w:r w:rsidRPr="000E4167">
        <w:rPr>
          <w:rFonts w:hint="eastAsia"/>
          <w:szCs w:val="21"/>
        </w:rPr>
        <w:t>年末には前年比からのマイナス成長とな</w:t>
      </w:r>
      <w:r w:rsidR="00AD44DF">
        <w:rPr>
          <w:rFonts w:hint="eastAsia"/>
          <w:szCs w:val="21"/>
        </w:rPr>
        <w:t>ることが予測されている。</w:t>
      </w:r>
      <w:r w:rsidRPr="000E4167">
        <w:rPr>
          <w:rFonts w:hint="eastAsia"/>
          <w:szCs w:val="21"/>
        </w:rPr>
        <w:t>インテル</w:t>
      </w:r>
      <w:r w:rsidR="009403D3" w:rsidRPr="000E4167">
        <w:rPr>
          <w:rFonts w:hint="eastAsia"/>
          <w:szCs w:val="21"/>
        </w:rPr>
        <w:t>社</w:t>
      </w:r>
      <w:r w:rsidRPr="000E4167">
        <w:rPr>
          <w:rFonts w:hint="eastAsia"/>
          <w:szCs w:val="21"/>
        </w:rPr>
        <w:t>の影響が解消されるのは</w:t>
      </w:r>
      <w:r w:rsidR="00AD44DF">
        <w:rPr>
          <w:rFonts w:hint="eastAsia"/>
          <w:szCs w:val="21"/>
        </w:rPr>
        <w:t>、早くとも</w:t>
      </w:r>
      <w:r w:rsidRPr="000E4167">
        <w:rPr>
          <w:rFonts w:hint="eastAsia"/>
          <w:szCs w:val="21"/>
        </w:rPr>
        <w:t>2016</w:t>
      </w:r>
      <w:r w:rsidRPr="000E4167">
        <w:rPr>
          <w:rFonts w:hint="eastAsia"/>
          <w:szCs w:val="21"/>
        </w:rPr>
        <w:t>－</w:t>
      </w:r>
      <w:r w:rsidRPr="000E4167">
        <w:rPr>
          <w:rFonts w:hint="eastAsia"/>
          <w:szCs w:val="21"/>
        </w:rPr>
        <w:t>2017</w:t>
      </w:r>
      <w:r w:rsidRPr="000E4167">
        <w:rPr>
          <w:rFonts w:hint="eastAsia"/>
          <w:szCs w:val="21"/>
        </w:rPr>
        <w:t>年と見込まれている。</w:t>
      </w:r>
    </w:p>
    <w:p w:rsidR="00B9410C" w:rsidRPr="000E4167" w:rsidRDefault="00B9410C" w:rsidP="00596EC9">
      <w:pPr>
        <w:ind w:firstLineChars="100" w:firstLine="210"/>
        <w:rPr>
          <w:szCs w:val="21"/>
        </w:rPr>
      </w:pPr>
    </w:p>
    <w:p w:rsidR="00EC5611" w:rsidRPr="000E4167" w:rsidRDefault="00EC5611" w:rsidP="00FC4C7E">
      <w:pPr>
        <w:rPr>
          <w:b/>
          <w:szCs w:val="21"/>
          <w:u w:val="single"/>
        </w:rPr>
      </w:pPr>
      <w:r w:rsidRPr="000E4167">
        <w:rPr>
          <w:rFonts w:hint="eastAsia"/>
          <w:b/>
          <w:szCs w:val="21"/>
          <w:u w:val="single"/>
        </w:rPr>
        <w:t>●</w:t>
      </w:r>
      <w:r w:rsidR="00FC4C7E" w:rsidRPr="000E4167">
        <w:rPr>
          <w:rFonts w:hint="eastAsia"/>
          <w:b/>
          <w:szCs w:val="21"/>
          <w:u w:val="single"/>
        </w:rPr>
        <w:t>ソリス大統領、ペトロ・カリブへの不参加を明言</w:t>
      </w:r>
      <w:r w:rsidRPr="000E4167">
        <w:rPr>
          <w:rFonts w:hint="eastAsia"/>
          <w:b/>
          <w:szCs w:val="21"/>
          <w:u w:val="single"/>
        </w:rPr>
        <w:t>(10/11)</w:t>
      </w:r>
    </w:p>
    <w:p w:rsidR="00FC4C7E" w:rsidRPr="006209A6" w:rsidRDefault="00513848" w:rsidP="008804D7">
      <w:pPr>
        <w:ind w:firstLineChars="100" w:firstLine="210"/>
        <w:rPr>
          <w:szCs w:val="21"/>
        </w:rPr>
      </w:pPr>
      <w:r>
        <w:rPr>
          <w:rFonts w:hint="eastAsia"/>
          <w:szCs w:val="21"/>
        </w:rPr>
        <w:t>ソリス大統領率いる市民運動党</w:t>
      </w:r>
      <w:r>
        <w:rPr>
          <w:rFonts w:hint="eastAsia"/>
          <w:szCs w:val="21"/>
        </w:rPr>
        <w:t>(</w:t>
      </w:r>
      <w:r>
        <w:rPr>
          <w:rFonts w:hint="eastAsia"/>
          <w:szCs w:val="21"/>
        </w:rPr>
        <w:t>ＰＡＣ</w:t>
      </w:r>
      <w:r>
        <w:rPr>
          <w:rFonts w:hint="eastAsia"/>
          <w:szCs w:val="21"/>
        </w:rPr>
        <w:t>)</w:t>
      </w:r>
      <w:r>
        <w:rPr>
          <w:rFonts w:hint="eastAsia"/>
          <w:szCs w:val="21"/>
        </w:rPr>
        <w:t>が</w:t>
      </w:r>
      <w:r w:rsidR="00EC5611" w:rsidRPr="000E4167">
        <w:rPr>
          <w:rFonts w:hint="eastAsia"/>
          <w:szCs w:val="21"/>
        </w:rPr>
        <w:t>国会で与党連合を組む左派政党、広域戦線</w:t>
      </w:r>
      <w:r w:rsidR="00EC5611" w:rsidRPr="000E4167">
        <w:rPr>
          <w:rFonts w:hint="eastAsia"/>
          <w:szCs w:val="21"/>
        </w:rPr>
        <w:t>(</w:t>
      </w:r>
      <w:r w:rsidR="00FC4C7E" w:rsidRPr="000E4167">
        <w:rPr>
          <w:rFonts w:hint="eastAsia"/>
          <w:szCs w:val="21"/>
        </w:rPr>
        <w:t>FA</w:t>
      </w:r>
      <w:r w:rsidR="00EC5611" w:rsidRPr="000E4167">
        <w:rPr>
          <w:rFonts w:hint="eastAsia"/>
          <w:szCs w:val="21"/>
        </w:rPr>
        <w:t>)</w:t>
      </w:r>
      <w:r w:rsidR="00EC5611" w:rsidRPr="000E4167">
        <w:rPr>
          <w:rFonts w:hint="eastAsia"/>
          <w:szCs w:val="21"/>
        </w:rPr>
        <w:t>の要請により</w:t>
      </w:r>
      <w:r w:rsidR="00D91610">
        <w:rPr>
          <w:rFonts w:hint="eastAsia"/>
          <w:szCs w:val="21"/>
        </w:rPr>
        <w:t>、</w:t>
      </w:r>
      <w:r w:rsidR="00FC4C7E" w:rsidRPr="000E4167">
        <w:rPr>
          <w:rFonts w:hint="eastAsia"/>
          <w:szCs w:val="21"/>
        </w:rPr>
        <w:t>一度は</w:t>
      </w:r>
      <w:r w:rsidR="00EC5611" w:rsidRPr="000E4167">
        <w:rPr>
          <w:rFonts w:hint="eastAsia"/>
          <w:szCs w:val="21"/>
        </w:rPr>
        <w:t>政府によって</w:t>
      </w:r>
      <w:r w:rsidR="00FC4C7E" w:rsidRPr="000E4167">
        <w:rPr>
          <w:rFonts w:hint="eastAsia"/>
          <w:szCs w:val="21"/>
        </w:rPr>
        <w:t>検討された</w:t>
      </w:r>
      <w:r w:rsidR="005251D6">
        <w:rPr>
          <w:rFonts w:hint="eastAsia"/>
          <w:szCs w:val="21"/>
        </w:rPr>
        <w:t>ペトロ・カリブ加盟</w:t>
      </w:r>
      <w:r w:rsidR="000B736A">
        <w:rPr>
          <w:rFonts w:hint="eastAsia"/>
          <w:szCs w:val="21"/>
        </w:rPr>
        <w:t>について</w:t>
      </w:r>
      <w:r w:rsidR="00FC4C7E" w:rsidRPr="000E4167">
        <w:rPr>
          <w:rFonts w:hint="eastAsia"/>
          <w:szCs w:val="21"/>
        </w:rPr>
        <w:t>、コスタリカ石油精製公社</w:t>
      </w:r>
      <w:r w:rsidR="00D91610">
        <w:rPr>
          <w:rFonts w:hint="eastAsia"/>
          <w:szCs w:val="21"/>
        </w:rPr>
        <w:t>からは</w:t>
      </w:r>
      <w:r w:rsidR="00EC5611" w:rsidRPr="000E4167">
        <w:rPr>
          <w:rFonts w:hint="eastAsia"/>
          <w:szCs w:val="21"/>
        </w:rPr>
        <w:t>加盟即ち</w:t>
      </w:r>
      <w:r w:rsidR="00FC4C7E" w:rsidRPr="000E4167">
        <w:rPr>
          <w:rFonts w:hint="eastAsia"/>
          <w:szCs w:val="21"/>
        </w:rPr>
        <w:t>国際市場価格より廉価な石油が</w:t>
      </w:r>
      <w:r w:rsidR="00FB14A8">
        <w:rPr>
          <w:rFonts w:hint="eastAsia"/>
          <w:szCs w:val="21"/>
        </w:rPr>
        <w:t>入手可能という</w:t>
      </w:r>
      <w:r w:rsidR="00FC4C7E" w:rsidRPr="000E4167">
        <w:rPr>
          <w:rFonts w:hint="eastAsia"/>
          <w:szCs w:val="21"/>
        </w:rPr>
        <w:t>わけではない</w:t>
      </w:r>
      <w:r w:rsidR="000B736A">
        <w:rPr>
          <w:rFonts w:hint="eastAsia"/>
          <w:szCs w:val="21"/>
        </w:rPr>
        <w:t>とする調査報告書が発表され</w:t>
      </w:r>
      <w:r w:rsidR="00EC5611" w:rsidRPr="000E4167">
        <w:rPr>
          <w:rFonts w:hint="eastAsia"/>
          <w:szCs w:val="21"/>
        </w:rPr>
        <w:t>た</w:t>
      </w:r>
      <w:r w:rsidR="00FC4C7E" w:rsidRPr="000E4167">
        <w:rPr>
          <w:rFonts w:hint="eastAsia"/>
          <w:szCs w:val="21"/>
        </w:rPr>
        <w:t>。</w:t>
      </w:r>
      <w:r w:rsidR="00EC5611" w:rsidRPr="000E4167">
        <w:rPr>
          <w:rFonts w:hint="eastAsia"/>
          <w:szCs w:val="21"/>
        </w:rPr>
        <w:t>これをもとに、ソリス大統領</w:t>
      </w:r>
      <w:r w:rsidR="000B736A">
        <w:rPr>
          <w:rFonts w:hint="eastAsia"/>
          <w:szCs w:val="21"/>
        </w:rPr>
        <w:t>はペトロ・カリブ</w:t>
      </w:r>
      <w:r w:rsidR="00D91610">
        <w:rPr>
          <w:rFonts w:hint="eastAsia"/>
          <w:szCs w:val="21"/>
        </w:rPr>
        <w:t>に</w:t>
      </w:r>
      <w:r w:rsidR="000B736A">
        <w:rPr>
          <w:rFonts w:hint="eastAsia"/>
          <w:szCs w:val="21"/>
        </w:rPr>
        <w:t>加盟しないことを</w:t>
      </w:r>
      <w:r w:rsidR="008D021A">
        <w:rPr>
          <w:rFonts w:hint="eastAsia"/>
          <w:szCs w:val="21"/>
        </w:rPr>
        <w:t>正式に決定</w:t>
      </w:r>
      <w:r w:rsidR="00EC5611" w:rsidRPr="000E4167">
        <w:rPr>
          <w:rFonts w:hint="eastAsia"/>
          <w:szCs w:val="21"/>
        </w:rPr>
        <w:t>した。</w:t>
      </w:r>
      <w:r w:rsidR="00D91610">
        <w:rPr>
          <w:rFonts w:hint="eastAsia"/>
          <w:szCs w:val="21"/>
        </w:rPr>
        <w:t>同</w:t>
      </w:r>
      <w:r w:rsidR="008F23D5">
        <w:rPr>
          <w:rFonts w:hint="eastAsia"/>
          <w:szCs w:val="21"/>
        </w:rPr>
        <w:t>大統領は</w:t>
      </w:r>
      <w:r w:rsidR="00FB14A8">
        <w:rPr>
          <w:rFonts w:hint="eastAsia"/>
          <w:szCs w:val="21"/>
        </w:rPr>
        <w:t>同時に</w:t>
      </w:r>
      <w:r w:rsidR="008F23D5">
        <w:rPr>
          <w:rFonts w:hint="eastAsia"/>
          <w:szCs w:val="21"/>
        </w:rPr>
        <w:t>、</w:t>
      </w:r>
      <w:r w:rsidR="007506BE">
        <w:rPr>
          <w:rFonts w:hint="eastAsia"/>
          <w:szCs w:val="21"/>
        </w:rPr>
        <w:t>今回の決断に</w:t>
      </w:r>
      <w:r w:rsidR="00FB14A8">
        <w:rPr>
          <w:rFonts w:hint="eastAsia"/>
          <w:szCs w:val="21"/>
        </w:rPr>
        <w:t>ALBA</w:t>
      </w:r>
      <w:r w:rsidR="00FB14A8">
        <w:rPr>
          <w:rFonts w:hint="eastAsia"/>
          <w:szCs w:val="21"/>
        </w:rPr>
        <w:t>諸国との関係性</w:t>
      </w:r>
      <w:r w:rsidR="008F23D5">
        <w:rPr>
          <w:rFonts w:hint="eastAsia"/>
          <w:szCs w:val="21"/>
        </w:rPr>
        <w:t>といった</w:t>
      </w:r>
      <w:r w:rsidR="007506BE">
        <w:rPr>
          <w:rFonts w:hint="eastAsia"/>
          <w:szCs w:val="21"/>
        </w:rPr>
        <w:t>政治的な要素</w:t>
      </w:r>
      <w:r w:rsidR="006D0546">
        <w:rPr>
          <w:rFonts w:hint="eastAsia"/>
          <w:szCs w:val="21"/>
        </w:rPr>
        <w:t>は</w:t>
      </w:r>
      <w:r w:rsidR="000B736A">
        <w:rPr>
          <w:rFonts w:hint="eastAsia"/>
          <w:szCs w:val="21"/>
        </w:rPr>
        <w:t>考慮され</w:t>
      </w:r>
      <w:r w:rsidR="008F23D5">
        <w:rPr>
          <w:rFonts w:hint="eastAsia"/>
          <w:szCs w:val="21"/>
        </w:rPr>
        <w:t>ていない</w:t>
      </w:r>
      <w:r w:rsidR="00FB14A8">
        <w:rPr>
          <w:rFonts w:hint="eastAsia"/>
          <w:szCs w:val="21"/>
        </w:rPr>
        <w:t>ことも</w:t>
      </w:r>
      <w:r w:rsidR="008F23D5">
        <w:rPr>
          <w:rFonts w:hint="eastAsia"/>
          <w:szCs w:val="21"/>
        </w:rPr>
        <w:t>主張</w:t>
      </w:r>
      <w:r w:rsidR="00EC5611" w:rsidRPr="000E4167">
        <w:rPr>
          <w:rFonts w:hint="eastAsia"/>
          <w:szCs w:val="21"/>
        </w:rPr>
        <w:t>した</w:t>
      </w:r>
      <w:r w:rsidR="00FC4C7E" w:rsidRPr="000E4167">
        <w:rPr>
          <w:rFonts w:hint="eastAsia"/>
          <w:szCs w:val="21"/>
        </w:rPr>
        <w:t>。</w:t>
      </w:r>
      <w:r w:rsidR="005F38B5">
        <w:rPr>
          <w:rFonts w:hint="eastAsia"/>
          <w:szCs w:val="21"/>
        </w:rPr>
        <w:t>(</w:t>
      </w:r>
      <w:r w:rsidR="005F38B5">
        <w:rPr>
          <w:rFonts w:hint="eastAsia"/>
          <w:szCs w:val="21"/>
        </w:rPr>
        <w:t>了</w:t>
      </w:r>
      <w:r w:rsidR="005F38B5">
        <w:rPr>
          <w:rFonts w:hint="eastAsia"/>
          <w:szCs w:val="21"/>
        </w:rPr>
        <w:t>)</w:t>
      </w:r>
    </w:p>
    <w:p w:rsidR="00FC4C7E" w:rsidRPr="00745D08" w:rsidRDefault="00FC4C7E" w:rsidP="00FC4C7E">
      <w:pPr>
        <w:rPr>
          <w:szCs w:val="21"/>
        </w:rPr>
      </w:pPr>
    </w:p>
    <w:p w:rsidR="001D1091" w:rsidRPr="00FC4C7E" w:rsidRDefault="001D1091" w:rsidP="00FC4C7E">
      <w:pPr>
        <w:rPr>
          <w:sz w:val="20"/>
          <w:szCs w:val="20"/>
        </w:rPr>
      </w:pPr>
    </w:p>
    <w:sectPr w:rsidR="001D1091" w:rsidRPr="00FC4C7E" w:rsidSect="00966B7C">
      <w:footerReference w:type="default" r:id="rId2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C00" w:rsidRDefault="00AE7C00" w:rsidP="00A84869">
      <w:r>
        <w:separator/>
      </w:r>
    </w:p>
  </w:endnote>
  <w:endnote w:type="continuationSeparator" w:id="0">
    <w:p w:rsidR="00AE7C00" w:rsidRDefault="00AE7C00" w:rsidP="00A8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15612"/>
      <w:docPartObj>
        <w:docPartGallery w:val="Page Numbers (Bottom of Page)"/>
        <w:docPartUnique/>
      </w:docPartObj>
    </w:sdtPr>
    <w:sdtEndPr/>
    <w:sdtContent>
      <w:p w:rsidR="00FF0F71" w:rsidRDefault="00BD37B1">
        <w:pPr>
          <w:pStyle w:val="aa"/>
          <w:jc w:val="center"/>
        </w:pPr>
        <w:r>
          <w:fldChar w:fldCharType="begin"/>
        </w:r>
        <w:r w:rsidR="00B257BD">
          <w:instrText xml:space="preserve"> PAGE   \* MERGEFORMAT </w:instrText>
        </w:r>
        <w:r>
          <w:fldChar w:fldCharType="separate"/>
        </w:r>
        <w:r w:rsidR="008804D7" w:rsidRPr="008804D7">
          <w:rPr>
            <w:noProof/>
            <w:lang w:val="ja-JP"/>
          </w:rPr>
          <w:t>1</w:t>
        </w:r>
        <w:r>
          <w:rPr>
            <w:noProof/>
            <w:lang w:val="ja-JP"/>
          </w:rPr>
          <w:fldChar w:fldCharType="end"/>
        </w:r>
      </w:p>
    </w:sdtContent>
  </w:sdt>
  <w:p w:rsidR="00FF0F71" w:rsidRDefault="00FF0F7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C00" w:rsidRDefault="00AE7C00" w:rsidP="00A84869">
      <w:r>
        <w:separator/>
      </w:r>
    </w:p>
  </w:footnote>
  <w:footnote w:type="continuationSeparator" w:id="0">
    <w:p w:rsidR="00AE7C00" w:rsidRDefault="00AE7C00" w:rsidP="00A84869">
      <w:r>
        <w:continuationSeparator/>
      </w:r>
    </w:p>
  </w:footnote>
  <w:footnote w:id="1">
    <w:p w:rsidR="00A84869" w:rsidRPr="00EF22BB" w:rsidRDefault="00A84869">
      <w:pPr>
        <w:pStyle w:val="a3"/>
        <w:rPr>
          <w:sz w:val="18"/>
          <w:szCs w:val="18"/>
        </w:rPr>
      </w:pPr>
      <w:r w:rsidRPr="00EF22BB">
        <w:rPr>
          <w:rStyle w:val="a5"/>
          <w:sz w:val="18"/>
          <w:szCs w:val="18"/>
        </w:rPr>
        <w:footnoteRef/>
      </w:r>
      <w:r w:rsidRPr="00EF22BB">
        <w:rPr>
          <w:sz w:val="18"/>
          <w:szCs w:val="18"/>
        </w:rPr>
        <w:t xml:space="preserve"> </w:t>
      </w:r>
      <w:r w:rsidRPr="00EF22BB">
        <w:rPr>
          <w:rFonts w:hint="eastAsia"/>
          <w:sz w:val="18"/>
          <w:szCs w:val="18"/>
        </w:rPr>
        <w:t>ラ・ナシオン紙、ラ・プレンサリブレ紙、ラ・レプブリカ紙、エル・フィナンシエロ紙</w:t>
      </w:r>
    </w:p>
  </w:footnote>
  <w:footnote w:id="2">
    <w:p w:rsidR="003E6F21" w:rsidRPr="00C84AB0" w:rsidRDefault="003E6F21">
      <w:pPr>
        <w:pStyle w:val="a3"/>
        <w:rPr>
          <w:sz w:val="18"/>
          <w:szCs w:val="18"/>
        </w:rPr>
      </w:pPr>
      <w:r>
        <w:rPr>
          <w:rStyle w:val="a5"/>
        </w:rPr>
        <w:footnoteRef/>
      </w:r>
      <w:r w:rsidRPr="00C84AB0">
        <w:rPr>
          <w:sz w:val="18"/>
          <w:szCs w:val="18"/>
        </w:rPr>
        <w:t xml:space="preserve"> </w:t>
      </w:r>
      <w:r w:rsidRPr="00C84AB0">
        <w:rPr>
          <w:rFonts w:hint="eastAsia"/>
          <w:sz w:val="18"/>
          <w:szCs w:val="18"/>
        </w:rPr>
        <w:t>インテル社製をはじめとする電子回路部品の輸出額は、</w:t>
      </w:r>
      <w:r w:rsidRPr="00C84AB0">
        <w:rPr>
          <w:rFonts w:hint="eastAsia"/>
          <w:sz w:val="18"/>
          <w:szCs w:val="18"/>
        </w:rPr>
        <w:t>9</w:t>
      </w:r>
      <w:r w:rsidRPr="00C84AB0">
        <w:rPr>
          <w:rFonts w:hint="eastAsia"/>
          <w:sz w:val="18"/>
          <w:szCs w:val="18"/>
        </w:rPr>
        <w:t>月に</w:t>
      </w:r>
      <w:r w:rsidRPr="00C84AB0">
        <w:rPr>
          <w:rFonts w:hint="eastAsia"/>
          <w:sz w:val="18"/>
          <w:szCs w:val="18"/>
        </w:rPr>
        <w:t>136</w:t>
      </w:r>
      <w:r w:rsidRPr="00C84AB0">
        <w:rPr>
          <w:rFonts w:hint="eastAsia"/>
          <w:sz w:val="18"/>
          <w:szCs w:val="18"/>
        </w:rPr>
        <w:t>百万ドル</w:t>
      </w:r>
      <w:r w:rsidRPr="00C84AB0">
        <w:rPr>
          <w:rFonts w:hint="eastAsia"/>
          <w:sz w:val="18"/>
          <w:szCs w:val="18"/>
        </w:rPr>
        <w:t>(</w:t>
      </w:r>
      <w:r w:rsidRPr="00C84AB0">
        <w:rPr>
          <w:rFonts w:hint="eastAsia"/>
          <w:sz w:val="18"/>
          <w:szCs w:val="18"/>
        </w:rPr>
        <w:t>前年比約</w:t>
      </w:r>
      <w:r w:rsidRPr="00C84AB0">
        <w:rPr>
          <w:rFonts w:hint="eastAsia"/>
          <w:sz w:val="18"/>
          <w:szCs w:val="18"/>
        </w:rPr>
        <w:t>35</w:t>
      </w:r>
      <w:r w:rsidRPr="00C84AB0">
        <w:rPr>
          <w:rFonts w:hint="eastAsia"/>
          <w:sz w:val="18"/>
          <w:szCs w:val="18"/>
        </w:rPr>
        <w:t>％減</w:t>
      </w:r>
      <w:r w:rsidRPr="00C84AB0">
        <w:rPr>
          <w:rFonts w:hint="eastAsia"/>
          <w:sz w:val="18"/>
          <w:szCs w:val="18"/>
        </w:rPr>
        <w:t>)</w:t>
      </w:r>
      <w:r w:rsidRPr="00C84AB0">
        <w:rPr>
          <w:rFonts w:hint="eastAsia"/>
          <w:sz w:val="18"/>
          <w:szCs w:val="18"/>
        </w:rPr>
        <w:t>、</w:t>
      </w:r>
      <w:r w:rsidRPr="00C84AB0">
        <w:rPr>
          <w:rFonts w:hint="eastAsia"/>
          <w:sz w:val="18"/>
          <w:szCs w:val="18"/>
        </w:rPr>
        <w:t>10</w:t>
      </w:r>
      <w:r w:rsidRPr="00C84AB0">
        <w:rPr>
          <w:rFonts w:hint="eastAsia"/>
          <w:sz w:val="18"/>
          <w:szCs w:val="18"/>
        </w:rPr>
        <w:t>月に</w:t>
      </w:r>
      <w:r w:rsidRPr="00C84AB0">
        <w:rPr>
          <w:rFonts w:hint="eastAsia"/>
          <w:sz w:val="18"/>
          <w:szCs w:val="18"/>
        </w:rPr>
        <w:t>152</w:t>
      </w:r>
      <w:r w:rsidRPr="00C84AB0">
        <w:rPr>
          <w:rFonts w:hint="eastAsia"/>
          <w:sz w:val="18"/>
          <w:szCs w:val="18"/>
        </w:rPr>
        <w:t>百万ドル</w:t>
      </w:r>
      <w:r w:rsidRPr="00C84AB0">
        <w:rPr>
          <w:rFonts w:hint="eastAsia"/>
          <w:sz w:val="18"/>
          <w:szCs w:val="18"/>
        </w:rPr>
        <w:t>(</w:t>
      </w:r>
      <w:r w:rsidRPr="00C84AB0">
        <w:rPr>
          <w:rFonts w:hint="eastAsia"/>
          <w:sz w:val="18"/>
          <w:szCs w:val="18"/>
        </w:rPr>
        <w:t>前年比約</w:t>
      </w:r>
      <w:r w:rsidRPr="00C84AB0">
        <w:rPr>
          <w:rFonts w:hint="eastAsia"/>
          <w:sz w:val="18"/>
          <w:szCs w:val="18"/>
        </w:rPr>
        <w:t>30</w:t>
      </w:r>
      <w:r w:rsidRPr="00C84AB0">
        <w:rPr>
          <w:rFonts w:hint="eastAsia"/>
          <w:sz w:val="18"/>
          <w:szCs w:val="18"/>
        </w:rPr>
        <w:t>％減</w:t>
      </w:r>
      <w:r w:rsidRPr="00C84AB0">
        <w:rPr>
          <w:rFonts w:hint="eastAsia"/>
          <w:sz w:val="18"/>
          <w:szCs w:val="18"/>
        </w:rPr>
        <w:t>)</w:t>
      </w:r>
      <w:r w:rsidRPr="00C84AB0">
        <w:rPr>
          <w:rFonts w:hint="eastAsia"/>
          <w:sz w:val="18"/>
          <w:szCs w:val="18"/>
        </w:rPr>
        <w:t>を記録した。他方で生命科学関連商品の輸出額は</w:t>
      </w:r>
      <w:r w:rsidRPr="00C84AB0">
        <w:rPr>
          <w:rFonts w:hint="eastAsia"/>
          <w:sz w:val="18"/>
          <w:szCs w:val="18"/>
        </w:rPr>
        <w:t>9</w:t>
      </w:r>
      <w:r w:rsidRPr="00C84AB0">
        <w:rPr>
          <w:rFonts w:hint="eastAsia"/>
          <w:sz w:val="18"/>
          <w:szCs w:val="18"/>
        </w:rPr>
        <w:t>月に約</w:t>
      </w:r>
      <w:r w:rsidRPr="00C84AB0">
        <w:rPr>
          <w:rFonts w:hint="eastAsia"/>
          <w:sz w:val="18"/>
          <w:szCs w:val="18"/>
        </w:rPr>
        <w:t>200</w:t>
      </w:r>
      <w:r w:rsidRPr="00C84AB0">
        <w:rPr>
          <w:rFonts w:hint="eastAsia"/>
          <w:sz w:val="18"/>
          <w:szCs w:val="18"/>
        </w:rPr>
        <w:t>百万ドル</w:t>
      </w:r>
      <w:r w:rsidRPr="00C84AB0">
        <w:rPr>
          <w:rFonts w:hint="eastAsia"/>
          <w:sz w:val="18"/>
          <w:szCs w:val="18"/>
        </w:rPr>
        <w:t>(</w:t>
      </w:r>
      <w:r w:rsidRPr="00C84AB0">
        <w:rPr>
          <w:rFonts w:hint="eastAsia"/>
          <w:sz w:val="18"/>
          <w:szCs w:val="18"/>
        </w:rPr>
        <w:t>前年比約</w:t>
      </w:r>
      <w:r w:rsidRPr="00C84AB0">
        <w:rPr>
          <w:rFonts w:hint="eastAsia"/>
          <w:sz w:val="18"/>
          <w:szCs w:val="18"/>
        </w:rPr>
        <w:t>36</w:t>
      </w:r>
      <w:r w:rsidRPr="00C84AB0">
        <w:rPr>
          <w:rFonts w:hint="eastAsia"/>
          <w:sz w:val="18"/>
          <w:szCs w:val="18"/>
        </w:rPr>
        <w:t>％増</w:t>
      </w:r>
      <w:r w:rsidRPr="00C84AB0">
        <w:rPr>
          <w:rFonts w:hint="eastAsia"/>
          <w:sz w:val="18"/>
          <w:szCs w:val="18"/>
        </w:rPr>
        <w:t>)</w:t>
      </w:r>
      <w:r w:rsidRPr="00C84AB0">
        <w:rPr>
          <w:rFonts w:hint="eastAsia"/>
          <w:sz w:val="18"/>
          <w:szCs w:val="18"/>
        </w:rPr>
        <w:t>、</w:t>
      </w:r>
      <w:r w:rsidRPr="00C84AB0">
        <w:rPr>
          <w:rFonts w:hint="eastAsia"/>
          <w:sz w:val="18"/>
          <w:szCs w:val="18"/>
        </w:rPr>
        <w:t>10</w:t>
      </w:r>
      <w:r w:rsidRPr="00C84AB0">
        <w:rPr>
          <w:rFonts w:hint="eastAsia"/>
          <w:sz w:val="18"/>
          <w:szCs w:val="18"/>
        </w:rPr>
        <w:t>月に約</w:t>
      </w:r>
      <w:r w:rsidRPr="00C84AB0">
        <w:rPr>
          <w:rFonts w:hint="eastAsia"/>
          <w:sz w:val="18"/>
          <w:szCs w:val="18"/>
        </w:rPr>
        <w:t>180</w:t>
      </w:r>
      <w:r w:rsidRPr="00C84AB0">
        <w:rPr>
          <w:rFonts w:hint="eastAsia"/>
          <w:sz w:val="18"/>
          <w:szCs w:val="18"/>
        </w:rPr>
        <w:t>百万ドル</w:t>
      </w:r>
      <w:r w:rsidRPr="00C84AB0">
        <w:rPr>
          <w:rFonts w:hint="eastAsia"/>
          <w:sz w:val="18"/>
          <w:szCs w:val="18"/>
        </w:rPr>
        <w:t>(</w:t>
      </w:r>
      <w:r w:rsidRPr="00C84AB0">
        <w:rPr>
          <w:rFonts w:hint="eastAsia"/>
          <w:sz w:val="18"/>
          <w:szCs w:val="18"/>
        </w:rPr>
        <w:t>前年比約</w:t>
      </w:r>
      <w:r w:rsidRPr="00C84AB0">
        <w:rPr>
          <w:rFonts w:hint="eastAsia"/>
          <w:sz w:val="18"/>
          <w:szCs w:val="18"/>
        </w:rPr>
        <w:t>20</w:t>
      </w:r>
      <w:r w:rsidRPr="00C84AB0">
        <w:rPr>
          <w:rFonts w:hint="eastAsia"/>
          <w:sz w:val="18"/>
          <w:szCs w:val="18"/>
        </w:rPr>
        <w:t>％増</w:t>
      </w:r>
      <w:r w:rsidRPr="00C84AB0">
        <w:rPr>
          <w:rFonts w:hint="eastAsia"/>
          <w:sz w:val="18"/>
          <w:szCs w:val="18"/>
        </w:rPr>
        <w:t>)</w:t>
      </w:r>
      <w:r w:rsidRPr="00C84AB0">
        <w:rPr>
          <w:rFonts w:hint="eastAsia"/>
          <w:sz w:val="18"/>
          <w:szCs w:val="18"/>
        </w:rPr>
        <w:t>を記録した。</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733D9"/>
    <w:multiLevelType w:val="hybridMultilevel"/>
    <w:tmpl w:val="3A74F176"/>
    <w:lvl w:ilvl="0" w:tplc="86CCCC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072397E"/>
    <w:multiLevelType w:val="hybridMultilevel"/>
    <w:tmpl w:val="75B4E416"/>
    <w:lvl w:ilvl="0" w:tplc="2834BE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530A86"/>
    <w:multiLevelType w:val="hybridMultilevel"/>
    <w:tmpl w:val="685E4B3C"/>
    <w:lvl w:ilvl="0" w:tplc="6D1A206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E2F1434"/>
    <w:multiLevelType w:val="hybridMultilevel"/>
    <w:tmpl w:val="E88E1FB0"/>
    <w:lvl w:ilvl="0" w:tplc="6074AF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35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869"/>
    <w:rsid w:val="00000EFF"/>
    <w:rsid w:val="000023F7"/>
    <w:rsid w:val="00007471"/>
    <w:rsid w:val="0001130C"/>
    <w:rsid w:val="0002227F"/>
    <w:rsid w:val="000430EB"/>
    <w:rsid w:val="000562D2"/>
    <w:rsid w:val="00057FED"/>
    <w:rsid w:val="000602E4"/>
    <w:rsid w:val="00064524"/>
    <w:rsid w:val="00071C15"/>
    <w:rsid w:val="00075B21"/>
    <w:rsid w:val="00083EB2"/>
    <w:rsid w:val="000916E2"/>
    <w:rsid w:val="00093AE7"/>
    <w:rsid w:val="00093B0E"/>
    <w:rsid w:val="000943EC"/>
    <w:rsid w:val="00095A1C"/>
    <w:rsid w:val="00096C41"/>
    <w:rsid w:val="000B4037"/>
    <w:rsid w:val="000B5B91"/>
    <w:rsid w:val="000B736A"/>
    <w:rsid w:val="000C3723"/>
    <w:rsid w:val="000D794C"/>
    <w:rsid w:val="000E4167"/>
    <w:rsid w:val="000E7782"/>
    <w:rsid w:val="000F088D"/>
    <w:rsid w:val="0011109C"/>
    <w:rsid w:val="0011428E"/>
    <w:rsid w:val="00123D07"/>
    <w:rsid w:val="00125D23"/>
    <w:rsid w:val="001313E4"/>
    <w:rsid w:val="001364F5"/>
    <w:rsid w:val="00140921"/>
    <w:rsid w:val="00143BD5"/>
    <w:rsid w:val="00143F0E"/>
    <w:rsid w:val="00145AD6"/>
    <w:rsid w:val="00154F3B"/>
    <w:rsid w:val="00163FBA"/>
    <w:rsid w:val="001753B9"/>
    <w:rsid w:val="00176C72"/>
    <w:rsid w:val="0018143A"/>
    <w:rsid w:val="001956F3"/>
    <w:rsid w:val="001B189D"/>
    <w:rsid w:val="001B7B5B"/>
    <w:rsid w:val="001C0BC5"/>
    <w:rsid w:val="001C6015"/>
    <w:rsid w:val="001D1091"/>
    <w:rsid w:val="001D517A"/>
    <w:rsid w:val="001D6948"/>
    <w:rsid w:val="00207E5B"/>
    <w:rsid w:val="00225362"/>
    <w:rsid w:val="00231AEF"/>
    <w:rsid w:val="00234C06"/>
    <w:rsid w:val="0024506F"/>
    <w:rsid w:val="00251093"/>
    <w:rsid w:val="002578B0"/>
    <w:rsid w:val="0026655D"/>
    <w:rsid w:val="0028285F"/>
    <w:rsid w:val="00283329"/>
    <w:rsid w:val="0029627B"/>
    <w:rsid w:val="002A37E3"/>
    <w:rsid w:val="002B7872"/>
    <w:rsid w:val="002C4145"/>
    <w:rsid w:val="002D3E66"/>
    <w:rsid w:val="002D5C3C"/>
    <w:rsid w:val="002D5F06"/>
    <w:rsid w:val="002D70FB"/>
    <w:rsid w:val="002E13D2"/>
    <w:rsid w:val="003041E7"/>
    <w:rsid w:val="003113C6"/>
    <w:rsid w:val="00327DD9"/>
    <w:rsid w:val="003304CB"/>
    <w:rsid w:val="00330F7D"/>
    <w:rsid w:val="003316D0"/>
    <w:rsid w:val="00331DB1"/>
    <w:rsid w:val="00332E81"/>
    <w:rsid w:val="00342BCA"/>
    <w:rsid w:val="00347A5D"/>
    <w:rsid w:val="003645AF"/>
    <w:rsid w:val="003702DA"/>
    <w:rsid w:val="003903FC"/>
    <w:rsid w:val="00396BE1"/>
    <w:rsid w:val="003B03E2"/>
    <w:rsid w:val="003B3D2B"/>
    <w:rsid w:val="003C0E4B"/>
    <w:rsid w:val="003C38C8"/>
    <w:rsid w:val="003D4C02"/>
    <w:rsid w:val="003D6A0E"/>
    <w:rsid w:val="003E4A82"/>
    <w:rsid w:val="003E6F21"/>
    <w:rsid w:val="003F5FFA"/>
    <w:rsid w:val="003F60DD"/>
    <w:rsid w:val="003F737C"/>
    <w:rsid w:val="00404885"/>
    <w:rsid w:val="00406A2F"/>
    <w:rsid w:val="00415119"/>
    <w:rsid w:val="00416852"/>
    <w:rsid w:val="004172A0"/>
    <w:rsid w:val="004327B6"/>
    <w:rsid w:val="00437F96"/>
    <w:rsid w:val="00452FB6"/>
    <w:rsid w:val="00470E91"/>
    <w:rsid w:val="0048523E"/>
    <w:rsid w:val="00490636"/>
    <w:rsid w:val="0049325D"/>
    <w:rsid w:val="004955D4"/>
    <w:rsid w:val="004A6205"/>
    <w:rsid w:val="004B0667"/>
    <w:rsid w:val="004B17CD"/>
    <w:rsid w:val="004B4F0A"/>
    <w:rsid w:val="004B71BD"/>
    <w:rsid w:val="004C0865"/>
    <w:rsid w:val="004C1FBB"/>
    <w:rsid w:val="004E0D44"/>
    <w:rsid w:val="004E2E4F"/>
    <w:rsid w:val="004F1214"/>
    <w:rsid w:val="004F1F74"/>
    <w:rsid w:val="00502E90"/>
    <w:rsid w:val="0050482B"/>
    <w:rsid w:val="00513848"/>
    <w:rsid w:val="00514EA7"/>
    <w:rsid w:val="005251D6"/>
    <w:rsid w:val="0053080D"/>
    <w:rsid w:val="0054709C"/>
    <w:rsid w:val="005509A9"/>
    <w:rsid w:val="005533D9"/>
    <w:rsid w:val="0055344F"/>
    <w:rsid w:val="005672EE"/>
    <w:rsid w:val="00596171"/>
    <w:rsid w:val="005965A2"/>
    <w:rsid w:val="00596EC9"/>
    <w:rsid w:val="005F38B5"/>
    <w:rsid w:val="005F688C"/>
    <w:rsid w:val="00602D22"/>
    <w:rsid w:val="00605EC3"/>
    <w:rsid w:val="006209A6"/>
    <w:rsid w:val="00626460"/>
    <w:rsid w:val="00630760"/>
    <w:rsid w:val="006348E7"/>
    <w:rsid w:val="00636577"/>
    <w:rsid w:val="00640989"/>
    <w:rsid w:val="0064694E"/>
    <w:rsid w:val="0066227D"/>
    <w:rsid w:val="00665020"/>
    <w:rsid w:val="006810E3"/>
    <w:rsid w:val="00695552"/>
    <w:rsid w:val="00696284"/>
    <w:rsid w:val="00697870"/>
    <w:rsid w:val="006A15AF"/>
    <w:rsid w:val="006A40E2"/>
    <w:rsid w:val="006A750B"/>
    <w:rsid w:val="006B4601"/>
    <w:rsid w:val="006B4DDB"/>
    <w:rsid w:val="006B6220"/>
    <w:rsid w:val="006B64F8"/>
    <w:rsid w:val="006C384D"/>
    <w:rsid w:val="006D0546"/>
    <w:rsid w:val="006D2A45"/>
    <w:rsid w:val="006E4829"/>
    <w:rsid w:val="006F218E"/>
    <w:rsid w:val="006F2C0F"/>
    <w:rsid w:val="006F6992"/>
    <w:rsid w:val="00701331"/>
    <w:rsid w:val="007079A1"/>
    <w:rsid w:val="00711513"/>
    <w:rsid w:val="0072490F"/>
    <w:rsid w:val="007506BE"/>
    <w:rsid w:val="007634D2"/>
    <w:rsid w:val="007662AF"/>
    <w:rsid w:val="00775225"/>
    <w:rsid w:val="007773DC"/>
    <w:rsid w:val="00793DDE"/>
    <w:rsid w:val="00796C8E"/>
    <w:rsid w:val="007A5A4A"/>
    <w:rsid w:val="007B1DAE"/>
    <w:rsid w:val="007B2190"/>
    <w:rsid w:val="007B664C"/>
    <w:rsid w:val="007D197D"/>
    <w:rsid w:val="007D2E28"/>
    <w:rsid w:val="007D38B6"/>
    <w:rsid w:val="007D780A"/>
    <w:rsid w:val="007E13A4"/>
    <w:rsid w:val="007F325D"/>
    <w:rsid w:val="007F44D2"/>
    <w:rsid w:val="00803828"/>
    <w:rsid w:val="00821383"/>
    <w:rsid w:val="00823832"/>
    <w:rsid w:val="00825DD8"/>
    <w:rsid w:val="00830291"/>
    <w:rsid w:val="008345E6"/>
    <w:rsid w:val="008405CC"/>
    <w:rsid w:val="00851B76"/>
    <w:rsid w:val="00855BB2"/>
    <w:rsid w:val="00865397"/>
    <w:rsid w:val="00880119"/>
    <w:rsid w:val="008804D7"/>
    <w:rsid w:val="00880D6E"/>
    <w:rsid w:val="0088184E"/>
    <w:rsid w:val="0088354C"/>
    <w:rsid w:val="008878F7"/>
    <w:rsid w:val="008970B9"/>
    <w:rsid w:val="008D021A"/>
    <w:rsid w:val="008D1E26"/>
    <w:rsid w:val="008D7588"/>
    <w:rsid w:val="008E1879"/>
    <w:rsid w:val="008F23D5"/>
    <w:rsid w:val="008F3E90"/>
    <w:rsid w:val="00901CB7"/>
    <w:rsid w:val="00902245"/>
    <w:rsid w:val="0092328B"/>
    <w:rsid w:val="00923E79"/>
    <w:rsid w:val="00930E28"/>
    <w:rsid w:val="00936A3C"/>
    <w:rsid w:val="0093730F"/>
    <w:rsid w:val="009403D3"/>
    <w:rsid w:val="00943D1B"/>
    <w:rsid w:val="009518AB"/>
    <w:rsid w:val="0095739C"/>
    <w:rsid w:val="009616DC"/>
    <w:rsid w:val="00966B7C"/>
    <w:rsid w:val="00971EC2"/>
    <w:rsid w:val="00974FD8"/>
    <w:rsid w:val="00977497"/>
    <w:rsid w:val="00983289"/>
    <w:rsid w:val="009850BD"/>
    <w:rsid w:val="0098577F"/>
    <w:rsid w:val="00996ADE"/>
    <w:rsid w:val="009C4FF6"/>
    <w:rsid w:val="009C6CC3"/>
    <w:rsid w:val="009C7504"/>
    <w:rsid w:val="009C7F36"/>
    <w:rsid w:val="009D17A5"/>
    <w:rsid w:val="009D7066"/>
    <w:rsid w:val="009E141D"/>
    <w:rsid w:val="009E1EEC"/>
    <w:rsid w:val="009E400A"/>
    <w:rsid w:val="009F2728"/>
    <w:rsid w:val="009F52B1"/>
    <w:rsid w:val="00A12912"/>
    <w:rsid w:val="00A3655C"/>
    <w:rsid w:val="00A36BD9"/>
    <w:rsid w:val="00A43E11"/>
    <w:rsid w:val="00A44212"/>
    <w:rsid w:val="00A52EE5"/>
    <w:rsid w:val="00A627D6"/>
    <w:rsid w:val="00A6450E"/>
    <w:rsid w:val="00A77A6B"/>
    <w:rsid w:val="00A81AED"/>
    <w:rsid w:val="00A83931"/>
    <w:rsid w:val="00A84869"/>
    <w:rsid w:val="00A85766"/>
    <w:rsid w:val="00AB1048"/>
    <w:rsid w:val="00AC58E6"/>
    <w:rsid w:val="00AD1DF8"/>
    <w:rsid w:val="00AD44DF"/>
    <w:rsid w:val="00AE7C00"/>
    <w:rsid w:val="00AF294F"/>
    <w:rsid w:val="00AF4319"/>
    <w:rsid w:val="00AF60DD"/>
    <w:rsid w:val="00B06A71"/>
    <w:rsid w:val="00B123E7"/>
    <w:rsid w:val="00B127BD"/>
    <w:rsid w:val="00B12825"/>
    <w:rsid w:val="00B12C9F"/>
    <w:rsid w:val="00B12EAC"/>
    <w:rsid w:val="00B222E5"/>
    <w:rsid w:val="00B23071"/>
    <w:rsid w:val="00B257BD"/>
    <w:rsid w:val="00B31028"/>
    <w:rsid w:val="00B3112A"/>
    <w:rsid w:val="00B34892"/>
    <w:rsid w:val="00B365BD"/>
    <w:rsid w:val="00B4121C"/>
    <w:rsid w:val="00B43CDD"/>
    <w:rsid w:val="00B56169"/>
    <w:rsid w:val="00B67905"/>
    <w:rsid w:val="00B74C51"/>
    <w:rsid w:val="00B847D9"/>
    <w:rsid w:val="00B9410C"/>
    <w:rsid w:val="00B941BB"/>
    <w:rsid w:val="00B95CE8"/>
    <w:rsid w:val="00B96687"/>
    <w:rsid w:val="00BA4307"/>
    <w:rsid w:val="00BD1D34"/>
    <w:rsid w:val="00BD37B1"/>
    <w:rsid w:val="00BD419D"/>
    <w:rsid w:val="00BE7C43"/>
    <w:rsid w:val="00C0154C"/>
    <w:rsid w:val="00C03103"/>
    <w:rsid w:val="00C135D5"/>
    <w:rsid w:val="00C20FE0"/>
    <w:rsid w:val="00C46F24"/>
    <w:rsid w:val="00C51E68"/>
    <w:rsid w:val="00C52C61"/>
    <w:rsid w:val="00C540E8"/>
    <w:rsid w:val="00C56709"/>
    <w:rsid w:val="00C702D6"/>
    <w:rsid w:val="00C738EC"/>
    <w:rsid w:val="00C837D5"/>
    <w:rsid w:val="00C84AB0"/>
    <w:rsid w:val="00CC7DC7"/>
    <w:rsid w:val="00CD2AAD"/>
    <w:rsid w:val="00CD2CC0"/>
    <w:rsid w:val="00CE7916"/>
    <w:rsid w:val="00D015F8"/>
    <w:rsid w:val="00D039DB"/>
    <w:rsid w:val="00D17AA0"/>
    <w:rsid w:val="00D32F46"/>
    <w:rsid w:val="00D3579B"/>
    <w:rsid w:val="00D41817"/>
    <w:rsid w:val="00D4347B"/>
    <w:rsid w:val="00D47B97"/>
    <w:rsid w:val="00D47D78"/>
    <w:rsid w:val="00D53B77"/>
    <w:rsid w:val="00D63056"/>
    <w:rsid w:val="00D65110"/>
    <w:rsid w:val="00D81DE9"/>
    <w:rsid w:val="00D91610"/>
    <w:rsid w:val="00D91F35"/>
    <w:rsid w:val="00DA6C29"/>
    <w:rsid w:val="00DB2A0A"/>
    <w:rsid w:val="00DB3FB9"/>
    <w:rsid w:val="00DC2340"/>
    <w:rsid w:val="00DC2BE3"/>
    <w:rsid w:val="00DC3233"/>
    <w:rsid w:val="00DD45BC"/>
    <w:rsid w:val="00DE3E62"/>
    <w:rsid w:val="00E07066"/>
    <w:rsid w:val="00E116E5"/>
    <w:rsid w:val="00E16C0C"/>
    <w:rsid w:val="00E368D7"/>
    <w:rsid w:val="00E7201B"/>
    <w:rsid w:val="00E7387C"/>
    <w:rsid w:val="00E76FAC"/>
    <w:rsid w:val="00E803F9"/>
    <w:rsid w:val="00EA65A6"/>
    <w:rsid w:val="00EA68E1"/>
    <w:rsid w:val="00EA6C73"/>
    <w:rsid w:val="00EB4EEA"/>
    <w:rsid w:val="00EC3C27"/>
    <w:rsid w:val="00EC5611"/>
    <w:rsid w:val="00ED3A54"/>
    <w:rsid w:val="00ED4BA2"/>
    <w:rsid w:val="00EE52B4"/>
    <w:rsid w:val="00EF1F10"/>
    <w:rsid w:val="00EF22BB"/>
    <w:rsid w:val="00EF35F4"/>
    <w:rsid w:val="00F136BF"/>
    <w:rsid w:val="00F234F6"/>
    <w:rsid w:val="00F23E8E"/>
    <w:rsid w:val="00F70629"/>
    <w:rsid w:val="00F76F33"/>
    <w:rsid w:val="00F77B60"/>
    <w:rsid w:val="00F81D6C"/>
    <w:rsid w:val="00F91D4C"/>
    <w:rsid w:val="00FA06A9"/>
    <w:rsid w:val="00FA4E2A"/>
    <w:rsid w:val="00FB14A8"/>
    <w:rsid w:val="00FB170B"/>
    <w:rsid w:val="00FB65D3"/>
    <w:rsid w:val="00FC4C7E"/>
    <w:rsid w:val="00FC5EAA"/>
    <w:rsid w:val="00FE278F"/>
    <w:rsid w:val="00FF0061"/>
    <w:rsid w:val="00FF0F71"/>
    <w:rsid w:val="00FF1F5B"/>
    <w:rsid w:val="00FF35C7"/>
    <w:rsid w:val="00FF3D38"/>
    <w:rsid w:val="00FF3E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55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A84869"/>
    <w:pPr>
      <w:snapToGrid w:val="0"/>
      <w:jc w:val="left"/>
    </w:pPr>
  </w:style>
  <w:style w:type="character" w:customStyle="1" w:styleId="a4">
    <w:name w:val="脚注文字列 (文字)"/>
    <w:basedOn w:val="a0"/>
    <w:link w:val="a3"/>
    <w:uiPriority w:val="99"/>
    <w:semiHidden/>
    <w:rsid w:val="00A84869"/>
  </w:style>
  <w:style w:type="character" w:styleId="a5">
    <w:name w:val="footnote reference"/>
    <w:basedOn w:val="a0"/>
    <w:uiPriority w:val="99"/>
    <w:semiHidden/>
    <w:unhideWhenUsed/>
    <w:rsid w:val="00A84869"/>
    <w:rPr>
      <w:vertAlign w:val="superscript"/>
    </w:rPr>
  </w:style>
  <w:style w:type="paragraph" w:styleId="a6">
    <w:name w:val="Balloon Text"/>
    <w:basedOn w:val="a"/>
    <w:link w:val="a7"/>
    <w:uiPriority w:val="99"/>
    <w:semiHidden/>
    <w:unhideWhenUsed/>
    <w:rsid w:val="0066502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665020"/>
    <w:rPr>
      <w:rFonts w:asciiTheme="majorHAnsi" w:eastAsiaTheme="majorEastAsia" w:hAnsiTheme="majorHAnsi" w:cstheme="majorBidi"/>
      <w:sz w:val="18"/>
      <w:szCs w:val="18"/>
    </w:rPr>
  </w:style>
  <w:style w:type="paragraph" w:styleId="a8">
    <w:name w:val="header"/>
    <w:basedOn w:val="a"/>
    <w:link w:val="a9"/>
    <w:uiPriority w:val="99"/>
    <w:unhideWhenUsed/>
    <w:rsid w:val="00FF0F71"/>
    <w:pPr>
      <w:tabs>
        <w:tab w:val="center" w:pos="4252"/>
        <w:tab w:val="right" w:pos="8504"/>
      </w:tabs>
      <w:snapToGrid w:val="0"/>
    </w:pPr>
  </w:style>
  <w:style w:type="character" w:customStyle="1" w:styleId="a9">
    <w:name w:val="ヘッダー (文字)"/>
    <w:basedOn w:val="a0"/>
    <w:link w:val="a8"/>
    <w:uiPriority w:val="99"/>
    <w:rsid w:val="00FF0F71"/>
  </w:style>
  <w:style w:type="paragraph" w:styleId="aa">
    <w:name w:val="footer"/>
    <w:basedOn w:val="a"/>
    <w:link w:val="ab"/>
    <w:uiPriority w:val="99"/>
    <w:unhideWhenUsed/>
    <w:rsid w:val="00FF0F71"/>
    <w:pPr>
      <w:tabs>
        <w:tab w:val="center" w:pos="4252"/>
        <w:tab w:val="right" w:pos="8504"/>
      </w:tabs>
      <w:snapToGrid w:val="0"/>
    </w:pPr>
  </w:style>
  <w:style w:type="character" w:customStyle="1" w:styleId="ab">
    <w:name w:val="フッター (文字)"/>
    <w:basedOn w:val="a0"/>
    <w:link w:val="aa"/>
    <w:uiPriority w:val="99"/>
    <w:rsid w:val="00FF0F71"/>
  </w:style>
  <w:style w:type="paragraph" w:styleId="ac">
    <w:name w:val="List Paragraph"/>
    <w:basedOn w:val="a"/>
    <w:uiPriority w:val="34"/>
    <w:qFormat/>
    <w:rsid w:val="00BA4307"/>
    <w:pPr>
      <w:ind w:leftChars="400" w:left="840"/>
    </w:pPr>
  </w:style>
  <w:style w:type="paragraph" w:styleId="ad">
    <w:name w:val="Date"/>
    <w:basedOn w:val="a"/>
    <w:next w:val="a"/>
    <w:link w:val="ae"/>
    <w:uiPriority w:val="99"/>
    <w:semiHidden/>
    <w:unhideWhenUsed/>
    <w:rsid w:val="008D7588"/>
  </w:style>
  <w:style w:type="character" w:customStyle="1" w:styleId="ae">
    <w:name w:val="日付 (文字)"/>
    <w:basedOn w:val="a0"/>
    <w:link w:val="ad"/>
    <w:uiPriority w:val="99"/>
    <w:semiHidden/>
    <w:rsid w:val="008D75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A84869"/>
    <w:pPr>
      <w:snapToGrid w:val="0"/>
      <w:jc w:val="left"/>
    </w:pPr>
  </w:style>
  <w:style w:type="character" w:customStyle="1" w:styleId="a4">
    <w:name w:val="脚注文字列 (文字)"/>
    <w:basedOn w:val="a0"/>
    <w:link w:val="a3"/>
    <w:uiPriority w:val="99"/>
    <w:semiHidden/>
    <w:rsid w:val="00A84869"/>
  </w:style>
  <w:style w:type="character" w:styleId="a5">
    <w:name w:val="footnote reference"/>
    <w:basedOn w:val="a0"/>
    <w:uiPriority w:val="99"/>
    <w:semiHidden/>
    <w:unhideWhenUsed/>
    <w:rsid w:val="00A84869"/>
    <w:rPr>
      <w:vertAlign w:val="superscript"/>
    </w:rPr>
  </w:style>
  <w:style w:type="paragraph" w:styleId="a6">
    <w:name w:val="Balloon Text"/>
    <w:basedOn w:val="a"/>
    <w:link w:val="a7"/>
    <w:uiPriority w:val="99"/>
    <w:semiHidden/>
    <w:unhideWhenUsed/>
    <w:rsid w:val="0066502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665020"/>
    <w:rPr>
      <w:rFonts w:asciiTheme="majorHAnsi" w:eastAsiaTheme="majorEastAsia" w:hAnsiTheme="majorHAnsi" w:cstheme="majorBidi"/>
      <w:sz w:val="18"/>
      <w:szCs w:val="18"/>
    </w:rPr>
  </w:style>
  <w:style w:type="paragraph" w:styleId="a8">
    <w:name w:val="header"/>
    <w:basedOn w:val="a"/>
    <w:link w:val="a9"/>
    <w:uiPriority w:val="99"/>
    <w:unhideWhenUsed/>
    <w:rsid w:val="00FF0F71"/>
    <w:pPr>
      <w:tabs>
        <w:tab w:val="center" w:pos="4252"/>
        <w:tab w:val="right" w:pos="8504"/>
      </w:tabs>
      <w:snapToGrid w:val="0"/>
    </w:pPr>
  </w:style>
  <w:style w:type="character" w:customStyle="1" w:styleId="a9">
    <w:name w:val="ヘッダー (文字)"/>
    <w:basedOn w:val="a0"/>
    <w:link w:val="a8"/>
    <w:uiPriority w:val="99"/>
    <w:rsid w:val="00FF0F71"/>
  </w:style>
  <w:style w:type="paragraph" w:styleId="aa">
    <w:name w:val="footer"/>
    <w:basedOn w:val="a"/>
    <w:link w:val="ab"/>
    <w:uiPriority w:val="99"/>
    <w:unhideWhenUsed/>
    <w:rsid w:val="00FF0F71"/>
    <w:pPr>
      <w:tabs>
        <w:tab w:val="center" w:pos="4252"/>
        <w:tab w:val="right" w:pos="8504"/>
      </w:tabs>
      <w:snapToGrid w:val="0"/>
    </w:pPr>
  </w:style>
  <w:style w:type="character" w:customStyle="1" w:styleId="ab">
    <w:name w:val="フッター (文字)"/>
    <w:basedOn w:val="a0"/>
    <w:link w:val="aa"/>
    <w:uiPriority w:val="99"/>
    <w:rsid w:val="00FF0F71"/>
  </w:style>
  <w:style w:type="paragraph" w:styleId="ac">
    <w:name w:val="List Paragraph"/>
    <w:basedOn w:val="a"/>
    <w:uiPriority w:val="34"/>
    <w:qFormat/>
    <w:rsid w:val="00BA4307"/>
    <w:pPr>
      <w:ind w:leftChars="400" w:left="840"/>
    </w:pPr>
  </w:style>
  <w:style w:type="paragraph" w:styleId="ad">
    <w:name w:val="Date"/>
    <w:basedOn w:val="a"/>
    <w:next w:val="a"/>
    <w:link w:val="ae"/>
    <w:uiPriority w:val="99"/>
    <w:semiHidden/>
    <w:unhideWhenUsed/>
    <w:rsid w:val="008D7588"/>
  </w:style>
  <w:style w:type="character" w:customStyle="1" w:styleId="ae">
    <w:name w:val="日付 (文字)"/>
    <w:basedOn w:val="a0"/>
    <w:link w:val="ad"/>
    <w:uiPriority w:val="99"/>
    <w:semiHidden/>
    <w:rsid w:val="008D7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Scsjnas01\sj-every\04&#12288;&#32076;&#28168;%20&#65288;&#32076;&#28168;&#29677;&#65289;\&#9733;&#23554;&#38272;&#35519;&#26619;&#21729;\&#9733;&#32076;&#28168;&#25351;&#27161;&#12487;&#12540;&#1247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Documents\&#23450;&#26399;&#22577;&#21578;&#38306;&#36899;\2014&#24180;10&#26376;&#28858;&#26367;.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ocuments\&#23450;&#26399;&#22577;&#21578;&#38306;&#36899;\2014&#24180;10&#26376;&#37329;&#21033;&#38306;&#204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Documents\&#23450;&#26399;&#22577;&#21578;&#38306;&#36899;\2014&#24180;10&#26376;&#22806;&#36008;&#28310;&#20633;&#3964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23450;&#26399;&#22577;&#21578;&#38306;&#36899;\2014&#24180;10&#26376;&#36664;&#20986;-&#20837;&#389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s\&#23450;&#26399;&#22577;&#21578;&#38306;&#36899;\2014&#24180;10&#26376;&#32047;&#31309;&#36031;&#26131;&#389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s\&#23450;&#26399;&#22577;&#21578;&#38306;&#36899;\2014&#24180;10&#26376;&#32047;&#31309;&#36031;&#26131;&#389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s\&#23450;&#26399;&#22577;&#21578;&#38306;&#36899;\2014&#24180;10&#26376;&#36031;&#26131;&#25512;&#31227;(&#25104;&#38263;&#29575;).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oleObject" Target="file:///D:\Documents\&#23450;&#26399;&#22577;&#21578;&#38306;&#36899;\2014&#24180;10&#26376;IPC&#26376;&#21029;&#19978;&#26119;&#29575;&#12539;&#32047;&#3130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ocuments\&#23450;&#26399;&#22577;&#21578;&#38306;&#36899;\2014&#24180;10&#26376;IPC&#24180;&#29575;&#25563;&#3163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ja-JP" altLang="en-US" sz="1100"/>
              <a:t>表１　経済活動指標　前年同月比成長率月別推移</a:t>
            </a:r>
          </a:p>
        </c:rich>
      </c:tx>
      <c:layout>
        <c:manualLayout>
          <c:xMode val="edge"/>
          <c:yMode val="edge"/>
          <c:x val="0.19561333479148449"/>
          <c:y val="0"/>
        </c:manualLayout>
      </c:layout>
      <c:overlay val="0"/>
    </c:title>
    <c:autoTitleDeleted val="0"/>
    <c:plotArea>
      <c:layout>
        <c:manualLayout>
          <c:layoutTarget val="inner"/>
          <c:xMode val="edge"/>
          <c:yMode val="edge"/>
          <c:x val="7.761182037318097E-2"/>
          <c:y val="9.7464654460224912E-2"/>
          <c:w val="0.7212111143053237"/>
          <c:h val="0.71912884150145162"/>
        </c:manualLayout>
      </c:layout>
      <c:barChart>
        <c:barDir val="col"/>
        <c:grouping val="clustered"/>
        <c:varyColors val="0"/>
        <c:ser>
          <c:idx val="12"/>
          <c:order val="12"/>
          <c:tx>
            <c:strRef>
              <c:f>'2014主要経済指標'!$B$16</c:f>
              <c:strCache>
                <c:ptCount val="1"/>
                <c:pt idx="0">
                  <c:v>全体</c:v>
                </c:pt>
              </c:strCache>
            </c:strRef>
          </c:tx>
          <c:invertIfNegative val="0"/>
          <c:cat>
            <c:numRef>
              <c:f>'2014主要経済指標'!$C$3:$P$3</c:f>
              <c:numCache>
                <c:formatCode>yyyy"年"m"月";@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'2014主要経済指標'!$C$16:$P$16</c:f>
              <c:numCache>
                <c:formatCode>#,##0.00</c:formatCode>
                <c:ptCount val="14"/>
                <c:pt idx="0">
                  <c:v>5</c:v>
                </c:pt>
                <c:pt idx="1">
                  <c:v>4.8</c:v>
                </c:pt>
                <c:pt idx="2">
                  <c:v>4.2</c:v>
                </c:pt>
                <c:pt idx="3">
                  <c:v>3.6</c:v>
                </c:pt>
                <c:pt idx="4">
                  <c:v>3.5</c:v>
                </c:pt>
                <c:pt idx="5">
                  <c:v>3.8</c:v>
                </c:pt>
                <c:pt idx="6">
                  <c:v>4.0999999999999996</c:v>
                </c:pt>
                <c:pt idx="7">
                  <c:v>4.0999999999999996</c:v>
                </c:pt>
                <c:pt idx="8" formatCode="0.00;&quot;▲ &quot;0.00">
                  <c:v>4</c:v>
                </c:pt>
                <c:pt idx="9" formatCode="0.00;&quot;▲ &quot;0.00">
                  <c:v>3.8</c:v>
                </c:pt>
                <c:pt idx="10" formatCode="0.00;&quot;▲ &quot;0.00">
                  <c:v>3.6</c:v>
                </c:pt>
                <c:pt idx="11" formatCode="0.00;&quot;▲ &quot;0.00">
                  <c:v>3.2</c:v>
                </c:pt>
                <c:pt idx="12" formatCode="0.00;&quot;▲ &quot;0.00">
                  <c:v>2.8</c:v>
                </c:pt>
                <c:pt idx="13" formatCode="0.00;&quot;▲ &quot;0.00">
                  <c:v>2.6</c:v>
                </c:pt>
              </c:numCache>
            </c:numRef>
          </c:val>
        </c:ser>
        <c:ser>
          <c:idx val="13"/>
          <c:order val="13"/>
          <c:tx>
            <c:strRef>
              <c:f>'2014主要経済指標'!$B$17</c:f>
              <c:strCache>
                <c:ptCount val="1"/>
                <c:pt idx="0">
                  <c:v>フリーゾーン除く</c:v>
                </c:pt>
              </c:strCache>
            </c:strRef>
          </c:tx>
          <c:invertIfNegative val="0"/>
          <c:cat>
            <c:numRef>
              <c:f>'2014主要経済指標'!$C$3:$P$3</c:f>
              <c:numCache>
                <c:formatCode>yyyy"年"m"月";@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'2014主要経済指標'!$C$17:$P$17</c:f>
              <c:numCache>
                <c:formatCode>General</c:formatCode>
                <c:ptCount val="14"/>
                <c:pt idx="0">
                  <c:v>3.06</c:v>
                </c:pt>
                <c:pt idx="1">
                  <c:v>3.19</c:v>
                </c:pt>
                <c:pt idx="2">
                  <c:v>3.3099999999999987</c:v>
                </c:pt>
                <c:pt idx="3">
                  <c:v>3.48</c:v>
                </c:pt>
                <c:pt idx="4">
                  <c:v>3.7800000000000002</c:v>
                </c:pt>
                <c:pt idx="5">
                  <c:v>3.9899999999999998</c:v>
                </c:pt>
                <c:pt idx="6">
                  <c:v>4.1399999999999997</c:v>
                </c:pt>
                <c:pt idx="7">
                  <c:v>4.25</c:v>
                </c:pt>
                <c:pt idx="8" formatCode="0.00;&quot;▲ &quot;0.00">
                  <c:v>4.2</c:v>
                </c:pt>
                <c:pt idx="9" formatCode="0.00;&quot;▲ &quot;0.00">
                  <c:v>3.9899999999999998</c:v>
                </c:pt>
                <c:pt idx="10" formatCode="0.00;&quot;▲ &quot;0.00">
                  <c:v>3.68</c:v>
                </c:pt>
                <c:pt idx="11" formatCode="0.00;&quot;▲ &quot;0.00">
                  <c:v>3.3699999999999997</c:v>
                </c:pt>
                <c:pt idx="12" formatCode="0.00;&quot;▲ &quot;0.00">
                  <c:v>3.14</c:v>
                </c:pt>
                <c:pt idx="13" formatCode="0.00;&quot;▲ &quot;0.00">
                  <c:v>2.9899999999999998</c:v>
                </c:pt>
              </c:numCache>
            </c:numRef>
          </c:val>
        </c:ser>
        <c:dLbls>
          <c:showLegendKey val="0"/>
          <c:showVal val="0"/>
          <c:showCatName val="0"/>
          <c:showSerName val="0"/>
          <c:showPercent val="0"/>
          <c:showBubbleSize val="0"/>
        </c:dLbls>
        <c:gapWidth val="150"/>
        <c:axId val="85163392"/>
        <c:axId val="85177472"/>
      </c:barChart>
      <c:lineChart>
        <c:grouping val="standard"/>
        <c:varyColors val="0"/>
        <c:ser>
          <c:idx val="0"/>
          <c:order val="0"/>
          <c:tx>
            <c:strRef>
              <c:f>'2014主要経済指標'!$B$4</c:f>
              <c:strCache>
                <c:ptCount val="1"/>
                <c:pt idx="0">
                  <c:v>農業・林業・漁業</c:v>
                </c:pt>
              </c:strCache>
            </c:strRef>
          </c:tx>
          <c:cat>
            <c:numRef>
              <c:f>'2014主要経済指標'!$C$3:$P$3</c:f>
              <c:numCache>
                <c:formatCode>yyyy"年"m"月";@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'2014主要経済指標'!$C$4:$P$4</c:f>
              <c:numCache>
                <c:formatCode>#,##0.00</c:formatCode>
                <c:ptCount val="14"/>
                <c:pt idx="0">
                  <c:v>1.0383669</c:v>
                </c:pt>
                <c:pt idx="1">
                  <c:v>1.5058019599999994</c:v>
                </c:pt>
                <c:pt idx="2">
                  <c:v>2.0670459199999986</c:v>
                </c:pt>
                <c:pt idx="3">
                  <c:v>2.7958241099999999</c:v>
                </c:pt>
                <c:pt idx="4">
                  <c:v>2.7958241099999999</c:v>
                </c:pt>
                <c:pt idx="5">
                  <c:v>3.7260338600000011</c:v>
                </c:pt>
                <c:pt idx="6">
                  <c:v>4.9624728199999977</c:v>
                </c:pt>
                <c:pt idx="7">
                  <c:v>5.7475114099999978</c:v>
                </c:pt>
                <c:pt idx="8" formatCode="0.00;&quot;▲ &quot;0.00">
                  <c:v>6.2193130999999999</c:v>
                </c:pt>
                <c:pt idx="9" formatCode="0.00;&quot;▲ &quot;0.00">
                  <c:v>6.2499241100000003</c:v>
                </c:pt>
                <c:pt idx="10" formatCode="0.00;&quot;▲ &quot;0.00">
                  <c:v>5.8282314699999977</c:v>
                </c:pt>
                <c:pt idx="11" formatCode="0.00;&quot;▲ &quot;0.00">
                  <c:v>4.9736103600000003</c:v>
                </c:pt>
                <c:pt idx="12" formatCode="0.00;&quot;▲ &quot;0.00">
                  <c:v>3.9401160700000002</c:v>
                </c:pt>
                <c:pt idx="13" formatCode="0.00;&quot;▲ &quot;0.00">
                  <c:v>3.2035598700000012</c:v>
                </c:pt>
              </c:numCache>
            </c:numRef>
          </c:val>
          <c:smooth val="0"/>
        </c:ser>
        <c:ser>
          <c:idx val="1"/>
          <c:order val="1"/>
          <c:tx>
            <c:strRef>
              <c:f>'2014主要経済指標'!$B$5</c:f>
              <c:strCache>
                <c:ptCount val="1"/>
                <c:pt idx="0">
                  <c:v>製造業</c:v>
                </c:pt>
              </c:strCache>
            </c:strRef>
          </c:tx>
          <c:cat>
            <c:numRef>
              <c:f>'2014主要経済指標'!$C$3:$P$3</c:f>
              <c:numCache>
                <c:formatCode>yyyy"年"m"月";@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'2014主要経済指標'!$C$5:$P$5</c:f>
              <c:numCache>
                <c:formatCode>#,##0.00</c:formatCode>
                <c:ptCount val="14"/>
                <c:pt idx="0">
                  <c:v>9.9537174800000034</c:v>
                </c:pt>
                <c:pt idx="1">
                  <c:v>8.8496379100000055</c:v>
                </c:pt>
                <c:pt idx="2">
                  <c:v>5.8885002299999956</c:v>
                </c:pt>
                <c:pt idx="3">
                  <c:v>2.9474045800000002</c:v>
                </c:pt>
                <c:pt idx="4">
                  <c:v>2.9474045800000002</c:v>
                </c:pt>
                <c:pt idx="5">
                  <c:v>1.83529242</c:v>
                </c:pt>
                <c:pt idx="6">
                  <c:v>2.8316049099999985</c:v>
                </c:pt>
                <c:pt idx="7">
                  <c:v>3.5297526899999987</c:v>
                </c:pt>
                <c:pt idx="8" formatCode="0.00;&quot;▲ &quot;0.00">
                  <c:v>3.7147748800000002</c:v>
                </c:pt>
                <c:pt idx="9" formatCode="0.00;&quot;▲ &quot;0.00">
                  <c:v>3.4057032899999999</c:v>
                </c:pt>
                <c:pt idx="10" formatCode="0.00;&quot;▲ &quot;0.00">
                  <c:v>3.0743430099999998</c:v>
                </c:pt>
                <c:pt idx="11" formatCode="0.00;&quot;▲ &quot;0.00">
                  <c:v>3.1777514199999999</c:v>
                </c:pt>
                <c:pt idx="12" formatCode="0.00;&quot;▲ &quot;0.00">
                  <c:v>2.5922619699999987</c:v>
                </c:pt>
                <c:pt idx="13" formatCode="0.00;&quot;▲ &quot;0.00">
                  <c:v>1.3564015899999999</c:v>
                </c:pt>
              </c:numCache>
            </c:numRef>
          </c:val>
          <c:smooth val="0"/>
        </c:ser>
        <c:ser>
          <c:idx val="2"/>
          <c:order val="2"/>
          <c:tx>
            <c:strRef>
              <c:f>'2014主要経済指標'!$B$6</c:f>
              <c:strCache>
                <c:ptCount val="1"/>
                <c:pt idx="0">
                  <c:v>鉱山</c:v>
                </c:pt>
              </c:strCache>
            </c:strRef>
          </c:tx>
          <c:cat>
            <c:numRef>
              <c:f>'2014主要経済指標'!$C$3:$P$3</c:f>
              <c:numCache>
                <c:formatCode>yyyy"年"m"月";@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'2014主要経済指標'!$C$6:$P$6</c:f>
              <c:numCache>
                <c:formatCode>#,##0.00</c:formatCode>
                <c:ptCount val="14"/>
                <c:pt idx="0">
                  <c:v>2.2553903800000001</c:v>
                </c:pt>
                <c:pt idx="1">
                  <c:v>2.0867885999999998</c:v>
                </c:pt>
                <c:pt idx="2">
                  <c:v>1.9755998099999998</c:v>
                </c:pt>
                <c:pt idx="3">
                  <c:v>1.9087783</c:v>
                </c:pt>
                <c:pt idx="4">
                  <c:v>1.9087783</c:v>
                </c:pt>
                <c:pt idx="5">
                  <c:v>1.9046862899999999</c:v>
                </c:pt>
                <c:pt idx="6">
                  <c:v>1.6646548200000006</c:v>
                </c:pt>
                <c:pt idx="7">
                  <c:v>1.6081715700000001</c:v>
                </c:pt>
                <c:pt idx="8" formatCode="0.00;&quot;▲ &quot;0.00">
                  <c:v>1.6379874700000001</c:v>
                </c:pt>
                <c:pt idx="9" formatCode="0.00;&quot;▲ &quot;0.00">
                  <c:v>1.7777944699999992</c:v>
                </c:pt>
                <c:pt idx="10" formatCode="0.00;&quot;▲ &quot;0.00">
                  <c:v>1.9536058999999999</c:v>
                </c:pt>
                <c:pt idx="11" formatCode="0.00;&quot;▲ &quot;0.00">
                  <c:v>2.0902097099999999</c:v>
                </c:pt>
                <c:pt idx="12" formatCode="0.00;&quot;▲ &quot;0.00">
                  <c:v>2.17316267</c:v>
                </c:pt>
                <c:pt idx="13" formatCode="0.00;&quot;▲ &quot;0.00">
                  <c:v>2.24609981</c:v>
                </c:pt>
              </c:numCache>
            </c:numRef>
          </c:val>
          <c:smooth val="0"/>
        </c:ser>
        <c:ser>
          <c:idx val="3"/>
          <c:order val="3"/>
          <c:tx>
            <c:strRef>
              <c:f>'2014主要経済指標'!$B$7</c:f>
              <c:strCache>
                <c:ptCount val="1"/>
                <c:pt idx="0">
                  <c:v>電気・水道</c:v>
                </c:pt>
              </c:strCache>
            </c:strRef>
          </c:tx>
          <c:cat>
            <c:numRef>
              <c:f>'2014主要経済指標'!$C$3:$P$3</c:f>
              <c:numCache>
                <c:formatCode>yyyy"年"m"月";@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'2014主要経済指標'!$C$7:$P$7</c:f>
              <c:numCache>
                <c:formatCode>#,##0.00</c:formatCode>
                <c:ptCount val="14"/>
                <c:pt idx="0">
                  <c:v>0.67852190999999995</c:v>
                </c:pt>
                <c:pt idx="1">
                  <c:v>0.54603447999999999</c:v>
                </c:pt>
                <c:pt idx="2">
                  <c:v>0.49180502000000015</c:v>
                </c:pt>
                <c:pt idx="3">
                  <c:v>0.36668233000000017</c:v>
                </c:pt>
                <c:pt idx="4">
                  <c:v>0.36668233000000017</c:v>
                </c:pt>
                <c:pt idx="5">
                  <c:v>0.37902974000000017</c:v>
                </c:pt>
                <c:pt idx="6">
                  <c:v>1.0515462799999993</c:v>
                </c:pt>
                <c:pt idx="7">
                  <c:v>1.8926188800000001</c:v>
                </c:pt>
                <c:pt idx="8" formatCode="0.00;&quot;▲ &quot;0.00">
                  <c:v>2.1087022200000001</c:v>
                </c:pt>
                <c:pt idx="9" formatCode="0.00;&quot;▲ &quot;0.00">
                  <c:v>1.9317248899999993</c:v>
                </c:pt>
                <c:pt idx="10" formatCode="0.00;&quot;▲ &quot;0.00">
                  <c:v>1.4772860899999998</c:v>
                </c:pt>
                <c:pt idx="11" formatCode="0.00;&quot;▲ &quot;0.00">
                  <c:v>0.95217622000000002</c:v>
                </c:pt>
                <c:pt idx="12" formatCode="0.00;&quot;▲ &quot;0.00">
                  <c:v>0.85867766000000034</c:v>
                </c:pt>
                <c:pt idx="13" formatCode="0.00;&quot;▲ &quot;0.00">
                  <c:v>0.86324670999999997</c:v>
                </c:pt>
              </c:numCache>
            </c:numRef>
          </c:val>
          <c:smooth val="0"/>
        </c:ser>
        <c:ser>
          <c:idx val="4"/>
          <c:order val="4"/>
          <c:tx>
            <c:strRef>
              <c:f>'2014主要経済指標'!$B$8</c:f>
              <c:strCache>
                <c:ptCount val="1"/>
                <c:pt idx="0">
                  <c:v>建設</c:v>
                </c:pt>
              </c:strCache>
            </c:strRef>
          </c:tx>
          <c:cat>
            <c:numRef>
              <c:f>'2014主要経済指標'!$C$3:$P$3</c:f>
              <c:numCache>
                <c:formatCode>yyyy"年"m"月";@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'2014主要経済指標'!$C$8:$P$8</c:f>
              <c:numCache>
                <c:formatCode>#,##0.00</c:formatCode>
                <c:ptCount val="14"/>
                <c:pt idx="0">
                  <c:v>1.5187134200000001</c:v>
                </c:pt>
                <c:pt idx="1">
                  <c:v>1.3887172400000001</c:v>
                </c:pt>
                <c:pt idx="2">
                  <c:v>1.4416604899999992</c:v>
                </c:pt>
                <c:pt idx="3">
                  <c:v>1.8235660799999998</c:v>
                </c:pt>
                <c:pt idx="4">
                  <c:v>1.8235660799999998</c:v>
                </c:pt>
                <c:pt idx="5">
                  <c:v>2.5693686199999997</c:v>
                </c:pt>
                <c:pt idx="6">
                  <c:v>2.1070644299999999</c:v>
                </c:pt>
                <c:pt idx="7">
                  <c:v>2.2673138100000014</c:v>
                </c:pt>
                <c:pt idx="8" formatCode="0.00;&quot;▲ &quot;0.00">
                  <c:v>2.1638281699999999</c:v>
                </c:pt>
                <c:pt idx="9" formatCode="0.00;&quot;▲ &quot;0.00">
                  <c:v>2.1951033</c:v>
                </c:pt>
                <c:pt idx="10" formatCode="0.00;&quot;▲ &quot;0.00">
                  <c:v>2.5675600300000001</c:v>
                </c:pt>
                <c:pt idx="11" formatCode="0.00;&quot;▲ &quot;0.00">
                  <c:v>2.7680985800000002</c:v>
                </c:pt>
                <c:pt idx="12" formatCode="0.00;&quot;▲ &quot;0.00">
                  <c:v>2.5937291</c:v>
                </c:pt>
                <c:pt idx="13" formatCode="0.00;&quot;▲ &quot;0.00">
                  <c:v>2.7029165900000001</c:v>
                </c:pt>
              </c:numCache>
            </c:numRef>
          </c:val>
          <c:smooth val="0"/>
        </c:ser>
        <c:ser>
          <c:idx val="5"/>
          <c:order val="5"/>
          <c:tx>
            <c:strRef>
              <c:f>'2014主要経済指標'!$B$9</c:f>
              <c:strCache>
                <c:ptCount val="1"/>
                <c:pt idx="0">
                  <c:v>商業</c:v>
                </c:pt>
              </c:strCache>
            </c:strRef>
          </c:tx>
          <c:cat>
            <c:numRef>
              <c:f>'2014主要経済指標'!$C$3:$P$3</c:f>
              <c:numCache>
                <c:formatCode>yyyy"年"m"月";@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'2014主要経済指標'!$C$9:$P$9</c:f>
              <c:numCache>
                <c:formatCode>#,##0.00</c:formatCode>
                <c:ptCount val="14"/>
                <c:pt idx="0">
                  <c:v>3.4806916000000001</c:v>
                </c:pt>
                <c:pt idx="1">
                  <c:v>3.5257142300000002</c:v>
                </c:pt>
                <c:pt idx="2">
                  <c:v>3.5996793299999985</c:v>
                </c:pt>
                <c:pt idx="3">
                  <c:v>3.6906075500000002</c:v>
                </c:pt>
                <c:pt idx="4">
                  <c:v>3.6906075500000002</c:v>
                </c:pt>
                <c:pt idx="5">
                  <c:v>3.8567672999999987</c:v>
                </c:pt>
                <c:pt idx="6">
                  <c:v>3.9957636299999986</c:v>
                </c:pt>
                <c:pt idx="7">
                  <c:v>4.0742393200000002</c:v>
                </c:pt>
                <c:pt idx="8" formatCode="0.00;&quot;▲ &quot;0.00">
                  <c:v>4.2223078399999956</c:v>
                </c:pt>
                <c:pt idx="9" formatCode="0.00;&quot;▲ &quot;0.00">
                  <c:v>4.3091457899999996</c:v>
                </c:pt>
                <c:pt idx="10" formatCode="0.00;&quot;▲ &quot;0.00">
                  <c:v>4.2459376499999966</c:v>
                </c:pt>
                <c:pt idx="11" formatCode="0.00;&quot;▲ &quot;0.00">
                  <c:v>4.1206791000000003</c:v>
                </c:pt>
                <c:pt idx="12" formatCode="0.00;&quot;▲ &quot;0.00">
                  <c:v>3.9816191399999985</c:v>
                </c:pt>
                <c:pt idx="13" formatCode="0.00;&quot;▲ &quot;0.00">
                  <c:v>3.8566199799999978</c:v>
                </c:pt>
              </c:numCache>
            </c:numRef>
          </c:val>
          <c:smooth val="0"/>
        </c:ser>
        <c:ser>
          <c:idx val="6"/>
          <c:order val="6"/>
          <c:tx>
            <c:strRef>
              <c:f>'2014主要経済指標'!$B$10</c:f>
              <c:strCache>
                <c:ptCount val="1"/>
                <c:pt idx="0">
                  <c:v>ホテル</c:v>
                </c:pt>
              </c:strCache>
            </c:strRef>
          </c:tx>
          <c:cat>
            <c:numRef>
              <c:f>'2014主要経済指標'!$C$3:$P$3</c:f>
              <c:numCache>
                <c:formatCode>yyyy"年"m"月";@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'2014主要経済指標'!$C$10:$P$10</c:f>
              <c:numCache>
                <c:formatCode>#,##0.00</c:formatCode>
                <c:ptCount val="14"/>
                <c:pt idx="0">
                  <c:v>3.8692578999999987</c:v>
                </c:pt>
                <c:pt idx="1">
                  <c:v>4.1181212399999945</c:v>
                </c:pt>
                <c:pt idx="2">
                  <c:v>4.4009994900000029</c:v>
                </c:pt>
                <c:pt idx="3">
                  <c:v>4.6984990800000004</c:v>
                </c:pt>
                <c:pt idx="4">
                  <c:v>4.6984990800000004</c:v>
                </c:pt>
                <c:pt idx="5">
                  <c:v>4.96300206</c:v>
                </c:pt>
                <c:pt idx="6">
                  <c:v>4.6554822099999944</c:v>
                </c:pt>
                <c:pt idx="7">
                  <c:v>4.6580350099999945</c:v>
                </c:pt>
                <c:pt idx="8" formatCode="0.00;&quot;▲ &quot;0.00">
                  <c:v>4.6453568799999942</c:v>
                </c:pt>
                <c:pt idx="9" formatCode="0.00;&quot;▲ &quot;0.00">
                  <c:v>4.5290737700000001</c:v>
                </c:pt>
                <c:pt idx="10" formatCode="0.00;&quot;▲ &quot;0.00">
                  <c:v>4.3608691000000004</c:v>
                </c:pt>
                <c:pt idx="11" formatCode="0.00;&quot;▲ &quot;0.00">
                  <c:v>4.21416331</c:v>
                </c:pt>
                <c:pt idx="12" formatCode="0.00;&quot;▲ &quot;0.00">
                  <c:v>4.0366762899999999</c:v>
                </c:pt>
                <c:pt idx="13" formatCode="0.00;&quot;▲ &quot;0.00">
                  <c:v>4.0675805399999927</c:v>
                </c:pt>
              </c:numCache>
            </c:numRef>
          </c:val>
          <c:smooth val="0"/>
        </c:ser>
        <c:ser>
          <c:idx val="7"/>
          <c:order val="7"/>
          <c:tx>
            <c:strRef>
              <c:f>'2014主要経済指標'!$B$11</c:f>
              <c:strCache>
                <c:ptCount val="1"/>
                <c:pt idx="0">
                  <c:v>運輸・倉庫・通信</c:v>
                </c:pt>
              </c:strCache>
            </c:strRef>
          </c:tx>
          <c:cat>
            <c:numRef>
              <c:f>'2014主要経済指標'!$C$3:$P$3</c:f>
              <c:numCache>
                <c:formatCode>yyyy"年"m"月";@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'2014主要経済指標'!$C$11:$P$11</c:f>
              <c:numCache>
                <c:formatCode>#,##0.00</c:formatCode>
                <c:ptCount val="14"/>
                <c:pt idx="0">
                  <c:v>5.1092742299999969</c:v>
                </c:pt>
                <c:pt idx="1">
                  <c:v>5.9014069500000002</c:v>
                </c:pt>
                <c:pt idx="2">
                  <c:v>6.9611155399999944</c:v>
                </c:pt>
                <c:pt idx="3">
                  <c:v>7.7888171100000001</c:v>
                </c:pt>
                <c:pt idx="4">
                  <c:v>7.7888171100000001</c:v>
                </c:pt>
                <c:pt idx="5">
                  <c:v>8.2220173200000009</c:v>
                </c:pt>
                <c:pt idx="6">
                  <c:v>8.044503820000001</c:v>
                </c:pt>
                <c:pt idx="7">
                  <c:v>7.8982042199999967</c:v>
                </c:pt>
                <c:pt idx="8" formatCode="0.00;&quot;▲ &quot;0.00">
                  <c:v>7.6999835299999946</c:v>
                </c:pt>
                <c:pt idx="9" formatCode="0.00;&quot;▲ &quot;0.00">
                  <c:v>7.4838003200000003</c:v>
                </c:pt>
                <c:pt idx="10" formatCode="0.00;&quot;▲ &quot;0.00">
                  <c:v>7.2365249199999973</c:v>
                </c:pt>
                <c:pt idx="11" formatCode="0.00;&quot;▲ &quot;0.00">
                  <c:v>7.040545899999997</c:v>
                </c:pt>
                <c:pt idx="12" formatCode="0.00;&quot;▲ &quot;0.00">
                  <c:v>6.9704526700000002</c:v>
                </c:pt>
                <c:pt idx="13" formatCode="0.00;&quot;▲ &quot;0.00">
                  <c:v>6.8509999800000001</c:v>
                </c:pt>
              </c:numCache>
            </c:numRef>
          </c:val>
          <c:smooth val="0"/>
        </c:ser>
        <c:ser>
          <c:idx val="8"/>
          <c:order val="8"/>
          <c:tx>
            <c:strRef>
              <c:f>'2014主要経済指標'!$B$12</c:f>
              <c:strCache>
                <c:ptCount val="1"/>
                <c:pt idx="0">
                  <c:v>金融・保険</c:v>
                </c:pt>
              </c:strCache>
            </c:strRef>
          </c:tx>
          <c:cat>
            <c:numRef>
              <c:f>'2014主要経済指標'!$C$3:$P$3</c:f>
              <c:numCache>
                <c:formatCode>yyyy"年"m"月";@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'2014主要経済指標'!$C$12:$P$12</c:f>
              <c:numCache>
                <c:formatCode>#,##0.00</c:formatCode>
                <c:ptCount val="14"/>
                <c:pt idx="0">
                  <c:v>7.9424497699999996</c:v>
                </c:pt>
                <c:pt idx="1">
                  <c:v>8.1668230299999998</c:v>
                </c:pt>
                <c:pt idx="2">
                  <c:v>8.4224160700000059</c:v>
                </c:pt>
                <c:pt idx="3">
                  <c:v>8.6176326100000047</c:v>
                </c:pt>
                <c:pt idx="4">
                  <c:v>8.6176326100000047</c:v>
                </c:pt>
                <c:pt idx="5">
                  <c:v>8.9823495200000067</c:v>
                </c:pt>
                <c:pt idx="6">
                  <c:v>9.7519838300000004</c:v>
                </c:pt>
                <c:pt idx="7">
                  <c:v>9.6967994500000003</c:v>
                </c:pt>
                <c:pt idx="8" formatCode="0.00;&quot;▲ &quot;0.00">
                  <c:v>9.2109837599999995</c:v>
                </c:pt>
                <c:pt idx="9" formatCode="0.00;&quot;▲ &quot;0.00">
                  <c:v>8.9109639299999994</c:v>
                </c:pt>
                <c:pt idx="10" formatCode="0.00;&quot;▲ &quot;0.00">
                  <c:v>8.6730017499999992</c:v>
                </c:pt>
                <c:pt idx="11" formatCode="0.00;&quot;▲ &quot;0.00">
                  <c:v>8.1935586400000009</c:v>
                </c:pt>
                <c:pt idx="12" formatCode="0.00;&quot;▲ &quot;0.00">
                  <c:v>7.678446079999997</c:v>
                </c:pt>
                <c:pt idx="13" formatCode="0.00;&quot;▲ &quot;0.00">
                  <c:v>7.3271113299999939</c:v>
                </c:pt>
              </c:numCache>
            </c:numRef>
          </c:val>
          <c:smooth val="0"/>
        </c:ser>
        <c:ser>
          <c:idx val="9"/>
          <c:order val="9"/>
          <c:tx>
            <c:strRef>
              <c:f>'2014主要経済指標'!$B$13</c:f>
              <c:strCache>
                <c:ptCount val="1"/>
                <c:pt idx="0">
                  <c:v>企業向けサービス</c:v>
                </c:pt>
              </c:strCache>
            </c:strRef>
          </c:tx>
          <c:cat>
            <c:numRef>
              <c:f>'2014主要経済指標'!$C$3:$P$3</c:f>
              <c:numCache>
                <c:formatCode>yyyy"年"m"月";@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'2014主要経済指標'!$C$13:$P$13</c:f>
              <c:numCache>
                <c:formatCode>#,##0.00</c:formatCode>
                <c:ptCount val="14"/>
                <c:pt idx="0">
                  <c:v>5.5325915800000001</c:v>
                </c:pt>
                <c:pt idx="1">
                  <c:v>5.4000781699999996</c:v>
                </c:pt>
                <c:pt idx="2">
                  <c:v>4.9332016699999999</c:v>
                </c:pt>
                <c:pt idx="3">
                  <c:v>5.5380332299999973</c:v>
                </c:pt>
                <c:pt idx="4">
                  <c:v>5.5380332299999973</c:v>
                </c:pt>
                <c:pt idx="5">
                  <c:v>6.33232822</c:v>
                </c:pt>
                <c:pt idx="6">
                  <c:v>6.4164064600000001</c:v>
                </c:pt>
                <c:pt idx="7">
                  <c:v>6.1120635499999967</c:v>
                </c:pt>
                <c:pt idx="8" formatCode="0.00;&quot;▲ &quot;0.00">
                  <c:v>5.0021968399999945</c:v>
                </c:pt>
                <c:pt idx="9" formatCode="0.00;&quot;▲ &quot;0.00">
                  <c:v>4.1221285999999946</c:v>
                </c:pt>
                <c:pt idx="10" formatCode="0.00;&quot;▲ &quot;0.00">
                  <c:v>4.0553249499999966</c:v>
                </c:pt>
                <c:pt idx="11" formatCode="0.00;&quot;▲ &quot;0.00">
                  <c:v>3.5104750799999986</c:v>
                </c:pt>
                <c:pt idx="12" formatCode="0.00;&quot;▲ &quot;0.00">
                  <c:v>3.0088731199999987</c:v>
                </c:pt>
                <c:pt idx="13" formatCode="0.00;&quot;▲ &quot;0.00">
                  <c:v>3.1459264299999998</c:v>
                </c:pt>
              </c:numCache>
            </c:numRef>
          </c:val>
          <c:smooth val="0"/>
        </c:ser>
        <c:ser>
          <c:idx val="10"/>
          <c:order val="10"/>
          <c:tx>
            <c:strRef>
              <c:f>'2014主要経済指標'!$B$14</c:f>
              <c:strCache>
                <c:ptCount val="1"/>
                <c:pt idx="0">
                  <c:v>金融仲介サービス</c:v>
                </c:pt>
              </c:strCache>
            </c:strRef>
          </c:tx>
          <c:cat>
            <c:numRef>
              <c:f>'2014主要経済指標'!$C$3:$P$3</c:f>
              <c:numCache>
                <c:formatCode>yyyy"年"m"月";@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'2014主要経済指標'!$C$14:$P$14</c:f>
              <c:numCache>
                <c:formatCode>#,##0.00</c:formatCode>
                <c:ptCount val="14"/>
                <c:pt idx="0">
                  <c:v>10.013675109999999</c:v>
                </c:pt>
                <c:pt idx="1">
                  <c:v>10.69994009</c:v>
                </c:pt>
                <c:pt idx="2">
                  <c:v>11.65262038</c:v>
                </c:pt>
                <c:pt idx="3">
                  <c:v>11.484914360000001</c:v>
                </c:pt>
                <c:pt idx="4">
                  <c:v>11.484914360000001</c:v>
                </c:pt>
                <c:pt idx="5">
                  <c:v>11.593616170000002</c:v>
                </c:pt>
                <c:pt idx="6">
                  <c:v>13.23256922</c:v>
                </c:pt>
                <c:pt idx="7">
                  <c:v>13.38381094</c:v>
                </c:pt>
                <c:pt idx="8" formatCode="0.00;&quot;▲ &quot;0.00">
                  <c:v>12.614550080000001</c:v>
                </c:pt>
                <c:pt idx="9" formatCode="0.00;&quot;▲ &quot;0.00">
                  <c:v>11.850427770000005</c:v>
                </c:pt>
                <c:pt idx="10" formatCode="0.00;&quot;▲ &quot;0.00">
                  <c:v>11.609447220000005</c:v>
                </c:pt>
                <c:pt idx="11" formatCode="0.00;&quot;▲ &quot;0.00">
                  <c:v>11.355516200000011</c:v>
                </c:pt>
                <c:pt idx="12" formatCode="0.00;&quot;▲ &quot;0.00">
                  <c:v>10.70994698</c:v>
                </c:pt>
                <c:pt idx="13" formatCode="0.00;&quot;▲ &quot;0.00">
                  <c:v>10.19971529</c:v>
                </c:pt>
              </c:numCache>
            </c:numRef>
          </c:val>
          <c:smooth val="0"/>
        </c:ser>
        <c:ser>
          <c:idx val="11"/>
          <c:order val="11"/>
          <c:tx>
            <c:strRef>
              <c:f>'2014主要経済指標'!$B$15</c:f>
              <c:strCache>
                <c:ptCount val="1"/>
                <c:pt idx="0">
                  <c:v>その他</c:v>
                </c:pt>
              </c:strCache>
            </c:strRef>
          </c:tx>
          <c:cat>
            <c:numRef>
              <c:f>'2014主要経済指標'!$C$3:$P$3</c:f>
              <c:numCache>
                <c:formatCode>yyyy"年"m"月";@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'2014主要経済指標'!$C$15:$P$15</c:f>
              <c:numCache>
                <c:formatCode>#,##0.00</c:formatCode>
                <c:ptCount val="14"/>
                <c:pt idx="0">
                  <c:v>3.3225541399999985</c:v>
                </c:pt>
                <c:pt idx="1">
                  <c:v>3.2949371000000012</c:v>
                </c:pt>
                <c:pt idx="2">
                  <c:v>3.2608083299999997</c:v>
                </c:pt>
                <c:pt idx="3">
                  <c:v>3.2272209800000002</c:v>
                </c:pt>
                <c:pt idx="4">
                  <c:v>3.2272209800000002</c:v>
                </c:pt>
                <c:pt idx="5">
                  <c:v>3.3834215900000002</c:v>
                </c:pt>
                <c:pt idx="6">
                  <c:v>3.17462467</c:v>
                </c:pt>
                <c:pt idx="7">
                  <c:v>3.1526716199999987</c:v>
                </c:pt>
                <c:pt idx="8" formatCode="0.00;&quot;▲ &quot;0.00">
                  <c:v>3.1248079400000002</c:v>
                </c:pt>
                <c:pt idx="9" formatCode="0.00;&quot;▲ &quot;0.00">
                  <c:v>3.0990403999999985</c:v>
                </c:pt>
                <c:pt idx="10" formatCode="0.00;&quot;▲ &quot;0.00">
                  <c:v>3.0787557899999998</c:v>
                </c:pt>
                <c:pt idx="11" formatCode="0.00;&quot;▲ &quot;0.00">
                  <c:v>3.0603404199999997</c:v>
                </c:pt>
                <c:pt idx="12" formatCode="0.00;&quot;▲ &quot;0.00">
                  <c:v>3.0433237200000014</c:v>
                </c:pt>
                <c:pt idx="13" formatCode="0.00;&quot;▲ &quot;0.00">
                  <c:v>3.0263189899999987</c:v>
                </c:pt>
              </c:numCache>
            </c:numRef>
          </c:val>
          <c:smooth val="0"/>
        </c:ser>
        <c:dLbls>
          <c:showLegendKey val="0"/>
          <c:showVal val="0"/>
          <c:showCatName val="0"/>
          <c:showSerName val="0"/>
          <c:showPercent val="0"/>
          <c:showBubbleSize val="0"/>
        </c:dLbls>
        <c:marker val="1"/>
        <c:smooth val="0"/>
        <c:axId val="85163392"/>
        <c:axId val="85177472"/>
      </c:lineChart>
      <c:dateAx>
        <c:axId val="85163392"/>
        <c:scaling>
          <c:orientation val="minMax"/>
        </c:scaling>
        <c:delete val="0"/>
        <c:axPos val="b"/>
        <c:numFmt formatCode="yyyy&quot;年&quot;m&quot;月&quot;;@" sourceLinked="1"/>
        <c:majorTickMark val="none"/>
        <c:minorTickMark val="none"/>
        <c:tickLblPos val="low"/>
        <c:txPr>
          <a:bodyPr/>
          <a:lstStyle/>
          <a:p>
            <a:pPr>
              <a:defRPr sz="800"/>
            </a:pPr>
            <a:endParaRPr lang="ja-JP"/>
          </a:p>
        </c:txPr>
        <c:crossAx val="85177472"/>
        <c:crosses val="autoZero"/>
        <c:auto val="1"/>
        <c:lblOffset val="100"/>
        <c:baseTimeUnit val="months"/>
      </c:dateAx>
      <c:valAx>
        <c:axId val="85177472"/>
        <c:scaling>
          <c:orientation val="minMax"/>
        </c:scaling>
        <c:delete val="0"/>
        <c:axPos val="l"/>
        <c:majorGridlines/>
        <c:title>
          <c:tx>
            <c:rich>
              <a:bodyPr rot="0" vert="horz"/>
              <a:lstStyle/>
              <a:p>
                <a:pPr>
                  <a:defRPr sz="800" b="0"/>
                </a:pPr>
                <a:r>
                  <a:rPr lang="en-US" altLang="ja-JP" sz="800" b="0"/>
                  <a:t>(</a:t>
                </a:r>
                <a:r>
                  <a:rPr lang="ja-JP" altLang="en-US" sz="800" b="0"/>
                  <a:t>％</a:t>
                </a:r>
                <a:r>
                  <a:rPr lang="en-US" altLang="ja-JP" sz="800" b="0"/>
                  <a:t>)</a:t>
                </a:r>
                <a:endParaRPr lang="ja-JP" altLang="en-US" sz="800" b="0"/>
              </a:p>
            </c:rich>
          </c:tx>
          <c:layout>
            <c:manualLayout>
              <c:xMode val="edge"/>
              <c:yMode val="edge"/>
              <c:x val="2.6868322797678458E-2"/>
              <c:y val="2.3268390544837484E-2"/>
            </c:manualLayout>
          </c:layout>
          <c:overlay val="0"/>
        </c:title>
        <c:numFmt formatCode="#,##0" sourceLinked="0"/>
        <c:majorTickMark val="none"/>
        <c:minorTickMark val="none"/>
        <c:tickLblPos val="nextTo"/>
        <c:txPr>
          <a:bodyPr/>
          <a:lstStyle/>
          <a:p>
            <a:pPr>
              <a:defRPr sz="900"/>
            </a:pPr>
            <a:endParaRPr lang="ja-JP"/>
          </a:p>
        </c:txPr>
        <c:crossAx val="85163392"/>
        <c:crosses val="autoZero"/>
        <c:crossBetween val="between"/>
      </c:valAx>
    </c:plotArea>
    <c:legend>
      <c:legendPos val="r"/>
      <c:layout>
        <c:manualLayout>
          <c:xMode val="edge"/>
          <c:yMode val="edge"/>
          <c:x val="0.81889545379921191"/>
          <c:y val="7.7402715964852223E-2"/>
          <c:w val="0.17753738949011724"/>
          <c:h val="0.89716820723496482"/>
        </c:manualLayout>
      </c:layout>
      <c:overlay val="0"/>
      <c:txPr>
        <a:bodyPr/>
        <a:lstStyle/>
        <a:p>
          <a:pPr>
            <a:defRPr sz="800"/>
          </a:pPr>
          <a:endParaRPr lang="ja-JP"/>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ja-JP" altLang="en-US" sz="1050" b="0"/>
              <a:t>表</a:t>
            </a:r>
            <a:r>
              <a:rPr lang="en-US" altLang="ja-JP" sz="1050" b="0"/>
              <a:t>10</a:t>
            </a:r>
            <a:r>
              <a:rPr lang="ja-JP" altLang="en-US" sz="1050" b="0"/>
              <a:t>　為替</a:t>
            </a:r>
            <a:r>
              <a:rPr lang="en-US" altLang="ja-JP" sz="1050" b="0"/>
              <a:t>(</a:t>
            </a:r>
            <a:r>
              <a:rPr lang="ja-JP" altLang="en-US" sz="1050" b="0"/>
              <a:t>月末・銀行間買値・</a:t>
            </a:r>
            <a:r>
              <a:rPr lang="en-US" altLang="ja-JP" sz="1050" b="0"/>
              <a:t>1</a:t>
            </a:r>
            <a:r>
              <a:rPr lang="ja-JP" altLang="en-US" sz="1050" b="0"/>
              <a:t>ドル＝コロン</a:t>
            </a:r>
            <a:r>
              <a:rPr lang="en-US" altLang="ja-JP" sz="1200" b="0"/>
              <a:t>)</a:t>
            </a:r>
            <a:endParaRPr lang="ja-JP" altLang="en-US" sz="1200" b="0"/>
          </a:p>
        </c:rich>
      </c:tx>
      <c:layout/>
      <c:overlay val="0"/>
    </c:title>
    <c:autoTitleDeleted val="0"/>
    <c:plotArea>
      <c:layout>
        <c:manualLayout>
          <c:layoutTarget val="inner"/>
          <c:xMode val="edge"/>
          <c:yMode val="edge"/>
          <c:x val="0.16175240594925633"/>
          <c:y val="0.16531277340332459"/>
          <c:w val="0.80769203849519111"/>
          <c:h val="0.58808253135024546"/>
        </c:manualLayout>
      </c:layout>
      <c:lineChart>
        <c:grouping val="standard"/>
        <c:varyColors val="0"/>
        <c:ser>
          <c:idx val="0"/>
          <c:order val="0"/>
          <c:dLbls>
            <c:dLbl>
              <c:idx val="12"/>
              <c:layout>
                <c:manualLayout>
                  <c:x val="-4.1408084858957847E-2"/>
                  <c:y val="-4.6121593291404611E-2"/>
                </c:manualLayout>
              </c:layout>
              <c:numFmt formatCode="#,##0_);\(#,##0\)" sourceLinked="0"/>
              <c:spPr/>
              <c:txPr>
                <a:bodyPr/>
                <a:lstStyle/>
                <a:p>
                  <a:pPr>
                    <a:defRPr/>
                  </a:pPr>
                  <a:endParaRPr lang="ja-JP"/>
                </a:p>
              </c:txPr>
              <c:showLegendKey val="0"/>
              <c:showVal val="1"/>
              <c:showCatName val="0"/>
              <c:showSerName val="0"/>
              <c:showPercent val="0"/>
              <c:showBubbleSize val="0"/>
            </c:dLbl>
            <c:dLbl>
              <c:idx val="13"/>
              <c:layout>
                <c:manualLayout>
                  <c:x val="-1.6563146997929608E-2"/>
                  <c:y val="-4.1928721174004195E-2"/>
                </c:manualLayout>
              </c:layout>
              <c:numFmt formatCode="#,##0_);\(#,##0\)" sourceLinked="0"/>
              <c:spPr/>
              <c:txPr>
                <a:bodyPr/>
                <a:lstStyle/>
                <a:p>
                  <a:pPr>
                    <a:defRPr/>
                  </a:pPr>
                  <a:endParaRPr lang="ja-JP"/>
                </a:p>
              </c:txPr>
              <c:showLegendKey val="0"/>
              <c:showVal val="1"/>
              <c:showCatName val="0"/>
              <c:showSerName val="0"/>
              <c:showPercent val="0"/>
              <c:showBubbleSize val="0"/>
            </c:dLbl>
            <c:showLegendKey val="0"/>
            <c:showVal val="0"/>
            <c:showCatName val="0"/>
            <c:showSerName val="0"/>
            <c:showPercent val="0"/>
            <c:showBubbleSize val="0"/>
          </c:dLbls>
          <c:cat>
            <c:numRef>
              <c:f>Hoja1!$L$27:$L$40</c:f>
              <c:numCache>
                <c:formatCode>yyyy"年"mm"月"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Hoja1!$M$27:$M$40</c:f>
              <c:numCache>
                <c:formatCode>#,##0.00</c:formatCode>
                <c:ptCount val="14"/>
                <c:pt idx="0">
                  <c:v>501.36</c:v>
                </c:pt>
                <c:pt idx="1">
                  <c:v>501.40999999999985</c:v>
                </c:pt>
                <c:pt idx="2">
                  <c:v>500.01</c:v>
                </c:pt>
                <c:pt idx="3">
                  <c:v>501.42999999999984</c:v>
                </c:pt>
                <c:pt idx="4">
                  <c:v>515.99</c:v>
                </c:pt>
                <c:pt idx="5">
                  <c:v>550.34999999999968</c:v>
                </c:pt>
                <c:pt idx="6">
                  <c:v>549.70000000000005</c:v>
                </c:pt>
                <c:pt idx="7">
                  <c:v>554.91</c:v>
                </c:pt>
                <c:pt idx="8">
                  <c:v>556.02</c:v>
                </c:pt>
                <c:pt idx="9">
                  <c:v>543.49</c:v>
                </c:pt>
                <c:pt idx="10">
                  <c:v>540.4</c:v>
                </c:pt>
                <c:pt idx="11">
                  <c:v>542.09</c:v>
                </c:pt>
                <c:pt idx="12">
                  <c:v>541</c:v>
                </c:pt>
                <c:pt idx="13">
                  <c:v>539.26</c:v>
                </c:pt>
              </c:numCache>
            </c:numRef>
          </c:val>
          <c:smooth val="0"/>
        </c:ser>
        <c:dLbls>
          <c:showLegendKey val="0"/>
          <c:showVal val="0"/>
          <c:showCatName val="0"/>
          <c:showSerName val="0"/>
          <c:showPercent val="0"/>
          <c:showBubbleSize val="0"/>
        </c:dLbls>
        <c:marker val="1"/>
        <c:smooth val="0"/>
        <c:axId val="107357696"/>
        <c:axId val="107359232"/>
      </c:lineChart>
      <c:dateAx>
        <c:axId val="107357696"/>
        <c:scaling>
          <c:orientation val="minMax"/>
        </c:scaling>
        <c:delete val="0"/>
        <c:axPos val="b"/>
        <c:numFmt formatCode="yyyy&quot;年&quot;mm&quot;月&quot;" sourceLinked="1"/>
        <c:majorTickMark val="none"/>
        <c:minorTickMark val="none"/>
        <c:tickLblPos val="nextTo"/>
        <c:txPr>
          <a:bodyPr/>
          <a:lstStyle/>
          <a:p>
            <a:pPr>
              <a:defRPr sz="900"/>
            </a:pPr>
            <a:endParaRPr lang="ja-JP"/>
          </a:p>
        </c:txPr>
        <c:crossAx val="107359232"/>
        <c:crosses val="autoZero"/>
        <c:auto val="1"/>
        <c:lblOffset val="100"/>
        <c:baseTimeUnit val="months"/>
      </c:dateAx>
      <c:valAx>
        <c:axId val="107359232"/>
        <c:scaling>
          <c:orientation val="minMax"/>
        </c:scaling>
        <c:delete val="0"/>
        <c:axPos val="l"/>
        <c:majorGridlines/>
        <c:title>
          <c:tx>
            <c:rich>
              <a:bodyPr rot="0" vert="horz"/>
              <a:lstStyle/>
              <a:p>
                <a:pPr>
                  <a:defRPr sz="900" b="0"/>
                </a:pPr>
                <a:r>
                  <a:rPr lang="en-US" altLang="ja-JP" sz="900" b="0"/>
                  <a:t>(</a:t>
                </a:r>
                <a:r>
                  <a:rPr lang="ja-JP" altLang="en-US" sz="900" b="0"/>
                  <a:t>コロン</a:t>
                </a:r>
                <a:r>
                  <a:rPr lang="en-US" altLang="ja-JP" sz="900" b="0"/>
                  <a:t>)</a:t>
                </a:r>
                <a:endParaRPr lang="ja-JP" altLang="en-US" sz="900" b="0"/>
              </a:p>
            </c:rich>
          </c:tx>
          <c:layout>
            <c:manualLayout>
              <c:xMode val="edge"/>
              <c:yMode val="edge"/>
              <c:x val="5.0362400352130139E-2"/>
              <c:y val="6.4525330560095087E-2"/>
            </c:manualLayout>
          </c:layout>
          <c:overlay val="0"/>
        </c:title>
        <c:numFmt formatCode="#,##0_);\(#,##0\)" sourceLinked="0"/>
        <c:majorTickMark val="none"/>
        <c:minorTickMark val="none"/>
        <c:tickLblPos val="nextTo"/>
        <c:crossAx val="10735769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ja-JP" altLang="en-US" sz="1000"/>
              <a:t>表</a:t>
            </a:r>
            <a:r>
              <a:rPr lang="en-US" altLang="ja-JP" sz="1000"/>
              <a:t>11</a:t>
            </a:r>
            <a:r>
              <a:rPr lang="ja-JP" altLang="en-US" sz="1000"/>
              <a:t>　貸付金利の推移</a:t>
            </a:r>
            <a:r>
              <a:rPr lang="en-US" altLang="ja-JP" sz="1000"/>
              <a:t>(</a:t>
            </a:r>
            <a:r>
              <a:rPr lang="ja-JP" altLang="en-US" sz="1000"/>
              <a:t>製造者向け</a:t>
            </a:r>
            <a:r>
              <a:rPr lang="en-US" altLang="ja-JP" sz="1000"/>
              <a:t>)</a:t>
            </a:r>
            <a:endParaRPr lang="ja-JP" altLang="en-US" sz="1000"/>
          </a:p>
        </c:rich>
      </c:tx>
      <c:layout>
        <c:manualLayout>
          <c:xMode val="edge"/>
          <c:yMode val="edge"/>
          <c:x val="0.32794366434238115"/>
          <c:y val="1.4414414414414415E-2"/>
        </c:manualLayout>
      </c:layout>
      <c:overlay val="0"/>
    </c:title>
    <c:autoTitleDeleted val="0"/>
    <c:plotArea>
      <c:layout>
        <c:manualLayout>
          <c:layoutTarget val="inner"/>
          <c:xMode val="edge"/>
          <c:yMode val="edge"/>
          <c:x val="0.11889544092377183"/>
          <c:y val="0.23152846634911378"/>
          <c:w val="0.78016530994655831"/>
          <c:h val="0.55648799455623466"/>
        </c:manualLayout>
      </c:layout>
      <c:lineChart>
        <c:grouping val="standard"/>
        <c:varyColors val="0"/>
        <c:ser>
          <c:idx val="0"/>
          <c:order val="0"/>
          <c:tx>
            <c:strRef>
              <c:f>Hoja1!$B$38</c:f>
              <c:strCache>
                <c:ptCount val="1"/>
                <c:pt idx="0">
                  <c:v>コロン建て　国立銀行</c:v>
                </c:pt>
              </c:strCache>
            </c:strRef>
          </c:tx>
          <c:dLbls>
            <c:dLbl>
              <c:idx val="12"/>
              <c:layout>
                <c:manualLayout>
                  <c:x val="-4.2333019755409221E-2"/>
                  <c:y val="-4.0854224698235839E-2"/>
                </c:manualLayout>
              </c:layout>
              <c:showLegendKey val="0"/>
              <c:showVal val="1"/>
              <c:showCatName val="0"/>
              <c:showSerName val="0"/>
              <c:showPercent val="0"/>
              <c:showBubbleSize val="0"/>
            </c:dLbl>
            <c:dLbl>
              <c:idx val="13"/>
              <c:layout/>
              <c:showLegendKey val="0"/>
              <c:showVal val="1"/>
              <c:showCatName val="0"/>
              <c:showSerName val="0"/>
              <c:showPercent val="0"/>
              <c:showBubbleSize val="0"/>
            </c:dLbl>
            <c:txPr>
              <a:bodyPr/>
              <a:lstStyle/>
              <a:p>
                <a:pPr>
                  <a:defRPr sz="800"/>
                </a:pPr>
                <a:endParaRPr lang="ja-JP"/>
              </a:p>
            </c:txPr>
            <c:showLegendKey val="0"/>
            <c:showVal val="0"/>
            <c:showCatName val="0"/>
            <c:showSerName val="0"/>
            <c:showPercent val="0"/>
            <c:showBubbleSize val="0"/>
          </c:dLbls>
          <c:cat>
            <c:numRef>
              <c:f>Hoja1!$A$40:$A$54</c:f>
              <c:numCache>
                <c:formatCode>yyyy"年"mm"月"</c:formatCode>
                <c:ptCount val="15"/>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numCache>
            </c:numRef>
          </c:cat>
          <c:val>
            <c:numRef>
              <c:f>Hoja1!$B$40:$B$54</c:f>
              <c:numCache>
                <c:formatCode>General</c:formatCode>
                <c:ptCount val="15"/>
                <c:pt idx="0">
                  <c:v>0</c:v>
                </c:pt>
                <c:pt idx="1">
                  <c:v>13.24</c:v>
                </c:pt>
                <c:pt idx="2">
                  <c:v>13.68</c:v>
                </c:pt>
                <c:pt idx="3">
                  <c:v>13.82</c:v>
                </c:pt>
                <c:pt idx="4">
                  <c:v>14.39</c:v>
                </c:pt>
                <c:pt idx="5" formatCode="#,##0.00">
                  <c:v>14.846205169999999</c:v>
                </c:pt>
                <c:pt idx="6" formatCode="#,##0.00">
                  <c:v>14.81090873</c:v>
                </c:pt>
                <c:pt idx="7" formatCode="#,##0.00">
                  <c:v>15.03697618</c:v>
                </c:pt>
                <c:pt idx="8" formatCode="#,##0.00">
                  <c:v>15.57</c:v>
                </c:pt>
                <c:pt idx="9" formatCode="#,##0.00">
                  <c:v>15.68</c:v>
                </c:pt>
                <c:pt idx="10" formatCode="#,##0.00">
                  <c:v>15.76</c:v>
                </c:pt>
                <c:pt idx="11" formatCode="#,##0.00">
                  <c:v>16.130000000000006</c:v>
                </c:pt>
                <c:pt idx="12" formatCode="#,##0.00">
                  <c:v>15.83</c:v>
                </c:pt>
                <c:pt idx="13" formatCode="#,##0.00">
                  <c:v>16.110000000000007</c:v>
                </c:pt>
                <c:pt idx="14">
                  <c:v>16.279999999999994</c:v>
                </c:pt>
              </c:numCache>
            </c:numRef>
          </c:val>
          <c:smooth val="0"/>
        </c:ser>
        <c:ser>
          <c:idx val="1"/>
          <c:order val="1"/>
          <c:tx>
            <c:strRef>
              <c:f>Hoja1!$C$38</c:f>
              <c:strCache>
                <c:ptCount val="1"/>
                <c:pt idx="0">
                  <c:v>ドル建て　国立銀行</c:v>
                </c:pt>
              </c:strCache>
            </c:strRef>
          </c:tx>
          <c:dLbls>
            <c:dLbl>
              <c:idx val="12"/>
              <c:layout>
                <c:manualLayout>
                  <c:x val="-4.4684854186265284E-2"/>
                  <c:y val="-4.0854224698235839E-2"/>
                </c:manualLayout>
              </c:layout>
              <c:showLegendKey val="0"/>
              <c:showVal val="1"/>
              <c:showCatName val="0"/>
              <c:showSerName val="0"/>
              <c:showPercent val="0"/>
              <c:showBubbleSize val="0"/>
            </c:dLbl>
            <c:dLbl>
              <c:idx val="13"/>
              <c:layout/>
              <c:showLegendKey val="0"/>
              <c:showVal val="1"/>
              <c:showCatName val="0"/>
              <c:showSerName val="0"/>
              <c:showPercent val="0"/>
              <c:showBubbleSize val="0"/>
            </c:dLbl>
            <c:txPr>
              <a:bodyPr/>
              <a:lstStyle/>
              <a:p>
                <a:pPr>
                  <a:defRPr sz="800"/>
                </a:pPr>
                <a:endParaRPr lang="ja-JP"/>
              </a:p>
            </c:txPr>
            <c:showLegendKey val="0"/>
            <c:showVal val="0"/>
            <c:showCatName val="0"/>
            <c:showSerName val="0"/>
            <c:showPercent val="0"/>
            <c:showBubbleSize val="0"/>
          </c:dLbls>
          <c:cat>
            <c:numRef>
              <c:f>Hoja1!$A$40:$A$54</c:f>
              <c:numCache>
                <c:formatCode>yyyy"年"mm"月"</c:formatCode>
                <c:ptCount val="15"/>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numCache>
            </c:numRef>
          </c:cat>
          <c:val>
            <c:numRef>
              <c:f>Hoja1!$C$40:$C$54</c:f>
              <c:numCache>
                <c:formatCode>General</c:formatCode>
                <c:ptCount val="15"/>
                <c:pt idx="0">
                  <c:v>0</c:v>
                </c:pt>
                <c:pt idx="1">
                  <c:v>9.4</c:v>
                </c:pt>
                <c:pt idx="2">
                  <c:v>10.07</c:v>
                </c:pt>
                <c:pt idx="3">
                  <c:v>10.200000000000001</c:v>
                </c:pt>
                <c:pt idx="4">
                  <c:v>10.360000000000003</c:v>
                </c:pt>
                <c:pt idx="5">
                  <c:v>10.53</c:v>
                </c:pt>
                <c:pt idx="6">
                  <c:v>10.89</c:v>
                </c:pt>
                <c:pt idx="7">
                  <c:v>11.03</c:v>
                </c:pt>
                <c:pt idx="8">
                  <c:v>10.98</c:v>
                </c:pt>
                <c:pt idx="9">
                  <c:v>10.84</c:v>
                </c:pt>
                <c:pt idx="10">
                  <c:v>11.12</c:v>
                </c:pt>
                <c:pt idx="11">
                  <c:v>11.26</c:v>
                </c:pt>
                <c:pt idx="12">
                  <c:v>10.18</c:v>
                </c:pt>
                <c:pt idx="13">
                  <c:v>9.98</c:v>
                </c:pt>
                <c:pt idx="14">
                  <c:v>9.9600000000000026</c:v>
                </c:pt>
              </c:numCache>
            </c:numRef>
          </c:val>
          <c:smooth val="0"/>
        </c:ser>
        <c:ser>
          <c:idx val="2"/>
          <c:order val="2"/>
          <c:tx>
            <c:strRef>
              <c:f>Hoja1!$D$38</c:f>
              <c:strCache>
                <c:ptCount val="1"/>
                <c:pt idx="0">
                  <c:v>コロン建て　民間銀行</c:v>
                </c:pt>
              </c:strCache>
            </c:strRef>
          </c:tx>
          <c:dLbls>
            <c:dLbl>
              <c:idx val="12"/>
              <c:layout>
                <c:manualLayout>
                  <c:x val="-1.6462841015992474E-2"/>
                  <c:y val="2.9712163416898793E-2"/>
                </c:manualLayout>
              </c:layout>
              <c:showLegendKey val="0"/>
              <c:showVal val="1"/>
              <c:showCatName val="0"/>
              <c:showSerName val="0"/>
              <c:showPercent val="0"/>
              <c:showBubbleSize val="0"/>
            </c:dLbl>
            <c:dLbl>
              <c:idx val="13"/>
              <c:layout/>
              <c:tx>
                <c:rich>
                  <a:bodyPr/>
                  <a:lstStyle/>
                  <a:p>
                    <a:r>
                      <a:rPr lang="en-US" altLang="en-US" sz="800" i="1"/>
                      <a:t>1</a:t>
                    </a:r>
                    <a:r>
                      <a:rPr lang="en-US" altLang="en-US" i="1"/>
                      <a:t>4.64</a:t>
                    </a:r>
                  </a:p>
                </c:rich>
              </c:tx>
              <c:showLegendKey val="0"/>
              <c:showVal val="1"/>
              <c:showCatName val="0"/>
              <c:showSerName val="0"/>
              <c:showPercent val="0"/>
              <c:showBubbleSize val="0"/>
            </c:dLbl>
            <c:txPr>
              <a:bodyPr/>
              <a:lstStyle/>
              <a:p>
                <a:pPr>
                  <a:defRPr sz="800"/>
                </a:pPr>
                <a:endParaRPr lang="ja-JP"/>
              </a:p>
            </c:txPr>
            <c:showLegendKey val="0"/>
            <c:showVal val="0"/>
            <c:showCatName val="0"/>
            <c:showSerName val="0"/>
            <c:showPercent val="0"/>
            <c:showBubbleSize val="0"/>
          </c:dLbls>
          <c:cat>
            <c:numRef>
              <c:f>Hoja1!$A$40:$A$54</c:f>
              <c:numCache>
                <c:formatCode>yyyy"年"mm"月"</c:formatCode>
                <c:ptCount val="15"/>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numCache>
            </c:numRef>
          </c:cat>
          <c:val>
            <c:numRef>
              <c:f>Hoja1!$D$40:$D$54</c:f>
              <c:numCache>
                <c:formatCode>#,##0.00</c:formatCode>
                <c:ptCount val="15"/>
                <c:pt idx="0" formatCode="General">
                  <c:v>0</c:v>
                </c:pt>
                <c:pt idx="1">
                  <c:v>15.959327530000003</c:v>
                </c:pt>
                <c:pt idx="2">
                  <c:v>16.525362399999988</c:v>
                </c:pt>
                <c:pt idx="3">
                  <c:v>16.553779029999994</c:v>
                </c:pt>
                <c:pt idx="4">
                  <c:v>16.631700899999991</c:v>
                </c:pt>
                <c:pt idx="5">
                  <c:v>17.479379479999988</c:v>
                </c:pt>
                <c:pt idx="6">
                  <c:v>17.40694736</c:v>
                </c:pt>
                <c:pt idx="7">
                  <c:v>18.481215339999988</c:v>
                </c:pt>
                <c:pt idx="8">
                  <c:v>16.8</c:v>
                </c:pt>
                <c:pt idx="9">
                  <c:v>15.6</c:v>
                </c:pt>
                <c:pt idx="10">
                  <c:v>15.47</c:v>
                </c:pt>
                <c:pt idx="11" formatCode="General">
                  <c:v>14.49</c:v>
                </c:pt>
                <c:pt idx="12" formatCode="General">
                  <c:v>13.370000000000003</c:v>
                </c:pt>
                <c:pt idx="13" formatCode="General">
                  <c:v>14.55</c:v>
                </c:pt>
                <c:pt idx="14" formatCode="General">
                  <c:v>14.64</c:v>
                </c:pt>
              </c:numCache>
            </c:numRef>
          </c:val>
          <c:smooth val="0"/>
        </c:ser>
        <c:ser>
          <c:idx val="3"/>
          <c:order val="3"/>
          <c:tx>
            <c:strRef>
              <c:f>Hoja1!$E$38</c:f>
              <c:strCache>
                <c:ptCount val="1"/>
                <c:pt idx="0">
                  <c:v>ドル建て　民間銀行</c:v>
                </c:pt>
              </c:strCache>
            </c:strRef>
          </c:tx>
          <c:dLbls>
            <c:dLbl>
              <c:idx val="12"/>
              <c:layout>
                <c:manualLayout>
                  <c:x val="-3.2925682031984947E-2"/>
                  <c:y val="0"/>
                </c:manualLayout>
              </c:layout>
              <c:showLegendKey val="0"/>
              <c:showVal val="1"/>
              <c:showCatName val="0"/>
              <c:showSerName val="0"/>
              <c:showPercent val="0"/>
              <c:showBubbleSize val="0"/>
            </c:dLbl>
            <c:dLbl>
              <c:idx val="13"/>
              <c:layout/>
              <c:showLegendKey val="0"/>
              <c:showVal val="1"/>
              <c:showCatName val="0"/>
              <c:showSerName val="0"/>
              <c:showPercent val="0"/>
              <c:showBubbleSize val="0"/>
            </c:dLbl>
            <c:txPr>
              <a:bodyPr/>
              <a:lstStyle/>
              <a:p>
                <a:pPr>
                  <a:defRPr sz="800" i="1"/>
                </a:pPr>
                <a:endParaRPr lang="ja-JP"/>
              </a:p>
            </c:txPr>
            <c:showLegendKey val="0"/>
            <c:showVal val="0"/>
            <c:showCatName val="0"/>
            <c:showSerName val="0"/>
            <c:showPercent val="0"/>
            <c:showBubbleSize val="0"/>
          </c:dLbls>
          <c:cat>
            <c:numRef>
              <c:f>Hoja1!$A$40:$A$54</c:f>
              <c:numCache>
                <c:formatCode>yyyy"年"mm"月"</c:formatCode>
                <c:ptCount val="15"/>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numCache>
            </c:numRef>
          </c:cat>
          <c:val>
            <c:numRef>
              <c:f>Hoja1!$E$40:$E$54</c:f>
              <c:numCache>
                <c:formatCode>#,##0.00</c:formatCode>
                <c:ptCount val="15"/>
                <c:pt idx="1">
                  <c:v>8.8784769600000004</c:v>
                </c:pt>
                <c:pt idx="2">
                  <c:v>9.2223639799999972</c:v>
                </c:pt>
                <c:pt idx="3">
                  <c:v>9.3767110200000001</c:v>
                </c:pt>
                <c:pt idx="4">
                  <c:v>9.478106480000001</c:v>
                </c:pt>
                <c:pt idx="5">
                  <c:v>10.030506070000003</c:v>
                </c:pt>
                <c:pt idx="6">
                  <c:v>10.060305870000002</c:v>
                </c:pt>
                <c:pt idx="7">
                  <c:v>10.117023779999997</c:v>
                </c:pt>
                <c:pt idx="8">
                  <c:v>10</c:v>
                </c:pt>
                <c:pt idx="9">
                  <c:v>9.83</c:v>
                </c:pt>
                <c:pt idx="10">
                  <c:v>9.64</c:v>
                </c:pt>
                <c:pt idx="11">
                  <c:v>9.2000000000000011</c:v>
                </c:pt>
                <c:pt idx="12">
                  <c:v>8.66</c:v>
                </c:pt>
                <c:pt idx="13">
                  <c:v>8.7100000000000009</c:v>
                </c:pt>
                <c:pt idx="14">
                  <c:v>8.7900000000000009</c:v>
                </c:pt>
              </c:numCache>
            </c:numRef>
          </c:val>
          <c:smooth val="0"/>
        </c:ser>
        <c:ser>
          <c:idx val="4"/>
          <c:order val="4"/>
          <c:tx>
            <c:strRef>
              <c:f>Hoja1!$F$38</c:f>
              <c:strCache>
                <c:ptCount val="1"/>
                <c:pt idx="0">
                  <c:v>基本預金金利(TBP)</c:v>
                </c:pt>
              </c:strCache>
            </c:strRef>
          </c:tx>
          <c:dLbls>
            <c:dLbl>
              <c:idx val="12"/>
              <c:layout>
                <c:manualLayout>
                  <c:x val="-3.2925682031984947E-2"/>
                  <c:y val="4.828226555246054E-2"/>
                </c:manualLayout>
              </c:layout>
              <c:showLegendKey val="0"/>
              <c:showVal val="1"/>
              <c:showCatName val="0"/>
              <c:showSerName val="0"/>
              <c:showPercent val="0"/>
              <c:showBubbleSize val="0"/>
            </c:dLbl>
            <c:dLbl>
              <c:idx val="13"/>
              <c:layout>
                <c:manualLayout>
                  <c:x val="-1.4111006585136407E-2"/>
                  <c:y val="3.3426183844011144E-2"/>
                </c:manualLayout>
              </c:layout>
              <c:showLegendKey val="0"/>
              <c:showVal val="1"/>
              <c:showCatName val="0"/>
              <c:showSerName val="0"/>
              <c:showPercent val="0"/>
              <c:showBubbleSize val="0"/>
            </c:dLbl>
            <c:txPr>
              <a:bodyPr/>
              <a:lstStyle/>
              <a:p>
                <a:pPr>
                  <a:defRPr sz="900" b="1"/>
                </a:pPr>
                <a:endParaRPr lang="ja-JP"/>
              </a:p>
            </c:txPr>
            <c:showLegendKey val="0"/>
            <c:showVal val="0"/>
            <c:showCatName val="0"/>
            <c:showSerName val="0"/>
            <c:showPercent val="0"/>
            <c:showBubbleSize val="0"/>
          </c:dLbls>
          <c:cat>
            <c:numRef>
              <c:f>Hoja1!$A$40:$A$54</c:f>
              <c:numCache>
                <c:formatCode>yyyy"年"mm"月"</c:formatCode>
                <c:ptCount val="15"/>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numCache>
            </c:numRef>
          </c:cat>
          <c:val>
            <c:numRef>
              <c:f>Hoja1!$F$40:$F$54</c:f>
              <c:numCache>
                <c:formatCode>#,##0.00</c:formatCode>
                <c:ptCount val="15"/>
                <c:pt idx="0" formatCode="General">
                  <c:v>0</c:v>
                </c:pt>
                <c:pt idx="1">
                  <c:v>6.55</c:v>
                </c:pt>
                <c:pt idx="2">
                  <c:v>6.55</c:v>
                </c:pt>
                <c:pt idx="3">
                  <c:v>6.55</c:v>
                </c:pt>
                <c:pt idx="4">
                  <c:v>6.5</c:v>
                </c:pt>
                <c:pt idx="5">
                  <c:v>6.55</c:v>
                </c:pt>
                <c:pt idx="6">
                  <c:v>6.5</c:v>
                </c:pt>
                <c:pt idx="7">
                  <c:v>6.6</c:v>
                </c:pt>
                <c:pt idx="8">
                  <c:v>6.7</c:v>
                </c:pt>
                <c:pt idx="9">
                  <c:v>6.85</c:v>
                </c:pt>
                <c:pt idx="10">
                  <c:v>6.95</c:v>
                </c:pt>
                <c:pt idx="11">
                  <c:v>7</c:v>
                </c:pt>
                <c:pt idx="12">
                  <c:v>7.1</c:v>
                </c:pt>
                <c:pt idx="13">
                  <c:v>7.1499999999999995</c:v>
                </c:pt>
                <c:pt idx="14">
                  <c:v>7.2</c:v>
                </c:pt>
              </c:numCache>
            </c:numRef>
          </c:val>
          <c:smooth val="0"/>
        </c:ser>
        <c:dLbls>
          <c:showLegendKey val="0"/>
          <c:showVal val="0"/>
          <c:showCatName val="0"/>
          <c:showSerName val="0"/>
          <c:showPercent val="0"/>
          <c:showBubbleSize val="0"/>
        </c:dLbls>
        <c:marker val="1"/>
        <c:smooth val="0"/>
        <c:axId val="107627264"/>
        <c:axId val="107628800"/>
      </c:lineChart>
      <c:dateAx>
        <c:axId val="107627264"/>
        <c:scaling>
          <c:orientation val="minMax"/>
        </c:scaling>
        <c:delete val="0"/>
        <c:axPos val="b"/>
        <c:numFmt formatCode="yyyy&quot;年&quot;m&quot;月&quot;;@" sourceLinked="0"/>
        <c:majorTickMark val="none"/>
        <c:minorTickMark val="none"/>
        <c:tickLblPos val="nextTo"/>
        <c:txPr>
          <a:bodyPr/>
          <a:lstStyle/>
          <a:p>
            <a:pPr>
              <a:defRPr sz="800"/>
            </a:pPr>
            <a:endParaRPr lang="ja-JP"/>
          </a:p>
        </c:txPr>
        <c:crossAx val="107628800"/>
        <c:crosses val="autoZero"/>
        <c:auto val="1"/>
        <c:lblOffset val="100"/>
        <c:baseTimeUnit val="months"/>
      </c:dateAx>
      <c:valAx>
        <c:axId val="107628800"/>
        <c:scaling>
          <c:orientation val="minMax"/>
        </c:scaling>
        <c:delete val="0"/>
        <c:axPos val="l"/>
        <c:majorGridlines/>
        <c:title>
          <c:tx>
            <c:rich>
              <a:bodyPr rot="0" vert="horz"/>
              <a:lstStyle/>
              <a:p>
                <a:pPr>
                  <a:defRPr b="0"/>
                </a:pPr>
                <a:r>
                  <a:rPr lang="en-US" altLang="ja-JP" b="0"/>
                  <a:t>(%)</a:t>
                </a:r>
                <a:endParaRPr lang="ja-JP" altLang="en-US" b="0"/>
              </a:p>
            </c:rich>
          </c:tx>
          <c:layout>
            <c:manualLayout>
              <c:xMode val="edge"/>
              <c:yMode val="edge"/>
              <c:x val="5.8305685101087294E-2"/>
              <c:y val="0.15432526489744394"/>
            </c:manualLayout>
          </c:layout>
          <c:overlay val="0"/>
        </c:title>
        <c:numFmt formatCode="#,##0_ " sourceLinked="0"/>
        <c:majorTickMark val="none"/>
        <c:minorTickMark val="none"/>
        <c:tickLblPos val="nextTo"/>
        <c:crossAx val="107627264"/>
        <c:crossesAt val="41518"/>
        <c:crossBetween val="between"/>
      </c:valAx>
    </c:plotArea>
    <c:legend>
      <c:legendPos val="r"/>
      <c:legendEntry>
        <c:idx val="2"/>
        <c:txPr>
          <a:bodyPr/>
          <a:lstStyle/>
          <a:p>
            <a:pPr>
              <a:defRPr sz="800" i="1"/>
            </a:pPr>
            <a:endParaRPr lang="ja-JP"/>
          </a:p>
        </c:txPr>
      </c:legendEntry>
      <c:legendEntry>
        <c:idx val="3"/>
        <c:txPr>
          <a:bodyPr/>
          <a:lstStyle/>
          <a:p>
            <a:pPr>
              <a:defRPr sz="800" i="1"/>
            </a:pPr>
            <a:endParaRPr lang="ja-JP"/>
          </a:p>
        </c:txPr>
      </c:legendEntry>
      <c:legendEntry>
        <c:idx val="4"/>
        <c:txPr>
          <a:bodyPr/>
          <a:lstStyle/>
          <a:p>
            <a:pPr>
              <a:defRPr sz="800" b="1" i="0"/>
            </a:pPr>
            <a:endParaRPr lang="ja-JP"/>
          </a:p>
        </c:txPr>
      </c:legendEntry>
      <c:layout>
        <c:manualLayout>
          <c:xMode val="edge"/>
          <c:yMode val="edge"/>
          <c:x val="0.16191018815065394"/>
          <c:y val="9.2354233498590468E-2"/>
          <c:w val="0.74640697484493657"/>
          <c:h val="0.11978147176047459"/>
        </c:manualLayout>
      </c:layout>
      <c:overlay val="0"/>
      <c:txPr>
        <a:bodyPr/>
        <a:lstStyle/>
        <a:p>
          <a:pPr>
            <a:defRPr sz="800"/>
          </a:pPr>
          <a:endParaRPr lang="ja-JP"/>
        </a:p>
      </c:txPr>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ja-JP" altLang="en-US" sz="1000" b="1"/>
              <a:t>表</a:t>
            </a:r>
            <a:r>
              <a:rPr lang="en-US" altLang="ja-JP" sz="1000" b="1"/>
              <a:t>12</a:t>
            </a:r>
            <a:r>
              <a:rPr lang="ja-JP" altLang="en-US" sz="1000" b="1"/>
              <a:t>　外貨準備高</a:t>
            </a:r>
            <a:r>
              <a:rPr lang="en-US" altLang="ja-JP" sz="1000" b="1"/>
              <a:t>(</a:t>
            </a:r>
            <a:r>
              <a:rPr lang="ja-JP" altLang="en-US" sz="1000" b="1"/>
              <a:t>月末値</a:t>
            </a:r>
            <a:r>
              <a:rPr lang="en-US" altLang="ja-JP" sz="1000" b="1"/>
              <a:t>)</a:t>
            </a:r>
            <a:endParaRPr lang="ja-JP" altLang="en-US" sz="1000" b="1"/>
          </a:p>
        </c:rich>
      </c:tx>
      <c:layout/>
      <c:overlay val="0"/>
    </c:title>
    <c:autoTitleDeleted val="0"/>
    <c:plotArea>
      <c:layout>
        <c:manualLayout>
          <c:layoutTarget val="inner"/>
          <c:xMode val="edge"/>
          <c:yMode val="edge"/>
          <c:x val="0.1339425094368645"/>
          <c:y val="0.15976536489985779"/>
          <c:w val="0.70346552247595251"/>
          <c:h val="0.67790766087125021"/>
        </c:manualLayout>
      </c:layout>
      <c:barChart>
        <c:barDir val="col"/>
        <c:grouping val="clustered"/>
        <c:varyColors val="0"/>
        <c:ser>
          <c:idx val="0"/>
          <c:order val="0"/>
          <c:tx>
            <c:strRef>
              <c:f>Hoja1!$K$5</c:f>
              <c:strCache>
                <c:ptCount val="1"/>
                <c:pt idx="0">
                  <c:v>2013年</c:v>
                </c:pt>
              </c:strCache>
            </c:strRef>
          </c:tx>
          <c:invertIfNegative val="0"/>
          <c:dLbls>
            <c:dLbl>
              <c:idx val="8"/>
              <c:layout>
                <c:manualLayout>
                  <c:x val="3.0441400304414001E-3"/>
                  <c:y val="1.3422818791946308E-2"/>
                </c:manualLayout>
              </c:layout>
              <c:showLegendKey val="0"/>
              <c:showVal val="1"/>
              <c:showCatName val="0"/>
              <c:showSerName val="0"/>
              <c:showPercent val="0"/>
              <c:showBubbleSize val="0"/>
            </c:dLbl>
            <c:dLbl>
              <c:idx val="9"/>
              <c:layout>
                <c:manualLayout>
                  <c:x val="1.5220700152207001E-2"/>
                  <c:y val="1.342281879194635E-2"/>
                </c:manualLayout>
              </c:layout>
              <c:showLegendKey val="0"/>
              <c:showVal val="1"/>
              <c:showCatName val="0"/>
              <c:showSerName val="0"/>
              <c:showPercent val="0"/>
              <c:showBubbleSize val="0"/>
            </c:dLbl>
            <c:txPr>
              <a:bodyPr/>
              <a:lstStyle/>
              <a:p>
                <a:pPr>
                  <a:defRPr sz="900" b="0" i="1"/>
                </a:pPr>
                <a:endParaRPr lang="ja-JP"/>
              </a:p>
            </c:txPr>
            <c:showLegendKey val="0"/>
            <c:showVal val="0"/>
            <c:showCatName val="0"/>
            <c:showSerName val="0"/>
            <c:showPercent val="0"/>
            <c:showBubbleSize val="0"/>
          </c:dLbls>
          <c:cat>
            <c:strRef>
              <c:f>Hoja1!$J$6:$J$17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Hoja1!$K$6:$K$17</c:f>
              <c:numCache>
                <c:formatCode>#,##0.0</c:formatCode>
                <c:ptCount val="12"/>
                <c:pt idx="0">
                  <c:v>6748.7871541199993</c:v>
                </c:pt>
                <c:pt idx="1">
                  <c:v>6816.2660269300004</c:v>
                </c:pt>
                <c:pt idx="2">
                  <c:v>6936.8452548100004</c:v>
                </c:pt>
                <c:pt idx="3">
                  <c:v>7960.4042082399992</c:v>
                </c:pt>
                <c:pt idx="4">
                  <c:v>7885.1966123700004</c:v>
                </c:pt>
                <c:pt idx="5">
                  <c:v>7877.8188838399992</c:v>
                </c:pt>
                <c:pt idx="6">
                  <c:v>7723.7136800399994</c:v>
                </c:pt>
                <c:pt idx="7">
                  <c:v>7719.4431214500028</c:v>
                </c:pt>
                <c:pt idx="8">
                  <c:v>7617.3580926499999</c:v>
                </c:pt>
                <c:pt idx="9">
                  <c:v>7441.1258433500025</c:v>
                </c:pt>
                <c:pt idx="10">
                  <c:v>7398.0345456199993</c:v>
                </c:pt>
                <c:pt idx="11">
                  <c:v>7330.8633171599995</c:v>
                </c:pt>
              </c:numCache>
            </c:numRef>
          </c:val>
        </c:ser>
        <c:ser>
          <c:idx val="1"/>
          <c:order val="1"/>
          <c:tx>
            <c:strRef>
              <c:f>Hoja1!$L$5</c:f>
              <c:strCache>
                <c:ptCount val="1"/>
                <c:pt idx="0">
                  <c:v>2014年</c:v>
                </c:pt>
              </c:strCache>
            </c:strRef>
          </c:tx>
          <c:invertIfNegative val="0"/>
          <c:dLbls>
            <c:dLbl>
              <c:idx val="8"/>
              <c:layout/>
              <c:showLegendKey val="0"/>
              <c:showVal val="1"/>
              <c:showCatName val="0"/>
              <c:showSerName val="0"/>
              <c:showPercent val="0"/>
              <c:showBubbleSize val="0"/>
            </c:dLbl>
            <c:dLbl>
              <c:idx val="9"/>
              <c:layout/>
              <c:showLegendKey val="0"/>
              <c:showVal val="1"/>
              <c:showCatName val="0"/>
              <c:showSerName val="0"/>
              <c:showPercent val="0"/>
              <c:showBubbleSize val="0"/>
            </c:dLbl>
            <c:txPr>
              <a:bodyPr/>
              <a:lstStyle/>
              <a:p>
                <a:pPr>
                  <a:defRPr sz="900" b="1"/>
                </a:pPr>
                <a:endParaRPr lang="ja-JP"/>
              </a:p>
            </c:txPr>
            <c:showLegendKey val="0"/>
            <c:showVal val="0"/>
            <c:showCatName val="0"/>
            <c:showSerName val="0"/>
            <c:showPercent val="0"/>
            <c:showBubbleSize val="0"/>
          </c:dLbls>
          <c:cat>
            <c:strRef>
              <c:f>Hoja1!$J$6:$J$17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Hoja1!$L$6:$L$17</c:f>
              <c:numCache>
                <c:formatCode>#,##0.0</c:formatCode>
                <c:ptCount val="12"/>
                <c:pt idx="0">
                  <c:v>7258.3436738600003</c:v>
                </c:pt>
                <c:pt idx="1">
                  <c:v>7275.1072810700034</c:v>
                </c:pt>
                <c:pt idx="2">
                  <c:v>6785.6</c:v>
                </c:pt>
                <c:pt idx="3">
                  <c:v>7775.8</c:v>
                </c:pt>
                <c:pt idx="4">
                  <c:v>7704.5</c:v>
                </c:pt>
                <c:pt idx="5">
                  <c:v>7494</c:v>
                </c:pt>
                <c:pt idx="6">
                  <c:v>7338.8224336200028</c:v>
                </c:pt>
                <c:pt idx="7">
                  <c:v>7342.8691060200035</c:v>
                </c:pt>
                <c:pt idx="8">
                  <c:v>7195.0737996799999</c:v>
                </c:pt>
                <c:pt idx="9">
                  <c:v>7081.9497149599993</c:v>
                </c:pt>
              </c:numCache>
            </c:numRef>
          </c:val>
        </c:ser>
        <c:dLbls>
          <c:showLegendKey val="0"/>
          <c:showVal val="0"/>
          <c:showCatName val="0"/>
          <c:showSerName val="0"/>
          <c:showPercent val="0"/>
          <c:showBubbleSize val="0"/>
        </c:dLbls>
        <c:gapWidth val="150"/>
        <c:axId val="78448128"/>
        <c:axId val="78449664"/>
      </c:barChart>
      <c:catAx>
        <c:axId val="78448128"/>
        <c:scaling>
          <c:orientation val="minMax"/>
        </c:scaling>
        <c:delete val="0"/>
        <c:axPos val="b"/>
        <c:majorTickMark val="none"/>
        <c:minorTickMark val="none"/>
        <c:tickLblPos val="nextTo"/>
        <c:txPr>
          <a:bodyPr/>
          <a:lstStyle/>
          <a:p>
            <a:pPr>
              <a:defRPr sz="1000"/>
            </a:pPr>
            <a:endParaRPr lang="ja-JP"/>
          </a:p>
        </c:txPr>
        <c:crossAx val="78449664"/>
        <c:crosses val="autoZero"/>
        <c:auto val="1"/>
        <c:lblAlgn val="ctr"/>
        <c:lblOffset val="100"/>
        <c:noMultiLvlLbl val="0"/>
      </c:catAx>
      <c:valAx>
        <c:axId val="78449664"/>
        <c:scaling>
          <c:orientation val="minMax"/>
        </c:scaling>
        <c:delete val="0"/>
        <c:axPos val="l"/>
        <c:majorGridlines/>
        <c:title>
          <c:tx>
            <c:rich>
              <a:bodyPr rot="0" vert="horz"/>
              <a:lstStyle/>
              <a:p>
                <a:pPr>
                  <a:defRPr sz="800" b="0"/>
                </a:pPr>
                <a:r>
                  <a:rPr lang="en-US" altLang="ja-JP" sz="800" b="0"/>
                  <a:t>(</a:t>
                </a:r>
                <a:r>
                  <a:rPr lang="ja-JP" altLang="en-US" sz="800" b="0"/>
                  <a:t>百万ドル</a:t>
                </a:r>
                <a:r>
                  <a:rPr lang="en-US" altLang="ja-JP" sz="800" b="0"/>
                  <a:t>)</a:t>
                </a:r>
                <a:endParaRPr lang="ja-JP" altLang="en-US" sz="800" b="0"/>
              </a:p>
            </c:rich>
          </c:tx>
          <c:layout>
            <c:manualLayout>
              <c:xMode val="edge"/>
              <c:yMode val="edge"/>
              <c:x val="9.3876964009635949E-3"/>
              <c:y val="6.7622117705085527E-2"/>
            </c:manualLayout>
          </c:layout>
          <c:overlay val="0"/>
        </c:title>
        <c:numFmt formatCode="#,##0_);\(#,##0\)" sourceLinked="0"/>
        <c:majorTickMark val="out"/>
        <c:minorTickMark val="none"/>
        <c:tickLblPos val="nextTo"/>
        <c:crossAx val="78448128"/>
        <c:crosses val="autoZero"/>
        <c:crossBetween val="between"/>
      </c:valAx>
    </c:plotArea>
    <c:legend>
      <c:legendPos val="r"/>
      <c:legendEntry>
        <c:idx val="0"/>
        <c:txPr>
          <a:bodyPr/>
          <a:lstStyle/>
          <a:p>
            <a:pPr>
              <a:defRPr i="1"/>
            </a:pPr>
            <a:endParaRPr lang="ja-JP"/>
          </a:p>
        </c:txPr>
      </c:legendEntry>
      <c:legendEntry>
        <c:idx val="1"/>
        <c:txPr>
          <a:bodyPr/>
          <a:lstStyle/>
          <a:p>
            <a:pPr>
              <a:defRPr b="1"/>
            </a:pPr>
            <a:endParaRPr lang="ja-JP"/>
          </a:p>
        </c:txPr>
      </c:legendEntry>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ja-JP" altLang="en-US" sz="1100"/>
              <a:t>表</a:t>
            </a:r>
            <a:r>
              <a:rPr lang="en-US" altLang="ja-JP" sz="1100"/>
              <a:t>2</a:t>
            </a:r>
            <a:r>
              <a:rPr lang="ja-JP" altLang="en-US" sz="1100"/>
              <a:t>　貿易推移</a:t>
            </a:r>
          </a:p>
        </c:rich>
      </c:tx>
      <c:layout/>
      <c:overlay val="0"/>
    </c:title>
    <c:autoTitleDeleted val="0"/>
    <c:plotArea>
      <c:layout/>
      <c:barChart>
        <c:barDir val="col"/>
        <c:grouping val="clustered"/>
        <c:varyColors val="0"/>
        <c:ser>
          <c:idx val="0"/>
          <c:order val="0"/>
          <c:tx>
            <c:strRef>
              <c:f>Hoja1!$Q$11</c:f>
              <c:strCache>
                <c:ptCount val="1"/>
                <c:pt idx="0">
                  <c:v>輸出</c:v>
                </c:pt>
              </c:strCache>
            </c:strRef>
          </c:tx>
          <c:invertIfNegative val="0"/>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12"/>
              <c:layout/>
              <c:showLegendKey val="0"/>
              <c:showVal val="1"/>
              <c:showCatName val="0"/>
              <c:showSerName val="0"/>
              <c:showPercent val="0"/>
              <c:showBubbleSize val="0"/>
            </c:dLbl>
            <c:dLbl>
              <c:idx val="13"/>
              <c:layout/>
              <c:showLegendKey val="0"/>
              <c:showVal val="1"/>
              <c:showCatName val="0"/>
              <c:showSerName val="0"/>
              <c:showPercent val="0"/>
              <c:showBubbleSize val="0"/>
            </c:dLbl>
            <c:numFmt formatCode="#,##0.0_ " sourceLinked="0"/>
            <c:showLegendKey val="0"/>
            <c:showVal val="0"/>
            <c:showCatName val="0"/>
            <c:showSerName val="0"/>
            <c:showPercent val="0"/>
            <c:showBubbleSize val="0"/>
          </c:dLbls>
          <c:cat>
            <c:numRef>
              <c:f>Hoja1!$P$15:$P$29</c:f>
              <c:numCache>
                <c:formatCode>yyyy"年"mm"月"</c:formatCode>
                <c:ptCount val="15"/>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numCache>
            </c:numRef>
          </c:cat>
          <c:val>
            <c:numRef>
              <c:f>Hoja1!$Q$15:$Q$29</c:f>
              <c:numCache>
                <c:formatCode>General</c:formatCode>
                <c:ptCount val="15"/>
                <c:pt idx="0">
                  <c:v>0</c:v>
                </c:pt>
                <c:pt idx="1">
                  <c:v>972.54398724000032</c:v>
                </c:pt>
                <c:pt idx="2">
                  <c:v>1007.65641652</c:v>
                </c:pt>
                <c:pt idx="3">
                  <c:v>992.76068416999999</c:v>
                </c:pt>
                <c:pt idx="4">
                  <c:v>877.23699811999961</c:v>
                </c:pt>
                <c:pt idx="5" formatCode="#,##0.0">
                  <c:v>853.57332766000036</c:v>
                </c:pt>
                <c:pt idx="6" formatCode="#,##0.0">
                  <c:v>967.7426018799996</c:v>
                </c:pt>
                <c:pt idx="7" formatCode="#,##0.0">
                  <c:v>1040.08048562</c:v>
                </c:pt>
                <c:pt idx="8" formatCode="#,##0.0">
                  <c:v>982.45865004999996</c:v>
                </c:pt>
                <c:pt idx="9" formatCode="#,##0.0">
                  <c:v>1054.6386735399999</c:v>
                </c:pt>
                <c:pt idx="10" formatCode="#,##0.0">
                  <c:v>982.7186436100003</c:v>
                </c:pt>
                <c:pt idx="11" formatCode="#,##0.0">
                  <c:v>943.23539996000034</c:v>
                </c:pt>
                <c:pt idx="12" formatCode="#,##0.0">
                  <c:v>950.14641579999966</c:v>
                </c:pt>
                <c:pt idx="13" formatCode="#,##0.0">
                  <c:v>910.83174594000002</c:v>
                </c:pt>
                <c:pt idx="14" formatCode="#,##0.0">
                  <c:v>937.88982440999996</c:v>
                </c:pt>
              </c:numCache>
            </c:numRef>
          </c:val>
        </c:ser>
        <c:ser>
          <c:idx val="1"/>
          <c:order val="1"/>
          <c:tx>
            <c:strRef>
              <c:f>Hoja1!$R$11</c:f>
              <c:strCache>
                <c:ptCount val="1"/>
                <c:pt idx="0">
                  <c:v>輸入</c:v>
                </c:pt>
              </c:strCache>
            </c:strRef>
          </c:tx>
          <c:invertIfNegative val="0"/>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12"/>
              <c:layout>
                <c:manualLayout>
                  <c:x val="-1.1757789535567328E-2"/>
                  <c:y val="-8.0604534005037795E-2"/>
                </c:manualLayout>
              </c:layout>
              <c:showLegendKey val="0"/>
              <c:showVal val="1"/>
              <c:showCatName val="0"/>
              <c:showSerName val="0"/>
              <c:showPercent val="0"/>
              <c:showBubbleSize val="0"/>
            </c:dLbl>
            <c:dLbl>
              <c:idx val="13"/>
              <c:layout/>
              <c:showLegendKey val="0"/>
              <c:showVal val="1"/>
              <c:showCatName val="0"/>
              <c:showSerName val="0"/>
              <c:showPercent val="0"/>
              <c:showBubbleSize val="0"/>
            </c:dLbl>
            <c:numFmt formatCode="#,##0.0_ " sourceLinked="0"/>
            <c:showLegendKey val="0"/>
            <c:showVal val="0"/>
            <c:showCatName val="0"/>
            <c:showSerName val="0"/>
            <c:showPercent val="0"/>
            <c:showBubbleSize val="0"/>
          </c:dLbls>
          <c:cat>
            <c:numRef>
              <c:f>Hoja1!$P$15:$P$29</c:f>
              <c:numCache>
                <c:formatCode>yyyy"年"mm"月"</c:formatCode>
                <c:ptCount val="15"/>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numCache>
            </c:numRef>
          </c:cat>
          <c:val>
            <c:numRef>
              <c:f>Hoja1!$R$15:$R$29</c:f>
              <c:numCache>
                <c:formatCode>General</c:formatCode>
                <c:ptCount val="15"/>
                <c:pt idx="0">
                  <c:v>0</c:v>
                </c:pt>
                <c:pt idx="1">
                  <c:v>1501.597053180001</c:v>
                </c:pt>
                <c:pt idx="2">
                  <c:v>1609.13317362</c:v>
                </c:pt>
                <c:pt idx="3">
                  <c:v>1531.7667545000006</c:v>
                </c:pt>
                <c:pt idx="4">
                  <c:v>1425.2307668000001</c:v>
                </c:pt>
                <c:pt idx="5" formatCode="#,##0.0">
                  <c:v>1520.3494805899998</c:v>
                </c:pt>
                <c:pt idx="6" formatCode="#,##0.0">
                  <c:v>1375.3564699999999</c:v>
                </c:pt>
                <c:pt idx="7" formatCode="#,##0.0">
                  <c:v>1624.3796683099999</c:v>
                </c:pt>
                <c:pt idx="8" formatCode="#,##0.0">
                  <c:v>1490.4207121400007</c:v>
                </c:pt>
                <c:pt idx="9" formatCode="#,##0.0">
                  <c:v>1552.78053686</c:v>
                </c:pt>
                <c:pt idx="10" formatCode="#,##0.0">
                  <c:v>1359.7775328499999</c:v>
                </c:pt>
                <c:pt idx="11" formatCode="#,##0.0">
                  <c:v>1400.1920975199994</c:v>
                </c:pt>
                <c:pt idx="12" formatCode="#,##0.0">
                  <c:v>1433.03501661</c:v>
                </c:pt>
                <c:pt idx="13" formatCode="#,##0.0">
                  <c:v>1403.00366859</c:v>
                </c:pt>
                <c:pt idx="14" formatCode="#,##0.0">
                  <c:v>1391.7481503800007</c:v>
                </c:pt>
              </c:numCache>
            </c:numRef>
          </c:val>
        </c:ser>
        <c:dLbls>
          <c:showLegendKey val="0"/>
          <c:showVal val="0"/>
          <c:showCatName val="0"/>
          <c:showSerName val="0"/>
          <c:showPercent val="0"/>
          <c:showBubbleSize val="0"/>
        </c:dLbls>
        <c:gapWidth val="150"/>
        <c:axId val="86859776"/>
        <c:axId val="86861312"/>
      </c:barChart>
      <c:dateAx>
        <c:axId val="86859776"/>
        <c:scaling>
          <c:orientation val="minMax"/>
        </c:scaling>
        <c:delete val="0"/>
        <c:axPos val="b"/>
        <c:numFmt formatCode="yyyy&quot;年&quot;m&quot;月&quot;;@" sourceLinked="0"/>
        <c:majorTickMark val="none"/>
        <c:minorTickMark val="none"/>
        <c:tickLblPos val="nextTo"/>
        <c:txPr>
          <a:bodyPr/>
          <a:lstStyle/>
          <a:p>
            <a:pPr>
              <a:defRPr sz="800"/>
            </a:pPr>
            <a:endParaRPr lang="ja-JP"/>
          </a:p>
        </c:txPr>
        <c:crossAx val="86861312"/>
        <c:crosses val="autoZero"/>
        <c:auto val="1"/>
        <c:lblOffset val="100"/>
        <c:baseTimeUnit val="months"/>
      </c:dateAx>
      <c:valAx>
        <c:axId val="86861312"/>
        <c:scaling>
          <c:orientation val="minMax"/>
        </c:scaling>
        <c:delete val="0"/>
        <c:axPos val="l"/>
        <c:majorGridlines/>
        <c:title>
          <c:tx>
            <c:rich>
              <a:bodyPr rot="0" vert="horz"/>
              <a:lstStyle/>
              <a:p>
                <a:pPr>
                  <a:defRPr sz="900" b="0"/>
                </a:pPr>
                <a:r>
                  <a:rPr lang="en-US" altLang="ja-JP" sz="900" b="0"/>
                  <a:t>(</a:t>
                </a:r>
                <a:r>
                  <a:rPr lang="ja-JP" altLang="en-US" sz="900" b="0"/>
                  <a:t>百万ドル</a:t>
                </a:r>
                <a:r>
                  <a:rPr lang="en-US" altLang="ja-JP" sz="900" b="0"/>
                  <a:t>)</a:t>
                </a:r>
                <a:endParaRPr lang="ja-JP" altLang="en-US" sz="900" b="0"/>
              </a:p>
            </c:rich>
          </c:tx>
          <c:layout>
            <c:manualLayout>
              <c:xMode val="edge"/>
              <c:yMode val="edge"/>
              <c:x val="0.12192317093947458"/>
              <c:y val="4.2095384375425475E-2"/>
            </c:manualLayout>
          </c:layout>
          <c:overlay val="0"/>
        </c:title>
        <c:numFmt formatCode="#,##0_);\(#,##0\)" sourceLinked="0"/>
        <c:majorTickMark val="out"/>
        <c:minorTickMark val="none"/>
        <c:tickLblPos val="nextTo"/>
        <c:crossAx val="86859776"/>
        <c:crossesAt val="41518"/>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ja-JP" altLang="en-US" sz="900"/>
              <a:t>表</a:t>
            </a:r>
            <a:r>
              <a:rPr lang="en-US" altLang="ja-JP" sz="900"/>
              <a:t>4</a:t>
            </a:r>
            <a:r>
              <a:rPr lang="ja-JP" altLang="en-US" sz="900"/>
              <a:t>　累積貿易額　前年比較</a:t>
            </a:r>
          </a:p>
        </c:rich>
      </c:tx>
      <c:layout>
        <c:manualLayout>
          <c:xMode val="edge"/>
          <c:yMode val="edge"/>
          <c:x val="0.33798212005108574"/>
          <c:y val="4.9535603715170295E-2"/>
        </c:manualLayout>
      </c:layout>
      <c:overlay val="0"/>
    </c:title>
    <c:autoTitleDeleted val="0"/>
    <c:plotArea>
      <c:layout>
        <c:manualLayout>
          <c:layoutTarget val="inner"/>
          <c:xMode val="edge"/>
          <c:yMode val="edge"/>
          <c:x val="0.30596661903748557"/>
          <c:y val="0.15879629629629652"/>
          <c:w val="0.69403338096251443"/>
          <c:h val="0.58308313627979169"/>
        </c:manualLayout>
      </c:layout>
      <c:barChart>
        <c:barDir val="col"/>
        <c:grouping val="clustered"/>
        <c:varyColors val="0"/>
        <c:ser>
          <c:idx val="0"/>
          <c:order val="0"/>
          <c:tx>
            <c:strRef>
              <c:f>Hoja1!$T$40</c:f>
              <c:strCache>
                <c:ptCount val="1"/>
                <c:pt idx="0">
                  <c:v>輸出</c:v>
                </c:pt>
              </c:strCache>
            </c:strRef>
          </c:tx>
          <c:invertIfNegative val="0"/>
          <c:cat>
            <c:numRef>
              <c:f>Hoja1!$U$39:$V$39</c:f>
              <c:numCache>
                <c:formatCode>yyyy"年"mm"月"</c:formatCode>
                <c:ptCount val="2"/>
                <c:pt idx="0">
                  <c:v>41548</c:v>
                </c:pt>
                <c:pt idx="1">
                  <c:v>41913</c:v>
                </c:pt>
              </c:numCache>
            </c:numRef>
          </c:cat>
          <c:val>
            <c:numRef>
              <c:f>Hoja1!$U$40:$V$40</c:f>
              <c:numCache>
                <c:formatCode>#,##0.0_ </c:formatCode>
                <c:ptCount val="2"/>
                <c:pt idx="0">
                  <c:v>9726.6</c:v>
                </c:pt>
                <c:pt idx="1">
                  <c:v>9623.2999999999938</c:v>
                </c:pt>
              </c:numCache>
            </c:numRef>
          </c:val>
        </c:ser>
        <c:ser>
          <c:idx val="1"/>
          <c:order val="1"/>
          <c:tx>
            <c:strRef>
              <c:f>Hoja1!$T$41</c:f>
              <c:strCache>
                <c:ptCount val="1"/>
                <c:pt idx="0">
                  <c:v>輸入</c:v>
                </c:pt>
              </c:strCache>
            </c:strRef>
          </c:tx>
          <c:invertIfNegative val="0"/>
          <c:cat>
            <c:numRef>
              <c:f>Hoja1!$U$39:$V$39</c:f>
              <c:numCache>
                <c:formatCode>yyyy"年"mm"月"</c:formatCode>
                <c:ptCount val="2"/>
                <c:pt idx="0">
                  <c:v>41548</c:v>
                </c:pt>
                <c:pt idx="1">
                  <c:v>41913</c:v>
                </c:pt>
              </c:numCache>
            </c:numRef>
          </c:cat>
          <c:val>
            <c:numRef>
              <c:f>Hoja1!$U$41:$V$41</c:f>
              <c:numCache>
                <c:formatCode>#,##0.0_ </c:formatCode>
                <c:ptCount val="2"/>
                <c:pt idx="0">
                  <c:v>15050.1</c:v>
                </c:pt>
                <c:pt idx="1">
                  <c:v>14551</c:v>
                </c:pt>
              </c:numCache>
            </c:numRef>
          </c:val>
        </c:ser>
        <c:ser>
          <c:idx val="2"/>
          <c:order val="2"/>
          <c:tx>
            <c:strRef>
              <c:f>Hoja1!$T$42</c:f>
              <c:strCache>
                <c:ptCount val="1"/>
                <c:pt idx="0">
                  <c:v>貿易収支</c:v>
                </c:pt>
              </c:strCache>
            </c:strRef>
          </c:tx>
          <c:invertIfNegative val="0"/>
          <c:cat>
            <c:numRef>
              <c:f>Hoja1!$U$39:$V$39</c:f>
              <c:numCache>
                <c:formatCode>yyyy"年"mm"月"</c:formatCode>
                <c:ptCount val="2"/>
                <c:pt idx="0">
                  <c:v>41548</c:v>
                </c:pt>
                <c:pt idx="1">
                  <c:v>41913</c:v>
                </c:pt>
              </c:numCache>
            </c:numRef>
          </c:cat>
          <c:val>
            <c:numRef>
              <c:f>Hoja1!$U$42:$V$42</c:f>
              <c:numCache>
                <c:formatCode>#,##0.0_ </c:formatCode>
                <c:ptCount val="2"/>
                <c:pt idx="0">
                  <c:v>-5323.5</c:v>
                </c:pt>
                <c:pt idx="1">
                  <c:v>-4927.7</c:v>
                </c:pt>
              </c:numCache>
            </c:numRef>
          </c:val>
        </c:ser>
        <c:dLbls>
          <c:showLegendKey val="0"/>
          <c:showVal val="0"/>
          <c:showCatName val="0"/>
          <c:showSerName val="0"/>
          <c:showPercent val="0"/>
          <c:showBubbleSize val="0"/>
        </c:dLbls>
        <c:gapWidth val="150"/>
        <c:axId val="86883712"/>
        <c:axId val="86885504"/>
      </c:barChart>
      <c:dateAx>
        <c:axId val="86883712"/>
        <c:scaling>
          <c:orientation val="minMax"/>
        </c:scaling>
        <c:delete val="1"/>
        <c:axPos val="b"/>
        <c:numFmt formatCode="yyyy&quot;年&quot;mm&quot;月&quot;" sourceLinked="1"/>
        <c:majorTickMark val="none"/>
        <c:minorTickMark val="none"/>
        <c:tickLblPos val="none"/>
        <c:crossAx val="86885504"/>
        <c:crosses val="autoZero"/>
        <c:auto val="1"/>
        <c:lblOffset val="100"/>
        <c:baseTimeUnit val="years"/>
      </c:dateAx>
      <c:valAx>
        <c:axId val="86885504"/>
        <c:scaling>
          <c:orientation val="minMax"/>
        </c:scaling>
        <c:delete val="0"/>
        <c:axPos val="l"/>
        <c:majorGridlines/>
        <c:title>
          <c:tx>
            <c:rich>
              <a:bodyPr rot="0" vert="horz"/>
              <a:lstStyle/>
              <a:p>
                <a:pPr>
                  <a:defRPr sz="800" b="0"/>
                </a:pPr>
                <a:r>
                  <a:rPr lang="en-US" altLang="ja-JP" sz="800" b="0"/>
                  <a:t>(</a:t>
                </a:r>
                <a:r>
                  <a:rPr lang="ja-JP" altLang="en-US" sz="800" b="0"/>
                  <a:t>百万ドル</a:t>
                </a:r>
                <a:r>
                  <a:rPr lang="en-US" altLang="ja-JP" sz="800" b="0"/>
                  <a:t>)</a:t>
                </a:r>
                <a:endParaRPr lang="ja-JP" altLang="en-US" sz="800" b="0"/>
              </a:p>
            </c:rich>
          </c:tx>
          <c:layout>
            <c:manualLayout>
              <c:xMode val="edge"/>
              <c:yMode val="edge"/>
              <c:x val="3.6015325670498095E-2"/>
              <c:y val="3.9301821018502714E-2"/>
            </c:manualLayout>
          </c:layout>
          <c:overlay val="0"/>
        </c:title>
        <c:numFmt formatCode="#,##0_);\(#,##0\)" sourceLinked="0"/>
        <c:majorTickMark val="none"/>
        <c:minorTickMark val="none"/>
        <c:tickLblPos val="nextTo"/>
        <c:txPr>
          <a:bodyPr/>
          <a:lstStyle/>
          <a:p>
            <a:pPr>
              <a:defRPr sz="800"/>
            </a:pPr>
            <a:endParaRPr lang="ja-JP"/>
          </a:p>
        </c:txPr>
        <c:crossAx val="86883712"/>
        <c:crosses val="autoZero"/>
        <c:crossBetween val="between"/>
      </c:valAx>
      <c:dTable>
        <c:showHorzBorder val="1"/>
        <c:showVertBorder val="1"/>
        <c:showOutline val="1"/>
        <c:showKeys val="1"/>
        <c:txPr>
          <a:bodyPr/>
          <a:lstStyle/>
          <a:p>
            <a:pPr rtl="0">
              <a:defRPr sz="800"/>
            </a:pPr>
            <a:endParaRPr lang="ja-JP"/>
          </a:p>
        </c:txPr>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ja-JP" altLang="en-US" sz="900"/>
              <a:t>表</a:t>
            </a:r>
            <a:r>
              <a:rPr lang="en-US" altLang="ja-JP" sz="900"/>
              <a:t>3</a:t>
            </a:r>
            <a:r>
              <a:rPr lang="ja-JP" altLang="en-US" sz="900"/>
              <a:t>　累積貿易額　前年比較</a:t>
            </a:r>
          </a:p>
        </c:rich>
      </c:tx>
      <c:layout>
        <c:manualLayout>
          <c:xMode val="edge"/>
          <c:yMode val="edge"/>
          <c:x val="0.32059411178253883"/>
          <c:y val="5.2845528455284556E-2"/>
        </c:manualLayout>
      </c:layout>
      <c:overlay val="0"/>
    </c:title>
    <c:autoTitleDeleted val="0"/>
    <c:plotArea>
      <c:layout>
        <c:manualLayout>
          <c:layoutTarget val="inner"/>
          <c:xMode val="edge"/>
          <c:yMode val="edge"/>
          <c:x val="0.28094359633617227"/>
          <c:y val="0.15879629629629652"/>
          <c:w val="0.6712822325780714"/>
          <c:h val="0.5660348397044429"/>
        </c:manualLayout>
      </c:layout>
      <c:barChart>
        <c:barDir val="col"/>
        <c:grouping val="clustered"/>
        <c:varyColors val="0"/>
        <c:ser>
          <c:idx val="0"/>
          <c:order val="0"/>
          <c:tx>
            <c:strRef>
              <c:f>Hoja1!$T$34</c:f>
              <c:strCache>
                <c:ptCount val="1"/>
                <c:pt idx="0">
                  <c:v>輸出</c:v>
                </c:pt>
              </c:strCache>
            </c:strRef>
          </c:tx>
          <c:invertIfNegative val="0"/>
          <c:cat>
            <c:numRef>
              <c:f>Hoja1!$U$33:$V$33</c:f>
              <c:numCache>
                <c:formatCode>yyyy"年"mm"月"</c:formatCode>
                <c:ptCount val="2"/>
                <c:pt idx="0">
                  <c:v>41518</c:v>
                </c:pt>
                <c:pt idx="1">
                  <c:v>41883</c:v>
                </c:pt>
              </c:numCache>
            </c:numRef>
          </c:cat>
          <c:val>
            <c:numRef>
              <c:f>Hoja1!$U$34:$V$34</c:f>
              <c:numCache>
                <c:formatCode>#,##0.0_ </c:formatCode>
                <c:ptCount val="2"/>
                <c:pt idx="0">
                  <c:v>8719</c:v>
                </c:pt>
                <c:pt idx="1">
                  <c:v>8685.4</c:v>
                </c:pt>
              </c:numCache>
            </c:numRef>
          </c:val>
        </c:ser>
        <c:ser>
          <c:idx val="1"/>
          <c:order val="1"/>
          <c:tx>
            <c:strRef>
              <c:f>Hoja1!$T$35</c:f>
              <c:strCache>
                <c:ptCount val="1"/>
                <c:pt idx="0">
                  <c:v>輸入</c:v>
                </c:pt>
              </c:strCache>
            </c:strRef>
          </c:tx>
          <c:invertIfNegative val="0"/>
          <c:cat>
            <c:numRef>
              <c:f>Hoja1!$U$33:$V$33</c:f>
              <c:numCache>
                <c:formatCode>yyyy"年"mm"月"</c:formatCode>
                <c:ptCount val="2"/>
                <c:pt idx="0">
                  <c:v>41518</c:v>
                </c:pt>
                <c:pt idx="1">
                  <c:v>41883</c:v>
                </c:pt>
              </c:numCache>
            </c:numRef>
          </c:cat>
          <c:val>
            <c:numRef>
              <c:f>Hoja1!$U$35:$V$35</c:f>
              <c:numCache>
                <c:formatCode>#,##0.0_ </c:formatCode>
                <c:ptCount val="2"/>
                <c:pt idx="0">
                  <c:v>13440.5</c:v>
                </c:pt>
                <c:pt idx="1">
                  <c:v>13159.3</c:v>
                </c:pt>
              </c:numCache>
            </c:numRef>
          </c:val>
        </c:ser>
        <c:ser>
          <c:idx val="2"/>
          <c:order val="2"/>
          <c:tx>
            <c:strRef>
              <c:f>Hoja1!$T$36</c:f>
              <c:strCache>
                <c:ptCount val="1"/>
                <c:pt idx="0">
                  <c:v>貿易収支</c:v>
                </c:pt>
              </c:strCache>
            </c:strRef>
          </c:tx>
          <c:invertIfNegative val="0"/>
          <c:cat>
            <c:numRef>
              <c:f>Hoja1!$U$33:$V$33</c:f>
              <c:numCache>
                <c:formatCode>yyyy"年"mm"月"</c:formatCode>
                <c:ptCount val="2"/>
                <c:pt idx="0">
                  <c:v>41518</c:v>
                </c:pt>
                <c:pt idx="1">
                  <c:v>41883</c:v>
                </c:pt>
              </c:numCache>
            </c:numRef>
          </c:cat>
          <c:val>
            <c:numRef>
              <c:f>Hoja1!$U$36:$V$36</c:f>
              <c:numCache>
                <c:formatCode>#,##0.0_ </c:formatCode>
                <c:ptCount val="2"/>
                <c:pt idx="0">
                  <c:v>-4721.5</c:v>
                </c:pt>
                <c:pt idx="1">
                  <c:v>-4473.9000000000005</c:v>
                </c:pt>
              </c:numCache>
            </c:numRef>
          </c:val>
        </c:ser>
        <c:dLbls>
          <c:showLegendKey val="0"/>
          <c:showVal val="0"/>
          <c:showCatName val="0"/>
          <c:showSerName val="0"/>
          <c:showPercent val="0"/>
          <c:showBubbleSize val="0"/>
        </c:dLbls>
        <c:gapWidth val="150"/>
        <c:axId val="93671808"/>
        <c:axId val="93673344"/>
      </c:barChart>
      <c:dateAx>
        <c:axId val="93671808"/>
        <c:scaling>
          <c:orientation val="minMax"/>
        </c:scaling>
        <c:delete val="1"/>
        <c:axPos val="b"/>
        <c:numFmt formatCode="yyyy&quot;年&quot;mm&quot;月&quot;" sourceLinked="1"/>
        <c:majorTickMark val="none"/>
        <c:minorTickMark val="none"/>
        <c:tickLblPos val="none"/>
        <c:crossAx val="93673344"/>
        <c:crosses val="autoZero"/>
        <c:auto val="1"/>
        <c:lblOffset val="100"/>
        <c:baseTimeUnit val="years"/>
      </c:dateAx>
      <c:valAx>
        <c:axId val="93673344"/>
        <c:scaling>
          <c:orientation val="minMax"/>
          <c:max val="20000"/>
          <c:min val="-10000"/>
        </c:scaling>
        <c:delete val="0"/>
        <c:axPos val="l"/>
        <c:majorGridlines/>
        <c:title>
          <c:tx>
            <c:rich>
              <a:bodyPr rot="0" vert="horz"/>
              <a:lstStyle/>
              <a:p>
                <a:pPr>
                  <a:defRPr sz="800" b="0"/>
                </a:pPr>
                <a:r>
                  <a:rPr lang="en-US" altLang="ja-JP" sz="800" b="0"/>
                  <a:t>(</a:t>
                </a:r>
                <a:r>
                  <a:rPr lang="ja-JP" altLang="en-US" sz="800" b="0"/>
                  <a:t>百万ドル</a:t>
                </a:r>
                <a:r>
                  <a:rPr lang="en-US" altLang="ja-JP" sz="800" b="0"/>
                  <a:t>)</a:t>
                </a:r>
                <a:endParaRPr lang="ja-JP" altLang="en-US" sz="800" b="0"/>
              </a:p>
            </c:rich>
          </c:tx>
          <c:layout>
            <c:manualLayout>
              <c:xMode val="edge"/>
              <c:yMode val="edge"/>
              <c:x val="4.2637693544120931E-3"/>
              <c:y val="2.7297228090391139E-2"/>
            </c:manualLayout>
          </c:layout>
          <c:overlay val="0"/>
        </c:title>
        <c:numFmt formatCode="#,##0_);\(#,##0\)" sourceLinked="0"/>
        <c:majorTickMark val="none"/>
        <c:minorTickMark val="none"/>
        <c:tickLblPos val="nextTo"/>
        <c:txPr>
          <a:bodyPr/>
          <a:lstStyle/>
          <a:p>
            <a:pPr>
              <a:defRPr sz="800"/>
            </a:pPr>
            <a:endParaRPr lang="ja-JP"/>
          </a:p>
        </c:txPr>
        <c:crossAx val="93671808"/>
        <c:crosses val="autoZero"/>
        <c:crossBetween val="between"/>
        <c:majorUnit val="5000"/>
      </c:valAx>
      <c:dTable>
        <c:showHorzBorder val="1"/>
        <c:showVertBorder val="1"/>
        <c:showOutline val="1"/>
        <c:showKeys val="1"/>
        <c:txPr>
          <a:bodyPr/>
          <a:lstStyle/>
          <a:p>
            <a:pPr rtl="0">
              <a:defRPr sz="800"/>
            </a:pPr>
            <a:endParaRPr lang="ja-JP"/>
          </a:p>
        </c:txPr>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ja-JP" altLang="en-US" sz="1200"/>
              <a:t>表</a:t>
            </a:r>
            <a:r>
              <a:rPr lang="en-US" altLang="ja-JP" sz="1200"/>
              <a:t>5</a:t>
            </a:r>
            <a:r>
              <a:rPr lang="ja-JP" altLang="en-US" sz="1200"/>
              <a:t>　貿易推移</a:t>
            </a:r>
            <a:r>
              <a:rPr lang="en-US" altLang="ja-JP" sz="1200"/>
              <a:t>(</a:t>
            </a:r>
            <a:r>
              <a:rPr lang="ja-JP" altLang="en-US" sz="1200"/>
              <a:t>成長率</a:t>
            </a:r>
            <a:r>
              <a:rPr lang="en-US" altLang="ja-JP" sz="1200"/>
              <a:t>)</a:t>
            </a:r>
            <a:endParaRPr lang="ja-JP" altLang="en-US" sz="1200"/>
          </a:p>
        </c:rich>
      </c:tx>
      <c:layout/>
      <c:overlay val="0"/>
    </c:title>
    <c:autoTitleDeleted val="0"/>
    <c:plotArea>
      <c:layout/>
      <c:lineChart>
        <c:grouping val="standard"/>
        <c:varyColors val="0"/>
        <c:ser>
          <c:idx val="0"/>
          <c:order val="0"/>
          <c:tx>
            <c:strRef>
              <c:f>Sheet1!$O$12</c:f>
              <c:strCache>
                <c:ptCount val="1"/>
                <c:pt idx="0">
                  <c:v>輸出</c:v>
                </c:pt>
              </c:strCache>
            </c:strRef>
          </c:tx>
          <c:dLbls>
            <c:dLbl>
              <c:idx val="12"/>
              <c:layout/>
              <c:showLegendKey val="0"/>
              <c:showVal val="1"/>
              <c:showCatName val="0"/>
              <c:showSerName val="0"/>
              <c:showPercent val="0"/>
              <c:showBubbleSize val="0"/>
            </c:dLbl>
            <c:dLbl>
              <c:idx val="13"/>
              <c:layout/>
              <c:showLegendKey val="0"/>
              <c:showVal val="1"/>
              <c:showCatName val="0"/>
              <c:showSerName val="0"/>
              <c:showPercent val="0"/>
              <c:showBubbleSize val="0"/>
            </c:dLbl>
            <c:showLegendKey val="0"/>
            <c:showVal val="0"/>
            <c:showCatName val="0"/>
            <c:showSerName val="0"/>
            <c:showPercent val="0"/>
            <c:showBubbleSize val="0"/>
          </c:dLbls>
          <c:cat>
            <c:numRef>
              <c:f>Sheet1!$N$13:$N$26</c:f>
              <c:numCache>
                <c:formatCode>yyyy"年"mm"月"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Sheet1!$O$13:$O$26</c:f>
              <c:numCache>
                <c:formatCode>#,##0.0</c:formatCode>
                <c:ptCount val="14"/>
                <c:pt idx="0">
                  <c:v>0.52306443999999996</c:v>
                </c:pt>
                <c:pt idx="1">
                  <c:v>1.4034948999999988</c:v>
                </c:pt>
                <c:pt idx="2">
                  <c:v>1.3547575400000007</c:v>
                </c:pt>
                <c:pt idx="3">
                  <c:v>1.1538703699999999</c:v>
                </c:pt>
                <c:pt idx="4">
                  <c:v>-6.26801312</c:v>
                </c:pt>
                <c:pt idx="5">
                  <c:v>-1.1099357099999998</c:v>
                </c:pt>
                <c:pt idx="6">
                  <c:v>0.15832108000000009</c:v>
                </c:pt>
                <c:pt idx="7">
                  <c:v>-0.33578896000000047</c:v>
                </c:pt>
                <c:pt idx="8">
                  <c:v>0.19224468000000008</c:v>
                </c:pt>
                <c:pt idx="9">
                  <c:v>0.5933154199999997</c:v>
                </c:pt>
                <c:pt idx="10">
                  <c:v>0.45579422000000003</c:v>
                </c:pt>
                <c:pt idx="11">
                  <c:v>0.39268859000000039</c:v>
                </c:pt>
                <c:pt idx="12">
                  <c:v>-0.38454822000000016</c:v>
                </c:pt>
                <c:pt idx="13">
                  <c:v>-1.0619772799999998</c:v>
                </c:pt>
              </c:numCache>
            </c:numRef>
          </c:val>
          <c:smooth val="0"/>
        </c:ser>
        <c:ser>
          <c:idx val="1"/>
          <c:order val="1"/>
          <c:tx>
            <c:strRef>
              <c:f>Sheet1!$P$12</c:f>
              <c:strCache>
                <c:ptCount val="1"/>
                <c:pt idx="0">
                  <c:v>輸入</c:v>
                </c:pt>
              </c:strCache>
            </c:strRef>
          </c:tx>
          <c:dLbls>
            <c:dLbl>
              <c:idx val="12"/>
              <c:layout/>
              <c:showLegendKey val="0"/>
              <c:showVal val="1"/>
              <c:showCatName val="0"/>
              <c:showSerName val="0"/>
              <c:showPercent val="0"/>
              <c:showBubbleSize val="0"/>
            </c:dLbl>
            <c:dLbl>
              <c:idx val="13"/>
              <c:layout/>
              <c:showLegendKey val="0"/>
              <c:showVal val="1"/>
              <c:showCatName val="0"/>
              <c:showSerName val="0"/>
              <c:showPercent val="0"/>
              <c:showBubbleSize val="0"/>
            </c:dLbl>
            <c:showLegendKey val="0"/>
            <c:showVal val="0"/>
            <c:showCatName val="0"/>
            <c:showSerName val="0"/>
            <c:showPercent val="0"/>
            <c:showBubbleSize val="0"/>
          </c:dLbls>
          <c:cat>
            <c:numRef>
              <c:f>Sheet1!$N$13:$N$26</c:f>
              <c:numCache>
                <c:formatCode>yyyy"年"mm"月"</c:formatCode>
                <c:ptCount val="14"/>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numCache>
            </c:numRef>
          </c:cat>
          <c:val>
            <c:numRef>
              <c:f>Sheet1!$P$13:$P$26</c:f>
              <c:numCache>
                <c:formatCode>#,##0.0</c:formatCode>
                <c:ptCount val="14"/>
                <c:pt idx="0">
                  <c:v>3.7878732800000012</c:v>
                </c:pt>
                <c:pt idx="1">
                  <c:v>3.3226005299999986</c:v>
                </c:pt>
                <c:pt idx="2">
                  <c:v>2.88796629</c:v>
                </c:pt>
                <c:pt idx="3">
                  <c:v>2.4074474899999987</c:v>
                </c:pt>
                <c:pt idx="4">
                  <c:v>-2.72177844</c:v>
                </c:pt>
                <c:pt idx="5">
                  <c:v>-0.73027894000000004</c:v>
                </c:pt>
                <c:pt idx="6">
                  <c:v>2.9346251099999985</c:v>
                </c:pt>
                <c:pt idx="7">
                  <c:v>0.22641820000000007</c:v>
                </c:pt>
                <c:pt idx="8">
                  <c:v>1.0438635599999992</c:v>
                </c:pt>
                <c:pt idx="9">
                  <c:v>0.53741455999999965</c:v>
                </c:pt>
                <c:pt idx="10">
                  <c:v>-0.86670670999999999</c:v>
                </c:pt>
                <c:pt idx="11">
                  <c:v>-1.52745117</c:v>
                </c:pt>
                <c:pt idx="12">
                  <c:v>-2.0920621199999974</c:v>
                </c:pt>
                <c:pt idx="13">
                  <c:v>-3.3161359099999985</c:v>
                </c:pt>
              </c:numCache>
            </c:numRef>
          </c:val>
          <c:smooth val="0"/>
        </c:ser>
        <c:dLbls>
          <c:showLegendKey val="0"/>
          <c:showVal val="0"/>
          <c:showCatName val="0"/>
          <c:showSerName val="0"/>
          <c:showPercent val="0"/>
          <c:showBubbleSize val="0"/>
        </c:dLbls>
        <c:marker val="1"/>
        <c:smooth val="0"/>
        <c:axId val="93988352"/>
        <c:axId val="93989888"/>
      </c:lineChart>
      <c:dateAx>
        <c:axId val="93988352"/>
        <c:scaling>
          <c:orientation val="minMax"/>
        </c:scaling>
        <c:delete val="1"/>
        <c:axPos val="b"/>
        <c:numFmt formatCode="yyyy&quot;年&quot;mm&quot;月&quot;" sourceLinked="1"/>
        <c:majorTickMark val="none"/>
        <c:minorTickMark val="none"/>
        <c:tickLblPos val="none"/>
        <c:crossAx val="93989888"/>
        <c:crosses val="autoZero"/>
        <c:auto val="1"/>
        <c:lblOffset val="100"/>
        <c:baseTimeUnit val="months"/>
      </c:dateAx>
      <c:valAx>
        <c:axId val="93989888"/>
        <c:scaling>
          <c:orientation val="minMax"/>
        </c:scaling>
        <c:delete val="0"/>
        <c:axPos val="l"/>
        <c:majorGridlines/>
        <c:title>
          <c:tx>
            <c:rich>
              <a:bodyPr rot="0" vert="horz"/>
              <a:lstStyle/>
              <a:p>
                <a:pPr>
                  <a:defRPr b="0"/>
                </a:pPr>
                <a:r>
                  <a:rPr lang="en-US" altLang="ja-JP" b="0"/>
                  <a:t>(%)</a:t>
                </a:r>
                <a:endParaRPr lang="ja-JP" altLang="en-US" b="0"/>
              </a:p>
            </c:rich>
          </c:tx>
          <c:layout>
            <c:manualLayout>
              <c:xMode val="edge"/>
              <c:yMode val="edge"/>
              <c:x val="8.6444007858546154E-2"/>
              <c:y val="6.6367004124484499E-2"/>
            </c:manualLayout>
          </c:layout>
          <c:overlay val="0"/>
        </c:title>
        <c:numFmt formatCode="#,##0.0" sourceLinked="1"/>
        <c:majorTickMark val="none"/>
        <c:minorTickMark val="none"/>
        <c:tickLblPos val="nextTo"/>
        <c:txPr>
          <a:bodyPr/>
          <a:lstStyle/>
          <a:p>
            <a:pPr>
              <a:defRPr sz="900"/>
            </a:pPr>
            <a:endParaRPr lang="ja-JP"/>
          </a:p>
        </c:txPr>
        <c:crossAx val="93988352"/>
        <c:crosses val="autoZero"/>
        <c:crossBetween val="between"/>
      </c:valAx>
      <c:dTable>
        <c:showHorzBorder val="1"/>
        <c:showVertBorder val="1"/>
        <c:showOutline val="1"/>
        <c:showKeys val="1"/>
        <c:txPr>
          <a:bodyPr/>
          <a:lstStyle/>
          <a:p>
            <a:pPr rtl="0">
              <a:defRPr sz="800"/>
            </a:pPr>
            <a:endParaRPr lang="ja-JP"/>
          </a:p>
        </c:txPr>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900" b="0" i="0" u="none" strike="noStrike" baseline="0">
                <a:solidFill>
                  <a:srgbClr val="000000"/>
                </a:solidFill>
                <a:latin typeface="ＭＳ Ｐゴシック"/>
                <a:ea typeface="ＭＳ Ｐゴシック"/>
                <a:cs typeface="ＭＳ Ｐゴシック"/>
              </a:defRPr>
            </a:pPr>
            <a:r>
              <a:rPr lang="ja-JP" altLang="en-US" sz="900" b="1" i="0" u="none" strike="noStrike" baseline="0">
                <a:solidFill>
                  <a:srgbClr val="000000"/>
                </a:solidFill>
                <a:latin typeface="ＭＳ Ｐゴシック"/>
                <a:ea typeface="ＭＳ Ｐゴシック"/>
              </a:rPr>
              <a:t>表</a:t>
            </a:r>
            <a:r>
              <a:rPr lang="en-US" altLang="ja-JP" sz="900" b="1" i="0" u="none" strike="noStrike" baseline="0">
                <a:solidFill>
                  <a:srgbClr val="000000"/>
                </a:solidFill>
                <a:latin typeface="ＭＳ Ｐゴシック"/>
                <a:ea typeface="ＭＳ Ｐゴシック"/>
              </a:rPr>
              <a:t>6</a:t>
            </a:r>
            <a:r>
              <a:rPr lang="ja-JP" altLang="en-US" sz="900" b="1" i="0" u="none" strike="noStrike" baseline="0">
                <a:solidFill>
                  <a:srgbClr val="000000"/>
                </a:solidFill>
                <a:latin typeface="ＭＳ Ｐゴシック"/>
                <a:ea typeface="ＭＳ Ｐゴシック"/>
              </a:rPr>
              <a:t>　財政収支</a:t>
            </a:r>
            <a:r>
              <a:rPr lang="en-US" altLang="ja-JP" sz="900" b="1" i="0" u="none" strike="noStrike" baseline="0">
                <a:solidFill>
                  <a:srgbClr val="000000"/>
                </a:solidFill>
                <a:latin typeface="ＭＳ Ｐゴシック"/>
                <a:ea typeface="ＭＳ Ｐゴシック"/>
              </a:rPr>
              <a:t>(</a:t>
            </a:r>
            <a:r>
              <a:rPr lang="ja-JP" altLang="en-US" sz="900" b="1" i="0" u="none" strike="noStrike" baseline="0">
                <a:solidFill>
                  <a:srgbClr val="000000"/>
                </a:solidFill>
                <a:latin typeface="ＭＳ Ｐゴシック"/>
                <a:ea typeface="ＭＳ Ｐゴシック"/>
              </a:rPr>
              <a:t>中央政府）</a:t>
            </a:r>
            <a:endParaRPr lang="en-US" altLang="ja-JP" sz="900" b="1" i="0" u="none" strike="noStrike" baseline="0">
              <a:solidFill>
                <a:srgbClr val="000000"/>
              </a:solidFill>
              <a:latin typeface="ＭＳ Ｐゴシック"/>
              <a:ea typeface="ＭＳ Ｐゴシック"/>
            </a:endParaRPr>
          </a:p>
          <a:p>
            <a:pPr algn="l">
              <a:defRPr sz="900" b="0" i="0" u="none" strike="noStrike" baseline="0">
                <a:solidFill>
                  <a:srgbClr val="000000"/>
                </a:solidFill>
                <a:latin typeface="ＭＳ Ｐゴシック"/>
                <a:ea typeface="ＭＳ Ｐゴシック"/>
                <a:cs typeface="ＭＳ Ｐゴシック"/>
              </a:defRPr>
            </a:pPr>
            <a:r>
              <a:rPr lang="ja-JP" altLang="en-US" sz="900" b="1" i="0" u="none" strike="noStrike" baseline="0">
                <a:solidFill>
                  <a:srgbClr val="000000"/>
                </a:solidFill>
                <a:latin typeface="ＭＳ Ｐゴシック"/>
                <a:ea typeface="ＭＳ Ｐゴシック"/>
              </a:rPr>
              <a:t>累計比較</a:t>
            </a:r>
          </a:p>
        </c:rich>
      </c:tx>
      <c:layout>
        <c:manualLayout>
          <c:xMode val="edge"/>
          <c:yMode val="edge"/>
          <c:x val="0.26049399718571298"/>
          <c:y val="1.6592554029919806E-3"/>
        </c:manualLayout>
      </c:layout>
      <c:overlay val="0"/>
      <c:spPr>
        <a:noFill/>
        <a:ln w="25400">
          <a:noFill/>
        </a:ln>
      </c:spPr>
    </c:title>
    <c:autoTitleDeleted val="0"/>
    <c:plotArea>
      <c:layout>
        <c:manualLayout>
          <c:layoutTarget val="inner"/>
          <c:xMode val="edge"/>
          <c:yMode val="edge"/>
          <c:x val="0.19134886692431866"/>
          <c:y val="0.13020090933195888"/>
          <c:w val="0.60514939185961669"/>
          <c:h val="0.58265451010056368"/>
        </c:manualLayout>
      </c:layout>
      <c:barChart>
        <c:barDir val="col"/>
        <c:grouping val="clustered"/>
        <c:varyColors val="0"/>
        <c:ser>
          <c:idx val="0"/>
          <c:order val="0"/>
          <c:tx>
            <c:strRef>
              <c:f>'2014主要経済指標'!$L$203</c:f>
              <c:strCache>
                <c:ptCount val="1"/>
                <c:pt idx="0">
                  <c:v>歳入</c:v>
                </c:pt>
              </c:strCache>
            </c:strRef>
          </c:tx>
          <c:spPr>
            <a:solidFill>
              <a:srgbClr val="99CCFF"/>
            </a:solidFill>
            <a:ln w="25400">
              <a:noFill/>
            </a:ln>
          </c:spPr>
          <c:invertIfNegative val="0"/>
          <c:cat>
            <c:numRef>
              <c:f>'2014主要経済指標'!$M$202:$N$202</c:f>
              <c:numCache>
                <c:formatCode>yyyy"年"m"月";@</c:formatCode>
                <c:ptCount val="2"/>
                <c:pt idx="0">
                  <c:v>41518</c:v>
                </c:pt>
                <c:pt idx="1">
                  <c:v>41883</c:v>
                </c:pt>
              </c:numCache>
            </c:numRef>
          </c:cat>
          <c:val>
            <c:numRef>
              <c:f>'2014主要経済指標'!$M$203:$N$203</c:f>
              <c:numCache>
                <c:formatCode>#,##0.0;[Red]\-#,##0.0</c:formatCode>
                <c:ptCount val="2"/>
                <c:pt idx="0">
                  <c:v>2493832.0924775177</c:v>
                </c:pt>
                <c:pt idx="1">
                  <c:v>2697881</c:v>
                </c:pt>
              </c:numCache>
            </c:numRef>
          </c:val>
        </c:ser>
        <c:ser>
          <c:idx val="1"/>
          <c:order val="1"/>
          <c:tx>
            <c:strRef>
              <c:f>'2014主要経済指標'!$L$204</c:f>
              <c:strCache>
                <c:ptCount val="1"/>
                <c:pt idx="0">
                  <c:v>歳出</c:v>
                </c:pt>
              </c:strCache>
            </c:strRef>
          </c:tx>
          <c:spPr>
            <a:solidFill>
              <a:srgbClr val="CC99FF"/>
            </a:solidFill>
            <a:ln w="25400">
              <a:noFill/>
            </a:ln>
          </c:spPr>
          <c:invertIfNegative val="0"/>
          <c:cat>
            <c:numRef>
              <c:f>'2014主要経済指標'!$M$202:$N$202</c:f>
              <c:numCache>
                <c:formatCode>yyyy"年"m"月";@</c:formatCode>
                <c:ptCount val="2"/>
                <c:pt idx="0">
                  <c:v>41518</c:v>
                </c:pt>
                <c:pt idx="1">
                  <c:v>41883</c:v>
                </c:pt>
              </c:numCache>
            </c:numRef>
          </c:cat>
          <c:val>
            <c:numRef>
              <c:f>'2014主要経済指標'!$M$204:$N$204</c:f>
              <c:numCache>
                <c:formatCode>#,##0.0;[Red]\-#,##0.0</c:formatCode>
                <c:ptCount val="2"/>
                <c:pt idx="0">
                  <c:v>3429004.7585272491</c:v>
                </c:pt>
                <c:pt idx="1">
                  <c:v>3770387</c:v>
                </c:pt>
              </c:numCache>
            </c:numRef>
          </c:val>
        </c:ser>
        <c:ser>
          <c:idx val="2"/>
          <c:order val="2"/>
          <c:tx>
            <c:strRef>
              <c:f>'2014主要経済指標'!$L$205</c:f>
              <c:strCache>
                <c:ptCount val="1"/>
                <c:pt idx="0">
                  <c:v>財政収支</c:v>
                </c:pt>
              </c:strCache>
            </c:strRef>
          </c:tx>
          <c:spPr>
            <a:solidFill>
              <a:srgbClr val="800000"/>
            </a:solidFill>
            <a:ln w="25400">
              <a:noFill/>
            </a:ln>
          </c:spPr>
          <c:invertIfNegative val="0"/>
          <c:cat>
            <c:numRef>
              <c:f>'2014主要経済指標'!$M$202:$N$202</c:f>
              <c:numCache>
                <c:formatCode>yyyy"年"m"月";@</c:formatCode>
                <c:ptCount val="2"/>
                <c:pt idx="0">
                  <c:v>41518</c:v>
                </c:pt>
                <c:pt idx="1">
                  <c:v>41883</c:v>
                </c:pt>
              </c:numCache>
            </c:numRef>
          </c:cat>
          <c:val>
            <c:numRef>
              <c:f>'2014主要経済指標'!$M$205:$N$205</c:f>
              <c:numCache>
                <c:formatCode>#,##0.0;[Red]\-#,##0.0</c:formatCode>
                <c:ptCount val="2"/>
                <c:pt idx="0">
                  <c:v>-935172.6660497305</c:v>
                </c:pt>
                <c:pt idx="1">
                  <c:v>-1072506</c:v>
                </c:pt>
              </c:numCache>
            </c:numRef>
          </c:val>
        </c:ser>
        <c:dLbls>
          <c:showLegendKey val="0"/>
          <c:showVal val="0"/>
          <c:showCatName val="0"/>
          <c:showSerName val="0"/>
          <c:showPercent val="0"/>
          <c:showBubbleSize val="0"/>
        </c:dLbls>
        <c:gapWidth val="150"/>
        <c:axId val="94061696"/>
        <c:axId val="94063232"/>
      </c:barChart>
      <c:lineChart>
        <c:grouping val="standard"/>
        <c:varyColors val="0"/>
        <c:ser>
          <c:idx val="3"/>
          <c:order val="3"/>
          <c:tx>
            <c:strRef>
              <c:f>'2014主要経済指標'!$L$206</c:f>
              <c:strCache>
                <c:ptCount val="1"/>
                <c:pt idx="0">
                  <c:v>対GDP比</c:v>
                </c:pt>
              </c:strCache>
            </c:strRef>
          </c:tx>
          <c:spPr>
            <a:ln w="25400">
              <a:solidFill>
                <a:srgbClr val="333399"/>
              </a:solidFill>
              <a:prstDash val="solid"/>
            </a:ln>
          </c:spPr>
          <c:marker>
            <c:symbol val="circle"/>
            <c:size val="7"/>
            <c:spPr>
              <a:solidFill>
                <a:srgbClr val="333399"/>
              </a:solidFill>
              <a:ln>
                <a:solidFill>
                  <a:srgbClr val="333399"/>
                </a:solidFill>
                <a:prstDash val="solid"/>
              </a:ln>
            </c:spPr>
          </c:marker>
          <c:dLbls>
            <c:dLbl>
              <c:idx val="0"/>
              <c:layout>
                <c:manualLayout>
                  <c:x val="-6.2639695754205624E-2"/>
                  <c:y val="-5.8150642397918263E-2"/>
                </c:manualLayout>
              </c:layout>
              <c:dLblPos val="r"/>
              <c:showLegendKey val="0"/>
              <c:showVal val="1"/>
              <c:showCatName val="0"/>
              <c:showSerName val="0"/>
              <c:showPercent val="0"/>
              <c:showBubbleSize val="0"/>
            </c:dLbl>
            <c:dLbl>
              <c:idx val="1"/>
              <c:layout>
                <c:manualLayout>
                  <c:x val="-4.3024897330595391E-2"/>
                  <c:y val="-5.5395786677747333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Calibri"/>
                    <a:ea typeface="Calibri"/>
                    <a:cs typeface="Calibri"/>
                  </a:defRPr>
                </a:pPr>
                <a:endParaRPr lang="ja-JP"/>
              </a:p>
            </c:txPr>
            <c:showLegendKey val="0"/>
            <c:showVal val="1"/>
            <c:showCatName val="0"/>
            <c:showSerName val="0"/>
            <c:showPercent val="0"/>
            <c:showBubbleSize val="0"/>
            <c:showLeaderLines val="0"/>
          </c:dLbls>
          <c:cat>
            <c:numRef>
              <c:f>'2014主要経済指標'!$M$202:$N$202</c:f>
              <c:numCache>
                <c:formatCode>yyyy"年"m"月";@</c:formatCode>
                <c:ptCount val="2"/>
                <c:pt idx="0">
                  <c:v>41518</c:v>
                </c:pt>
                <c:pt idx="1">
                  <c:v>41883</c:v>
                </c:pt>
              </c:numCache>
            </c:numRef>
          </c:cat>
          <c:val>
            <c:numRef>
              <c:f>'2014主要経済指標'!$M$206:$N$206</c:f>
              <c:numCache>
                <c:formatCode>0.0%</c:formatCode>
                <c:ptCount val="2"/>
                <c:pt idx="0">
                  <c:v>-3.7999999999999999E-2</c:v>
                </c:pt>
                <c:pt idx="1">
                  <c:v>-4.3000000000000003E-2</c:v>
                </c:pt>
              </c:numCache>
            </c:numRef>
          </c:val>
          <c:smooth val="0"/>
        </c:ser>
        <c:dLbls>
          <c:showLegendKey val="0"/>
          <c:showVal val="0"/>
          <c:showCatName val="0"/>
          <c:showSerName val="0"/>
          <c:showPercent val="0"/>
          <c:showBubbleSize val="0"/>
        </c:dLbls>
        <c:marker val="1"/>
        <c:smooth val="0"/>
        <c:axId val="94081792"/>
        <c:axId val="94083328"/>
      </c:lineChart>
      <c:catAx>
        <c:axId val="94061696"/>
        <c:scaling>
          <c:orientation val="minMax"/>
        </c:scaling>
        <c:delete val="0"/>
        <c:axPos val="b"/>
        <c:numFmt formatCode="yyyy&quot;年&quot;m&quot;月&quot;;@" sourceLinked="1"/>
        <c:majorTickMark val="in"/>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94063232"/>
        <c:crossesAt val="0"/>
        <c:auto val="0"/>
        <c:lblAlgn val="ctr"/>
        <c:lblOffset val="100"/>
        <c:tickMarkSkip val="1"/>
        <c:noMultiLvlLbl val="0"/>
      </c:catAx>
      <c:valAx>
        <c:axId val="94063232"/>
        <c:scaling>
          <c:orientation val="minMax"/>
          <c:min val="-1000000"/>
        </c:scaling>
        <c:delete val="0"/>
        <c:axPos val="l"/>
        <c:majorGridlines>
          <c:spPr>
            <a:ln w="3175">
              <a:solidFill>
                <a:srgbClr val="000000"/>
              </a:solidFill>
              <a:prstDash val="sysDash"/>
            </a:ln>
          </c:spPr>
        </c:majorGridlines>
        <c:title>
          <c:tx>
            <c:rich>
              <a:bodyPr rot="0" vert="horz"/>
              <a:lstStyle/>
              <a:p>
                <a:pPr algn="ctr">
                  <a:defRPr sz="800" b="0" i="0" u="none" strike="noStrike" baseline="0">
                    <a:solidFill>
                      <a:srgbClr val="000000"/>
                    </a:solidFill>
                    <a:latin typeface="ＭＳ Ｐゴシック"/>
                    <a:ea typeface="ＭＳ Ｐゴシック"/>
                    <a:cs typeface="ＭＳ Ｐゴシック"/>
                  </a:defRPr>
                </a:pPr>
                <a:r>
                  <a:rPr lang="en-US" altLang="ja-JP" sz="800" b="0" i="0" u="none" strike="noStrike" baseline="0">
                    <a:solidFill>
                      <a:srgbClr val="000000"/>
                    </a:solidFill>
                    <a:latin typeface="ＭＳ Ｐゴシック"/>
                    <a:ea typeface="ＭＳ Ｐゴシック"/>
                  </a:rPr>
                  <a:t>(</a:t>
                </a:r>
                <a:r>
                  <a:rPr lang="ja-JP" altLang="en-US" sz="800" b="0" i="0" u="none" strike="noStrike" baseline="0">
                    <a:solidFill>
                      <a:srgbClr val="000000"/>
                    </a:solidFill>
                    <a:latin typeface="ＭＳ Ｐゴシック"/>
                    <a:ea typeface="ＭＳ Ｐゴシック"/>
                  </a:rPr>
                  <a:t>百万コロン）</a:t>
                </a:r>
              </a:p>
            </c:rich>
          </c:tx>
          <c:layout>
            <c:manualLayout>
              <c:xMode val="edge"/>
              <c:yMode val="edge"/>
              <c:x val="3.8966737234231504E-2"/>
              <c:y val="1.84487526325159E-2"/>
            </c:manualLayout>
          </c:layout>
          <c:overlay val="0"/>
          <c:spPr>
            <a:noFill/>
            <a:ln w="25400">
              <a:noFill/>
            </a:ln>
          </c:spPr>
        </c:title>
        <c:numFmt formatCode="#,##0_);[Red]\(#,##0\)" sourceLinked="0"/>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ja-JP"/>
          </a:p>
        </c:txPr>
        <c:crossAx val="94061696"/>
        <c:crosses val="autoZero"/>
        <c:crossBetween val="between"/>
        <c:majorUnit val="500000"/>
      </c:valAx>
      <c:dateAx>
        <c:axId val="94081792"/>
        <c:scaling>
          <c:orientation val="minMax"/>
        </c:scaling>
        <c:delete val="1"/>
        <c:axPos val="t"/>
        <c:numFmt formatCode="yyyy&quot;年&quot;m&quot;月&quot;;@" sourceLinked="1"/>
        <c:majorTickMark val="out"/>
        <c:minorTickMark val="none"/>
        <c:tickLblPos val="none"/>
        <c:crossAx val="94083328"/>
        <c:crosses val="autoZero"/>
        <c:auto val="1"/>
        <c:lblOffset val="100"/>
        <c:baseTimeUnit val="years"/>
      </c:dateAx>
      <c:valAx>
        <c:axId val="94083328"/>
        <c:scaling>
          <c:orientation val="maxMin"/>
          <c:max val="5.0000000000000114E-3"/>
          <c:min val="-0.05"/>
        </c:scaling>
        <c:delete val="0"/>
        <c:axPos val="r"/>
        <c:title>
          <c:tx>
            <c:rich>
              <a:bodyPr rot="0" vert="horz"/>
              <a:lstStyle/>
              <a:p>
                <a:pPr>
                  <a:defRPr sz="900"/>
                </a:pPr>
                <a:r>
                  <a:rPr lang="ja-JP" altLang="en-US" sz="900"/>
                  <a:t>対</a:t>
                </a:r>
                <a:r>
                  <a:rPr lang="en-US" altLang="ja-JP" sz="900"/>
                  <a:t>GDP</a:t>
                </a:r>
                <a:r>
                  <a:rPr lang="ja-JP" altLang="en-US" sz="900"/>
                  <a:t>比</a:t>
                </a:r>
              </a:p>
            </c:rich>
          </c:tx>
          <c:layout>
            <c:manualLayout>
              <c:xMode val="edge"/>
              <c:yMode val="edge"/>
              <c:x val="0.83520892588046269"/>
              <c:y val="1.9024894615445796E-2"/>
            </c:manualLayout>
          </c:layout>
          <c:overlay val="0"/>
        </c:title>
        <c:numFmt formatCode="0.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ja-JP"/>
          </a:p>
        </c:txPr>
        <c:crossAx val="94081792"/>
        <c:crosses val="max"/>
        <c:crossBetween val="between"/>
        <c:majorUnit val="1.0000000000000005E-2"/>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ja-JP"/>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900" b="0" i="0" u="none" strike="noStrike" baseline="0">
                <a:solidFill>
                  <a:srgbClr val="000000"/>
                </a:solidFill>
                <a:latin typeface="ＭＳ Ｐゴシック"/>
                <a:ea typeface="ＭＳ Ｐゴシック"/>
                <a:cs typeface="ＭＳ Ｐゴシック"/>
              </a:defRPr>
            </a:pPr>
            <a:r>
              <a:rPr lang="ja-JP" altLang="en-US" sz="900" b="1" i="0" u="none" strike="noStrike" baseline="0">
                <a:solidFill>
                  <a:srgbClr val="000000"/>
                </a:solidFill>
                <a:latin typeface="ＭＳ Ｐゴシック"/>
                <a:ea typeface="ＭＳ Ｐゴシック"/>
              </a:rPr>
              <a:t>表</a:t>
            </a:r>
            <a:r>
              <a:rPr lang="en-US" altLang="ja-JP" sz="900" b="1" i="0" u="none" strike="noStrike" baseline="0">
                <a:solidFill>
                  <a:srgbClr val="000000"/>
                </a:solidFill>
                <a:latin typeface="ＭＳ Ｐゴシック"/>
                <a:ea typeface="ＭＳ Ｐゴシック"/>
              </a:rPr>
              <a:t>7</a:t>
            </a:r>
            <a:r>
              <a:rPr lang="ja-JP" altLang="en-US" sz="900" b="1" i="0" u="none" strike="noStrike" baseline="0">
                <a:solidFill>
                  <a:srgbClr val="000000"/>
                </a:solidFill>
                <a:latin typeface="ＭＳ Ｐゴシック"/>
                <a:ea typeface="ＭＳ Ｐゴシック"/>
              </a:rPr>
              <a:t>　財政収支</a:t>
            </a:r>
            <a:r>
              <a:rPr lang="en-US" altLang="ja-JP" sz="900" b="1" i="0" u="none" strike="noStrike" baseline="0">
                <a:solidFill>
                  <a:srgbClr val="000000"/>
                </a:solidFill>
                <a:latin typeface="ＭＳ Ｐゴシック"/>
                <a:ea typeface="ＭＳ Ｐゴシック"/>
              </a:rPr>
              <a:t>(</a:t>
            </a:r>
            <a:r>
              <a:rPr lang="ja-JP" altLang="en-US" sz="900" b="1" i="0" u="none" strike="noStrike" baseline="0">
                <a:solidFill>
                  <a:srgbClr val="000000"/>
                </a:solidFill>
                <a:latin typeface="ＭＳ Ｐゴシック"/>
                <a:ea typeface="ＭＳ Ｐゴシック"/>
              </a:rPr>
              <a:t>中央政府）</a:t>
            </a:r>
            <a:endParaRPr lang="en-US" altLang="ja-JP" sz="900" b="1" i="0" u="none" strike="noStrike" baseline="0">
              <a:solidFill>
                <a:srgbClr val="000000"/>
              </a:solidFill>
              <a:latin typeface="ＭＳ Ｐゴシック"/>
              <a:ea typeface="ＭＳ Ｐゴシック"/>
            </a:endParaRPr>
          </a:p>
          <a:p>
            <a:pPr algn="l">
              <a:defRPr sz="900" b="0" i="0" u="none" strike="noStrike" baseline="0">
                <a:solidFill>
                  <a:srgbClr val="000000"/>
                </a:solidFill>
                <a:latin typeface="ＭＳ Ｐゴシック"/>
                <a:ea typeface="ＭＳ Ｐゴシック"/>
                <a:cs typeface="ＭＳ Ｐゴシック"/>
              </a:defRPr>
            </a:pPr>
            <a:r>
              <a:rPr lang="ja-JP" altLang="en-US" sz="900" b="1" i="0" u="none" strike="noStrike" baseline="0">
                <a:solidFill>
                  <a:srgbClr val="000000"/>
                </a:solidFill>
                <a:latin typeface="ＭＳ Ｐゴシック"/>
                <a:ea typeface="ＭＳ Ｐゴシック"/>
              </a:rPr>
              <a:t>累計比較</a:t>
            </a:r>
          </a:p>
        </c:rich>
      </c:tx>
      <c:layout>
        <c:manualLayout>
          <c:xMode val="edge"/>
          <c:yMode val="edge"/>
          <c:x val="0.25462263857334039"/>
          <c:y val="1.6592554029919806E-3"/>
        </c:manualLayout>
      </c:layout>
      <c:overlay val="0"/>
      <c:spPr>
        <a:noFill/>
        <a:ln w="25400">
          <a:noFill/>
        </a:ln>
      </c:spPr>
    </c:title>
    <c:autoTitleDeleted val="0"/>
    <c:plotArea>
      <c:layout>
        <c:manualLayout>
          <c:layoutTarget val="inner"/>
          <c:xMode val="edge"/>
          <c:yMode val="edge"/>
          <c:x val="0.19134886692431866"/>
          <c:y val="0.13020090933195888"/>
          <c:w val="0.60514939185961669"/>
          <c:h val="0.58265451010056368"/>
        </c:manualLayout>
      </c:layout>
      <c:barChart>
        <c:barDir val="col"/>
        <c:grouping val="clustered"/>
        <c:varyColors val="0"/>
        <c:ser>
          <c:idx val="0"/>
          <c:order val="0"/>
          <c:tx>
            <c:strRef>
              <c:f>'2014主要経済指標'!$L$203</c:f>
              <c:strCache>
                <c:ptCount val="1"/>
                <c:pt idx="0">
                  <c:v>歳入</c:v>
                </c:pt>
              </c:strCache>
            </c:strRef>
          </c:tx>
          <c:spPr>
            <a:solidFill>
              <a:srgbClr val="99CCFF"/>
            </a:solidFill>
            <a:ln w="25400">
              <a:noFill/>
            </a:ln>
          </c:spPr>
          <c:invertIfNegative val="0"/>
          <c:cat>
            <c:numRef>
              <c:f>'2014主要経済指標'!$M$202:$N$202</c:f>
              <c:numCache>
                <c:formatCode>yyyy"年"m"月";@</c:formatCode>
                <c:ptCount val="2"/>
                <c:pt idx="0">
                  <c:v>41548</c:v>
                </c:pt>
                <c:pt idx="1">
                  <c:v>41913</c:v>
                </c:pt>
              </c:numCache>
            </c:numRef>
          </c:cat>
          <c:val>
            <c:numRef>
              <c:f>'2014主要経済指標'!$M$203:$N$203</c:f>
              <c:numCache>
                <c:formatCode>#,##0.0;[Red]\-#,##0.0</c:formatCode>
                <c:ptCount val="2"/>
                <c:pt idx="0">
                  <c:v>2771880.9691307181</c:v>
                </c:pt>
                <c:pt idx="1">
                  <c:v>2988353</c:v>
                </c:pt>
              </c:numCache>
            </c:numRef>
          </c:val>
        </c:ser>
        <c:ser>
          <c:idx val="1"/>
          <c:order val="1"/>
          <c:tx>
            <c:strRef>
              <c:f>'2014主要経済指標'!$L$204</c:f>
              <c:strCache>
                <c:ptCount val="1"/>
                <c:pt idx="0">
                  <c:v>歳出</c:v>
                </c:pt>
              </c:strCache>
            </c:strRef>
          </c:tx>
          <c:spPr>
            <a:solidFill>
              <a:srgbClr val="CC99FF"/>
            </a:solidFill>
            <a:ln w="25400">
              <a:noFill/>
            </a:ln>
          </c:spPr>
          <c:invertIfNegative val="0"/>
          <c:cat>
            <c:numRef>
              <c:f>'2014主要経済指標'!$M$202:$N$202</c:f>
              <c:numCache>
                <c:formatCode>yyyy"年"m"月";@</c:formatCode>
                <c:ptCount val="2"/>
                <c:pt idx="0">
                  <c:v>41548</c:v>
                </c:pt>
                <c:pt idx="1">
                  <c:v>41913</c:v>
                </c:pt>
              </c:numCache>
            </c:numRef>
          </c:cat>
          <c:val>
            <c:numRef>
              <c:f>'2014主要経済指標'!$M$204:$N$204</c:f>
              <c:numCache>
                <c:formatCode>#,##0.0;[Red]\-#,##0.0</c:formatCode>
                <c:ptCount val="2"/>
                <c:pt idx="0">
                  <c:v>3793765.7040916095</c:v>
                </c:pt>
                <c:pt idx="1">
                  <c:v>4187694</c:v>
                </c:pt>
              </c:numCache>
            </c:numRef>
          </c:val>
        </c:ser>
        <c:ser>
          <c:idx val="2"/>
          <c:order val="2"/>
          <c:tx>
            <c:strRef>
              <c:f>'2014主要経済指標'!$L$205</c:f>
              <c:strCache>
                <c:ptCount val="1"/>
                <c:pt idx="0">
                  <c:v>財政収支</c:v>
                </c:pt>
              </c:strCache>
            </c:strRef>
          </c:tx>
          <c:spPr>
            <a:solidFill>
              <a:srgbClr val="800000"/>
            </a:solidFill>
            <a:ln w="25400">
              <a:noFill/>
            </a:ln>
          </c:spPr>
          <c:invertIfNegative val="0"/>
          <c:cat>
            <c:numRef>
              <c:f>'2014主要経済指標'!$M$202:$N$202</c:f>
              <c:numCache>
                <c:formatCode>yyyy"年"m"月";@</c:formatCode>
                <c:ptCount val="2"/>
                <c:pt idx="0">
                  <c:v>41548</c:v>
                </c:pt>
                <c:pt idx="1">
                  <c:v>41913</c:v>
                </c:pt>
              </c:numCache>
            </c:numRef>
          </c:cat>
          <c:val>
            <c:numRef>
              <c:f>'2014主要経済指標'!$M$205:$N$205</c:f>
              <c:numCache>
                <c:formatCode>#,##0.0;[Red]\-#,##0.0</c:formatCode>
                <c:ptCount val="2"/>
                <c:pt idx="0">
                  <c:v>-1021884.7349608896</c:v>
                </c:pt>
                <c:pt idx="1">
                  <c:v>-1199341</c:v>
                </c:pt>
              </c:numCache>
            </c:numRef>
          </c:val>
        </c:ser>
        <c:dLbls>
          <c:showLegendKey val="0"/>
          <c:showVal val="0"/>
          <c:showCatName val="0"/>
          <c:showSerName val="0"/>
          <c:showPercent val="0"/>
          <c:showBubbleSize val="0"/>
        </c:dLbls>
        <c:gapWidth val="150"/>
        <c:axId val="93830528"/>
        <c:axId val="93832320"/>
      </c:barChart>
      <c:lineChart>
        <c:grouping val="standard"/>
        <c:varyColors val="0"/>
        <c:ser>
          <c:idx val="3"/>
          <c:order val="3"/>
          <c:tx>
            <c:strRef>
              <c:f>'2014主要経済指標'!$L$206</c:f>
              <c:strCache>
                <c:ptCount val="1"/>
                <c:pt idx="0">
                  <c:v>対GDP比</c:v>
                </c:pt>
              </c:strCache>
            </c:strRef>
          </c:tx>
          <c:spPr>
            <a:ln w="25400">
              <a:solidFill>
                <a:srgbClr val="333399"/>
              </a:solidFill>
              <a:prstDash val="solid"/>
            </a:ln>
          </c:spPr>
          <c:marker>
            <c:symbol val="circle"/>
            <c:size val="7"/>
            <c:spPr>
              <a:solidFill>
                <a:srgbClr val="333399"/>
              </a:solidFill>
              <a:ln>
                <a:solidFill>
                  <a:srgbClr val="333399"/>
                </a:solidFill>
                <a:prstDash val="solid"/>
              </a:ln>
            </c:spPr>
          </c:marker>
          <c:dLbls>
            <c:dLbl>
              <c:idx val="0"/>
              <c:layout>
                <c:manualLayout>
                  <c:x val="-6.2639695754205624E-2"/>
                  <c:y val="-5.8150642397918263E-2"/>
                </c:manualLayout>
              </c:layout>
              <c:dLblPos val="r"/>
              <c:showLegendKey val="0"/>
              <c:showVal val="1"/>
              <c:showCatName val="0"/>
              <c:showSerName val="0"/>
              <c:showPercent val="0"/>
              <c:showBubbleSize val="0"/>
            </c:dLbl>
            <c:dLbl>
              <c:idx val="1"/>
              <c:layout>
                <c:manualLayout>
                  <c:x val="-4.3024897330595391E-2"/>
                  <c:y val="-5.5395786677747333E-2"/>
                </c:manualLayout>
              </c:layou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Calibri"/>
                    <a:ea typeface="Calibri"/>
                    <a:cs typeface="Calibri"/>
                  </a:defRPr>
                </a:pPr>
                <a:endParaRPr lang="ja-JP"/>
              </a:p>
            </c:txPr>
            <c:showLegendKey val="0"/>
            <c:showVal val="1"/>
            <c:showCatName val="0"/>
            <c:showSerName val="0"/>
            <c:showPercent val="0"/>
            <c:showBubbleSize val="0"/>
            <c:showLeaderLines val="0"/>
          </c:dLbls>
          <c:cat>
            <c:numRef>
              <c:f>'2014主要経済指標'!$M$202:$N$202</c:f>
              <c:numCache>
                <c:formatCode>yyyy"年"m"月";@</c:formatCode>
                <c:ptCount val="2"/>
                <c:pt idx="0">
                  <c:v>41548</c:v>
                </c:pt>
                <c:pt idx="1">
                  <c:v>41913</c:v>
                </c:pt>
              </c:numCache>
            </c:numRef>
          </c:cat>
          <c:val>
            <c:numRef>
              <c:f>'2014主要経済指標'!$M$206:$N$206</c:f>
              <c:numCache>
                <c:formatCode>0.0%</c:formatCode>
                <c:ptCount val="2"/>
                <c:pt idx="0">
                  <c:v>-4.1000000000000002E-2</c:v>
                </c:pt>
                <c:pt idx="1">
                  <c:v>-4.8000000000000001E-2</c:v>
                </c:pt>
              </c:numCache>
            </c:numRef>
          </c:val>
          <c:smooth val="0"/>
        </c:ser>
        <c:dLbls>
          <c:showLegendKey val="0"/>
          <c:showVal val="0"/>
          <c:showCatName val="0"/>
          <c:showSerName val="0"/>
          <c:showPercent val="0"/>
          <c:showBubbleSize val="0"/>
        </c:dLbls>
        <c:marker val="1"/>
        <c:smooth val="0"/>
        <c:axId val="93834240"/>
        <c:axId val="93840128"/>
      </c:lineChart>
      <c:catAx>
        <c:axId val="93830528"/>
        <c:scaling>
          <c:orientation val="minMax"/>
        </c:scaling>
        <c:delete val="0"/>
        <c:axPos val="b"/>
        <c:numFmt formatCode="yyyy&quot;年&quot;m&quot;月&quot;;@" sourceLinked="1"/>
        <c:majorTickMark val="in"/>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93832320"/>
        <c:crosses val="autoZero"/>
        <c:auto val="0"/>
        <c:lblAlgn val="ctr"/>
        <c:lblOffset val="100"/>
        <c:tickMarkSkip val="1"/>
        <c:noMultiLvlLbl val="0"/>
      </c:catAx>
      <c:valAx>
        <c:axId val="93832320"/>
        <c:scaling>
          <c:orientation val="minMax"/>
          <c:min val="-1000000"/>
        </c:scaling>
        <c:delete val="0"/>
        <c:axPos val="l"/>
        <c:majorGridlines>
          <c:spPr>
            <a:ln w="3175">
              <a:solidFill>
                <a:srgbClr val="000000"/>
              </a:solidFill>
              <a:prstDash val="sysDash"/>
            </a:ln>
          </c:spPr>
        </c:majorGridlines>
        <c:title>
          <c:tx>
            <c:rich>
              <a:bodyPr rot="0" vert="horz"/>
              <a:lstStyle/>
              <a:p>
                <a:pPr algn="ctr">
                  <a:defRPr sz="800" b="0" i="0" u="none" strike="noStrike" baseline="0">
                    <a:solidFill>
                      <a:srgbClr val="000000"/>
                    </a:solidFill>
                    <a:latin typeface="ＭＳ Ｐゴシック"/>
                    <a:ea typeface="ＭＳ Ｐゴシック"/>
                    <a:cs typeface="ＭＳ Ｐゴシック"/>
                  </a:defRPr>
                </a:pPr>
                <a:r>
                  <a:rPr lang="en-US" altLang="ja-JP" sz="800" b="0" i="0" u="none" strike="noStrike" baseline="0">
                    <a:solidFill>
                      <a:srgbClr val="000000"/>
                    </a:solidFill>
                    <a:latin typeface="ＭＳ Ｐゴシック"/>
                    <a:ea typeface="ＭＳ Ｐゴシック"/>
                  </a:rPr>
                  <a:t>(</a:t>
                </a:r>
                <a:r>
                  <a:rPr lang="ja-JP" altLang="en-US" sz="800" b="0" i="0" u="none" strike="noStrike" baseline="0">
                    <a:solidFill>
                      <a:srgbClr val="000000"/>
                    </a:solidFill>
                    <a:latin typeface="ＭＳ Ｐゴシック"/>
                    <a:ea typeface="ＭＳ Ｐゴシック"/>
                  </a:rPr>
                  <a:t>百万コロン）</a:t>
                </a:r>
              </a:p>
            </c:rich>
          </c:tx>
          <c:layout>
            <c:manualLayout>
              <c:xMode val="edge"/>
              <c:yMode val="edge"/>
              <c:x val="3.8966737234231504E-2"/>
              <c:y val="1.84487526325159E-2"/>
            </c:manualLayout>
          </c:layout>
          <c:overlay val="0"/>
          <c:spPr>
            <a:noFill/>
            <a:ln w="25400">
              <a:noFill/>
            </a:ln>
          </c:spPr>
        </c:title>
        <c:numFmt formatCode="#,##0_);[Red]\(#,##0\)" sourceLinked="0"/>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ja-JP"/>
          </a:p>
        </c:txPr>
        <c:crossAx val="93830528"/>
        <c:crosses val="autoZero"/>
        <c:crossBetween val="between"/>
        <c:majorUnit val="500000"/>
      </c:valAx>
      <c:dateAx>
        <c:axId val="93834240"/>
        <c:scaling>
          <c:orientation val="minMax"/>
        </c:scaling>
        <c:delete val="1"/>
        <c:axPos val="t"/>
        <c:numFmt formatCode="yyyy&quot;年&quot;m&quot;月&quot;;@" sourceLinked="1"/>
        <c:majorTickMark val="out"/>
        <c:minorTickMark val="none"/>
        <c:tickLblPos val="none"/>
        <c:crossAx val="93840128"/>
        <c:crosses val="autoZero"/>
        <c:auto val="1"/>
        <c:lblOffset val="100"/>
        <c:baseTimeUnit val="years"/>
      </c:dateAx>
      <c:valAx>
        <c:axId val="93840128"/>
        <c:scaling>
          <c:orientation val="maxMin"/>
          <c:max val="5.0000000000000114E-3"/>
          <c:min val="-0.05"/>
        </c:scaling>
        <c:delete val="0"/>
        <c:axPos val="r"/>
        <c:title>
          <c:tx>
            <c:rich>
              <a:bodyPr rot="0" vert="horz"/>
              <a:lstStyle/>
              <a:p>
                <a:pPr>
                  <a:defRPr sz="900"/>
                </a:pPr>
                <a:r>
                  <a:rPr lang="ja-JP" altLang="en-US" sz="900"/>
                  <a:t>対</a:t>
                </a:r>
                <a:r>
                  <a:rPr lang="en-US" altLang="ja-JP" sz="900"/>
                  <a:t>GDP</a:t>
                </a:r>
                <a:r>
                  <a:rPr lang="ja-JP" altLang="en-US" sz="900"/>
                  <a:t>比</a:t>
                </a:r>
              </a:p>
            </c:rich>
          </c:tx>
          <c:layout>
            <c:manualLayout>
              <c:xMode val="edge"/>
              <c:yMode val="edge"/>
              <c:x val="0.82869544468996714"/>
              <c:y val="2.2466323940912344E-2"/>
            </c:manualLayout>
          </c:layout>
          <c:overlay val="0"/>
        </c:title>
        <c:numFmt formatCode="0.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ja-JP"/>
          </a:p>
        </c:txPr>
        <c:crossAx val="93834240"/>
        <c:crosses val="max"/>
        <c:crossBetween val="between"/>
        <c:majorUnit val="1.0000000000000005E-2"/>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ja-JP"/>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a:t>表</a:t>
            </a:r>
            <a:r>
              <a:rPr lang="en-US" altLang="ja-JP" sz="1100"/>
              <a:t>8</a:t>
            </a:r>
            <a:r>
              <a:rPr lang="ja-JP" altLang="en-US" sz="1100"/>
              <a:t>　消費者物価指数</a:t>
            </a:r>
            <a:r>
              <a:rPr lang="en-US" altLang="ja-JP" sz="1100"/>
              <a:t>(</a:t>
            </a:r>
            <a:r>
              <a:rPr lang="ja-JP" altLang="en-US" sz="1100"/>
              <a:t>月間累計</a:t>
            </a:r>
            <a:r>
              <a:rPr lang="en-US" altLang="ja-JP" sz="1100"/>
              <a:t>)</a:t>
            </a:r>
            <a:endParaRPr lang="ja-JP" altLang="en-US" sz="1100"/>
          </a:p>
        </c:rich>
      </c:tx>
      <c:layout/>
      <c:overlay val="0"/>
    </c:title>
    <c:autoTitleDeleted val="0"/>
    <c:plotArea>
      <c:layout/>
      <c:lineChart>
        <c:grouping val="standard"/>
        <c:varyColors val="0"/>
        <c:ser>
          <c:idx val="0"/>
          <c:order val="0"/>
          <c:tx>
            <c:strRef>
              <c:f>Hoja1!$J$18</c:f>
              <c:strCache>
                <c:ptCount val="1"/>
                <c:pt idx="0">
                  <c:v>2013</c:v>
                </c:pt>
              </c:strCache>
            </c:strRef>
          </c:tx>
          <c:dLbls>
            <c:dLbl>
              <c:idx val="0"/>
              <c:layout>
                <c:manualLayout>
                  <c:x val="-3.968253968253968E-2"/>
                  <c:y val="-0.05"/>
                </c:manualLayout>
              </c:layout>
              <c:showLegendKey val="0"/>
              <c:showVal val="1"/>
              <c:showCatName val="0"/>
              <c:showSerName val="0"/>
              <c:showPercent val="0"/>
              <c:showBubbleSize val="0"/>
            </c:dLbl>
            <c:dLbl>
              <c:idx val="1"/>
              <c:layout>
                <c:manualLayout>
                  <c:x val="-4.7619047619047616E-2"/>
                  <c:y val="-3.888888888888889E-2"/>
                </c:manualLayout>
              </c:layout>
              <c:showLegendKey val="0"/>
              <c:showVal val="1"/>
              <c:showCatName val="0"/>
              <c:showSerName val="0"/>
              <c:showPercent val="0"/>
              <c:showBubbleSize val="0"/>
            </c:dLbl>
            <c:dLbl>
              <c:idx val="2"/>
              <c:layout>
                <c:manualLayout>
                  <c:x val="-4.4973544973544971E-2"/>
                  <c:y val="-3.3333333333333333E-2"/>
                </c:manualLayout>
              </c:layout>
              <c:showLegendKey val="0"/>
              <c:showVal val="1"/>
              <c:showCatName val="0"/>
              <c:showSerName val="0"/>
              <c:showPercent val="0"/>
              <c:showBubbleSize val="0"/>
            </c:dLbl>
            <c:dLbl>
              <c:idx val="3"/>
              <c:layout>
                <c:manualLayout>
                  <c:x val="-3.9682539682539632E-2"/>
                  <c:y val="-7.2222222222222215E-2"/>
                </c:manualLayout>
              </c:layout>
              <c:showLegendKey val="0"/>
              <c:showVal val="1"/>
              <c:showCatName val="0"/>
              <c:showSerName val="0"/>
              <c:showPercent val="0"/>
              <c:showBubbleSize val="0"/>
            </c:dLbl>
            <c:txPr>
              <a:bodyPr/>
              <a:lstStyle/>
              <a:p>
                <a:pPr>
                  <a:defRPr sz="800" b="0" i="0"/>
                </a:pPr>
                <a:endParaRPr lang="ja-JP"/>
              </a:p>
            </c:txPr>
            <c:showLegendKey val="0"/>
            <c:showVal val="1"/>
            <c:showCatName val="0"/>
            <c:showSerName val="0"/>
            <c:showPercent val="0"/>
            <c:showBubbleSize val="0"/>
            <c:showLeaderLines val="0"/>
          </c:dLbls>
          <c:cat>
            <c:strRef>
              <c:f>Hoja1!$I$19:$I$30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Hoja1!$J$19:$J$30</c:f>
              <c:numCache>
                <c:formatCode>General</c:formatCode>
                <c:ptCount val="12"/>
                <c:pt idx="0">
                  <c:v>1.31</c:v>
                </c:pt>
                <c:pt idx="1">
                  <c:v>2.34</c:v>
                </c:pt>
                <c:pt idx="2">
                  <c:v>2.46</c:v>
                </c:pt>
                <c:pt idx="3">
                  <c:v>3.2</c:v>
                </c:pt>
                <c:pt idx="4">
                  <c:v>3.22</c:v>
                </c:pt>
                <c:pt idx="5">
                  <c:v>3.24</c:v>
                </c:pt>
                <c:pt idx="6">
                  <c:v>3.59</c:v>
                </c:pt>
                <c:pt idx="7">
                  <c:v>3.64</c:v>
                </c:pt>
                <c:pt idx="8">
                  <c:v>3.77</c:v>
                </c:pt>
                <c:pt idx="9">
                  <c:v>2.98</c:v>
                </c:pt>
                <c:pt idx="10">
                  <c:v>3.16</c:v>
                </c:pt>
                <c:pt idx="11">
                  <c:v>3.68</c:v>
                </c:pt>
              </c:numCache>
            </c:numRef>
          </c:val>
          <c:smooth val="0"/>
        </c:ser>
        <c:ser>
          <c:idx val="1"/>
          <c:order val="1"/>
          <c:tx>
            <c:strRef>
              <c:f>Hoja1!$K$18</c:f>
              <c:strCache>
                <c:ptCount val="1"/>
                <c:pt idx="0">
                  <c:v>2014</c:v>
                </c:pt>
              </c:strCache>
            </c:strRef>
          </c:tx>
          <c:dLbls>
            <c:dLbl>
              <c:idx val="3"/>
              <c:layout>
                <c:manualLayout>
                  <c:x val="-2.6455026455026405E-2"/>
                  <c:y val="5.5555555555555552E-2"/>
                </c:manualLayout>
              </c:layout>
              <c:showLegendKey val="0"/>
              <c:showVal val="1"/>
              <c:showCatName val="0"/>
              <c:showSerName val="0"/>
              <c:showPercent val="0"/>
              <c:showBubbleSize val="0"/>
            </c:dLbl>
            <c:dLbl>
              <c:idx val="5"/>
              <c:layout>
                <c:manualLayout>
                  <c:x val="0"/>
                  <c:y val="-6.6666666666666721E-2"/>
                </c:manualLayout>
              </c:layout>
              <c:showLegendKey val="0"/>
              <c:showVal val="1"/>
              <c:showCatName val="0"/>
              <c:showSerName val="0"/>
              <c:showPercent val="0"/>
              <c:showBubbleSize val="0"/>
            </c:dLbl>
            <c:dLbl>
              <c:idx val="6"/>
              <c:layout>
                <c:manualLayout>
                  <c:x val="-7.9365079365079361E-3"/>
                  <c:y val="-6.6666666666666666E-2"/>
                </c:manualLayout>
              </c:layout>
              <c:showLegendKey val="0"/>
              <c:showVal val="1"/>
              <c:showCatName val="0"/>
              <c:showSerName val="0"/>
              <c:showPercent val="0"/>
              <c:showBubbleSize val="0"/>
            </c:dLbl>
            <c:dLbl>
              <c:idx val="8"/>
              <c:layout>
                <c:manualLayout>
                  <c:x val="7.9365079365079361E-3"/>
                  <c:y val="0"/>
                </c:manualLayout>
              </c:layout>
              <c:showLegendKey val="0"/>
              <c:showVal val="1"/>
              <c:showCatName val="0"/>
              <c:showSerName val="0"/>
              <c:showPercent val="0"/>
              <c:showBubbleSize val="0"/>
            </c:dLbl>
            <c:txPr>
              <a:bodyPr/>
              <a:lstStyle/>
              <a:p>
                <a:pPr>
                  <a:defRPr sz="800" b="1" i="1"/>
                </a:pPr>
                <a:endParaRPr lang="ja-JP"/>
              </a:p>
            </c:txPr>
            <c:showLegendKey val="0"/>
            <c:showVal val="1"/>
            <c:showCatName val="0"/>
            <c:showSerName val="0"/>
            <c:showPercent val="0"/>
            <c:showBubbleSize val="0"/>
            <c:showLeaderLines val="0"/>
          </c:dLbls>
          <c:cat>
            <c:strRef>
              <c:f>Hoja1!$I$19:$I$30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Hoja1!$K$19:$K$30</c:f>
              <c:numCache>
                <c:formatCode>#,##0.00</c:formatCode>
                <c:ptCount val="12"/>
                <c:pt idx="0">
                  <c:v>0.74897884000000048</c:v>
                </c:pt>
                <c:pt idx="1">
                  <c:v>1.41718082</c:v>
                </c:pt>
                <c:pt idx="2">
                  <c:v>2.0409396900000001</c:v>
                </c:pt>
                <c:pt idx="3">
                  <c:v>3.2043793000000012</c:v>
                </c:pt>
                <c:pt idx="4">
                  <c:v>3.7491359500000012</c:v>
                </c:pt>
                <c:pt idx="5">
                  <c:v>4.1448859599999928</c:v>
                </c:pt>
                <c:pt idx="6">
                  <c:v>5.0943295499999968</c:v>
                </c:pt>
                <c:pt idx="7">
                  <c:v>5.4432577499999999</c:v>
                </c:pt>
                <c:pt idx="8">
                  <c:v>5.298234919999997</c:v>
                </c:pt>
                <c:pt idx="9">
                  <c:v>4.9932946200000004</c:v>
                </c:pt>
              </c:numCache>
            </c:numRef>
          </c:val>
          <c:smooth val="0"/>
        </c:ser>
        <c:dLbls>
          <c:showLegendKey val="0"/>
          <c:showVal val="0"/>
          <c:showCatName val="0"/>
          <c:showSerName val="0"/>
          <c:showPercent val="0"/>
          <c:showBubbleSize val="0"/>
        </c:dLbls>
        <c:hiLowLines/>
        <c:marker val="1"/>
        <c:smooth val="0"/>
        <c:axId val="106144128"/>
        <c:axId val="106145664"/>
      </c:lineChart>
      <c:catAx>
        <c:axId val="106144128"/>
        <c:scaling>
          <c:orientation val="minMax"/>
        </c:scaling>
        <c:delete val="0"/>
        <c:axPos val="b"/>
        <c:majorTickMark val="none"/>
        <c:minorTickMark val="none"/>
        <c:tickLblPos val="nextTo"/>
        <c:txPr>
          <a:bodyPr/>
          <a:lstStyle/>
          <a:p>
            <a:pPr>
              <a:defRPr sz="900"/>
            </a:pPr>
            <a:endParaRPr lang="ja-JP"/>
          </a:p>
        </c:txPr>
        <c:crossAx val="106145664"/>
        <c:crosses val="autoZero"/>
        <c:auto val="1"/>
        <c:lblAlgn val="ctr"/>
        <c:lblOffset val="100"/>
        <c:noMultiLvlLbl val="0"/>
      </c:catAx>
      <c:valAx>
        <c:axId val="106145664"/>
        <c:scaling>
          <c:orientation val="minMax"/>
        </c:scaling>
        <c:delete val="0"/>
        <c:axPos val="l"/>
        <c:majorGridlines/>
        <c:title>
          <c:tx>
            <c:rich>
              <a:bodyPr rot="0" vert="horz"/>
              <a:lstStyle/>
              <a:p>
                <a:pPr>
                  <a:defRPr b="0"/>
                </a:pPr>
                <a:r>
                  <a:rPr lang="en-US" altLang="ja-JP" b="0"/>
                  <a:t>(</a:t>
                </a:r>
                <a:r>
                  <a:rPr lang="ja-JP" altLang="en-US" b="0"/>
                  <a:t>％</a:t>
                </a:r>
                <a:r>
                  <a:rPr lang="en-US" altLang="ja-JP" b="0"/>
                  <a:t>)</a:t>
                </a:r>
                <a:endParaRPr lang="ja-JP" altLang="en-US" b="0"/>
              </a:p>
            </c:rich>
          </c:tx>
          <c:layout>
            <c:manualLayout>
              <c:xMode val="edge"/>
              <c:yMode val="edge"/>
              <c:x val="6.8429154688997212E-2"/>
              <c:y val="5.0553368328958889E-2"/>
            </c:manualLayout>
          </c:layout>
          <c:overlay val="0"/>
        </c:title>
        <c:numFmt formatCode="General" sourceLinked="1"/>
        <c:majorTickMark val="out"/>
        <c:minorTickMark val="none"/>
        <c:tickLblPos val="nextTo"/>
        <c:crossAx val="106144128"/>
        <c:crosses val="autoZero"/>
        <c:crossBetween val="between"/>
      </c:valAx>
    </c:plotArea>
    <c:legend>
      <c:legendPos val="r"/>
      <c:legendEntry>
        <c:idx val="0"/>
        <c:txPr>
          <a:bodyPr/>
          <a:lstStyle/>
          <a:p>
            <a:pPr>
              <a:defRPr b="0" i="0"/>
            </a:pPr>
            <a:endParaRPr lang="ja-JP"/>
          </a:p>
        </c:txPr>
      </c:legendEntry>
      <c:legendEntry>
        <c:idx val="1"/>
        <c:txPr>
          <a:bodyPr/>
          <a:lstStyle/>
          <a:p>
            <a:pPr>
              <a:defRPr b="1" i="1"/>
            </a:pPr>
            <a:endParaRPr lang="ja-JP"/>
          </a:p>
        </c:txPr>
      </c:legendEntry>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sz="1100"/>
              <a:t>表</a:t>
            </a:r>
            <a:r>
              <a:rPr lang="en-US" altLang="ja-JP" sz="1100"/>
              <a:t>9</a:t>
            </a:r>
            <a:r>
              <a:rPr lang="ja-JP" altLang="en-US" sz="1100"/>
              <a:t>　消費者物価指数</a:t>
            </a:r>
            <a:r>
              <a:rPr lang="en-US" altLang="ja-JP" sz="1100"/>
              <a:t>(</a:t>
            </a:r>
            <a:r>
              <a:rPr lang="ja-JP" altLang="en-US" sz="1100"/>
              <a:t>年率換算</a:t>
            </a:r>
            <a:r>
              <a:rPr lang="en-US" altLang="ja-JP" sz="1100"/>
              <a:t>)</a:t>
            </a:r>
            <a:endParaRPr lang="ja-JP" altLang="en-US" sz="1100"/>
          </a:p>
        </c:rich>
      </c:tx>
      <c:layout/>
      <c:overlay val="0"/>
    </c:title>
    <c:autoTitleDeleted val="0"/>
    <c:plotArea>
      <c:layout/>
      <c:lineChart>
        <c:grouping val="standard"/>
        <c:varyColors val="0"/>
        <c:ser>
          <c:idx val="0"/>
          <c:order val="0"/>
          <c:tx>
            <c:strRef>
              <c:f>Hoja1!$G$5</c:f>
              <c:strCache>
                <c:ptCount val="1"/>
                <c:pt idx="0">
                  <c:v>2013年</c:v>
                </c:pt>
              </c:strCache>
            </c:strRef>
          </c:tx>
          <c:dLbls>
            <c:dLbl>
              <c:idx val="0"/>
              <c:layout>
                <c:manualLayout>
                  <c:x val="-5.2916828019448567E-2"/>
                  <c:y val="-4.9886621315193003E-2"/>
                </c:manualLayout>
              </c:layout>
              <c:dLblPos val="r"/>
              <c:showLegendKey val="0"/>
              <c:showVal val="1"/>
              <c:showCatName val="0"/>
              <c:showSerName val="0"/>
              <c:showPercent val="0"/>
              <c:showBubbleSize val="0"/>
            </c:dLbl>
            <c:dLbl>
              <c:idx val="1"/>
              <c:layout>
                <c:manualLayout>
                  <c:x val="-5.0184587582289886E-2"/>
                  <c:y val="-4.0816326530612401E-2"/>
                </c:manualLayout>
              </c:layout>
              <c:dLblPos val="r"/>
              <c:showLegendKey val="0"/>
              <c:showVal val="1"/>
              <c:showCatName val="0"/>
              <c:showSerName val="0"/>
              <c:showPercent val="0"/>
              <c:showBubbleSize val="0"/>
            </c:dLbl>
            <c:dLbl>
              <c:idx val="2"/>
              <c:layout>
                <c:manualLayout>
                  <c:x val="-4.1987866270814446E-2"/>
                  <c:y val="-3.1746031746031744E-2"/>
                </c:manualLayout>
              </c:layout>
              <c:dLblPos val="r"/>
              <c:showLegendKey val="0"/>
              <c:showVal val="1"/>
              <c:showCatName val="0"/>
              <c:showSerName val="0"/>
              <c:showPercent val="0"/>
              <c:showBubbleSize val="0"/>
            </c:dLbl>
            <c:dLbl>
              <c:idx val="3"/>
              <c:layout>
                <c:manualLayout>
                  <c:x val="-4.1987866270814446E-2"/>
                  <c:y val="-2.7210884353741478E-2"/>
                </c:manualLayout>
              </c:layout>
              <c:dLblPos val="r"/>
              <c:showLegendKey val="0"/>
              <c:showVal val="1"/>
              <c:showCatName val="0"/>
              <c:showSerName val="0"/>
              <c:showPercent val="0"/>
              <c:showBubbleSize val="0"/>
            </c:dLbl>
            <c:dLbl>
              <c:idx val="4"/>
              <c:layout>
                <c:manualLayout>
                  <c:x val="-5.2916828019448567E-2"/>
                  <c:y val="3.6281179138322052E-2"/>
                </c:manualLayout>
              </c:layout>
              <c:dLblPos val="r"/>
              <c:showLegendKey val="0"/>
              <c:showVal val="1"/>
              <c:showCatName val="0"/>
              <c:showSerName val="0"/>
              <c:showPercent val="0"/>
              <c:showBubbleSize val="0"/>
            </c:dLbl>
            <c:dLbl>
              <c:idx val="5"/>
              <c:layout>
                <c:manualLayout>
                  <c:x val="-4.7452347145131635E-2"/>
                  <c:y val="-4.5351473922902598E-2"/>
                </c:manualLayout>
              </c:layout>
              <c:dLblPos val="r"/>
              <c:showLegendKey val="0"/>
              <c:showVal val="1"/>
              <c:showCatName val="0"/>
              <c:showSerName val="0"/>
              <c:showPercent val="0"/>
              <c:showBubbleSize val="0"/>
            </c:dLbl>
            <c:dLbl>
              <c:idx val="6"/>
              <c:layout>
                <c:manualLayout>
                  <c:x val="-5.0184587582289886E-2"/>
                  <c:y val="-4.0816326530612401E-2"/>
                </c:manualLayout>
              </c:layout>
              <c:dLblPos val="r"/>
              <c:showLegendKey val="0"/>
              <c:showVal val="1"/>
              <c:showCatName val="0"/>
              <c:showSerName val="0"/>
              <c:showPercent val="0"/>
              <c:showBubbleSize val="0"/>
            </c:dLbl>
            <c:dLbl>
              <c:idx val="7"/>
              <c:layout>
                <c:manualLayout>
                  <c:x val="-5.0184587582289886E-2"/>
                  <c:y val="-4.0816326530612401E-2"/>
                </c:manualLayout>
              </c:layout>
              <c:dLblPos val="r"/>
              <c:showLegendKey val="0"/>
              <c:showVal val="1"/>
              <c:showCatName val="0"/>
              <c:showSerName val="0"/>
              <c:showPercent val="0"/>
              <c:showBubbleSize val="0"/>
            </c:dLbl>
            <c:dLbl>
              <c:idx val="8"/>
              <c:layout>
                <c:manualLayout>
                  <c:x val="-5.5649068456606859E-2"/>
                  <c:y val="4.9886621315193003E-2"/>
                </c:manualLayout>
              </c:layout>
              <c:dLblPos val="r"/>
              <c:showLegendKey val="0"/>
              <c:showVal val="1"/>
              <c:showCatName val="0"/>
              <c:showSerName val="0"/>
              <c:showPercent val="0"/>
              <c:showBubbleSize val="0"/>
            </c:dLbl>
            <c:dLbl>
              <c:idx val="9"/>
              <c:layout>
                <c:manualLayout>
                  <c:x val="-6.0324551768946369E-2"/>
                  <c:y val="4.5351473922902494E-2"/>
                </c:manualLayout>
              </c:layout>
              <c:dLblPos val="r"/>
              <c:showLegendKey val="0"/>
              <c:showVal val="1"/>
              <c:showCatName val="0"/>
              <c:showSerName val="0"/>
              <c:showPercent val="0"/>
              <c:showBubbleSize val="0"/>
            </c:dLbl>
            <c:dLbl>
              <c:idx val="10"/>
              <c:layout>
                <c:manualLayout>
                  <c:x val="-5.0184587582289886E-2"/>
                  <c:y val="2.7210884353741478E-2"/>
                </c:manualLayout>
              </c:layout>
              <c:dLblPos val="r"/>
              <c:showLegendKey val="0"/>
              <c:showVal val="1"/>
              <c:showCatName val="0"/>
              <c:showSerName val="0"/>
              <c:showPercent val="0"/>
              <c:showBubbleSize val="0"/>
            </c:dLbl>
            <c:dLbl>
              <c:idx val="11"/>
              <c:layout>
                <c:manualLayout>
                  <c:x val="-5.0184587582289886E-2"/>
                  <c:y val="-4.9886621315193003E-2"/>
                </c:manualLayout>
              </c:layout>
              <c:dLblPos val="r"/>
              <c:showLegendKey val="0"/>
              <c:showVal val="1"/>
              <c:showCatName val="0"/>
              <c:showSerName val="0"/>
              <c:showPercent val="0"/>
              <c:showBubbleSize val="0"/>
            </c:dLbl>
            <c:txPr>
              <a:bodyPr/>
              <a:lstStyle/>
              <a:p>
                <a:pPr>
                  <a:defRPr sz="800"/>
                </a:pPr>
                <a:endParaRPr lang="ja-JP"/>
              </a:p>
            </c:txPr>
            <c:dLblPos val="ctr"/>
            <c:showLegendKey val="0"/>
            <c:showVal val="1"/>
            <c:showCatName val="0"/>
            <c:showSerName val="0"/>
            <c:showPercent val="0"/>
            <c:showBubbleSize val="0"/>
            <c:showLeaderLines val="0"/>
          </c:dLbls>
          <c:cat>
            <c:strRef>
              <c:f>Hoja1!$F$6:$F$17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Hoja1!$G$6:$G$17</c:f>
              <c:numCache>
                <c:formatCode>#,##0.00</c:formatCode>
                <c:ptCount val="12"/>
                <c:pt idx="0">
                  <c:v>5.7367026399999999</c:v>
                </c:pt>
                <c:pt idx="1">
                  <c:v>6.5157852999999957</c:v>
                </c:pt>
                <c:pt idx="2">
                  <c:v>6.2058775199999969</c:v>
                </c:pt>
                <c:pt idx="3">
                  <c:v>6.3072692300000002</c:v>
                </c:pt>
                <c:pt idx="4">
                  <c:v>5.2840368699999951</c:v>
                </c:pt>
                <c:pt idx="5">
                  <c:v>5.1379035799999944</c:v>
                </c:pt>
                <c:pt idx="6">
                  <c:v>5.8141562899999943</c:v>
                </c:pt>
                <c:pt idx="7">
                  <c:v>5.3070005399999944</c:v>
                </c:pt>
                <c:pt idx="8">
                  <c:v>5.3718385399999971</c:v>
                </c:pt>
                <c:pt idx="9">
                  <c:v>4.106159919999997</c:v>
                </c:pt>
                <c:pt idx="10">
                  <c:v>3.4431410600000012</c:v>
                </c:pt>
                <c:pt idx="11">
                  <c:v>3.6795406699999997</c:v>
                </c:pt>
              </c:numCache>
            </c:numRef>
          </c:val>
          <c:smooth val="0"/>
        </c:ser>
        <c:ser>
          <c:idx val="1"/>
          <c:order val="1"/>
          <c:tx>
            <c:strRef>
              <c:f>Hoja1!$H$5</c:f>
              <c:strCache>
                <c:ptCount val="1"/>
                <c:pt idx="0">
                  <c:v>2014年</c:v>
                </c:pt>
              </c:strCache>
            </c:strRef>
          </c:tx>
          <c:dLbls>
            <c:dLbl>
              <c:idx val="0"/>
              <c:layout>
                <c:manualLayout>
                  <c:x val="-5.0184587582289886E-2"/>
                  <c:y val="4.0816326530612401E-2"/>
                </c:manualLayout>
              </c:layout>
              <c:dLblPos val="r"/>
              <c:showLegendKey val="0"/>
              <c:showVal val="1"/>
              <c:showCatName val="0"/>
              <c:showSerName val="0"/>
              <c:showPercent val="0"/>
              <c:showBubbleSize val="0"/>
            </c:dLbl>
            <c:dLbl>
              <c:idx val="1"/>
              <c:layout>
                <c:manualLayout>
                  <c:x val="-5.0184587582289886E-2"/>
                  <c:y val="5.4421768707482956E-2"/>
                </c:manualLayout>
              </c:layout>
              <c:dLblPos val="r"/>
              <c:showLegendKey val="0"/>
              <c:showVal val="1"/>
              <c:showCatName val="0"/>
              <c:showSerName val="0"/>
              <c:showPercent val="0"/>
              <c:showBubbleSize val="0"/>
            </c:dLbl>
            <c:dLbl>
              <c:idx val="2"/>
              <c:layout>
                <c:manualLayout>
                  <c:x val="-4.5304621794574305E-2"/>
                  <c:y val="3.6281179138321996E-2"/>
                </c:manualLayout>
              </c:layout>
              <c:dLblPos val="r"/>
              <c:showLegendKey val="0"/>
              <c:showVal val="1"/>
              <c:showCatName val="0"/>
              <c:showSerName val="0"/>
              <c:showPercent val="0"/>
              <c:showBubbleSize val="0"/>
            </c:dLbl>
            <c:dLbl>
              <c:idx val="3"/>
              <c:layout>
                <c:manualLayout>
                  <c:x val="-4.2685106404921389E-2"/>
                  <c:y val="2.2675736961451247E-2"/>
                </c:manualLayout>
              </c:layout>
              <c:dLblPos val="r"/>
              <c:showLegendKey val="0"/>
              <c:showVal val="1"/>
              <c:showCatName val="0"/>
              <c:showSerName val="0"/>
              <c:showPercent val="0"/>
              <c:showBubbleSize val="0"/>
            </c:dLbl>
            <c:dLbl>
              <c:idx val="4"/>
              <c:layout>
                <c:manualLayout>
                  <c:x val="-4.2685106404921389E-2"/>
                  <c:y val="2.7210884353741496E-2"/>
                </c:manualLayout>
              </c:layout>
              <c:dLblPos val="r"/>
              <c:showLegendKey val="0"/>
              <c:showVal val="1"/>
              <c:showCatName val="0"/>
              <c:showSerName val="0"/>
              <c:showPercent val="0"/>
              <c:showBubbleSize val="0"/>
            </c:dLbl>
            <c:dLbl>
              <c:idx val="5"/>
              <c:layout>
                <c:manualLayout>
                  <c:x val="-4.5304621794574305E-2"/>
                  <c:y val="3.6281179138321996E-2"/>
                </c:manualLayout>
              </c:layout>
              <c:dLblPos val="r"/>
              <c:showLegendKey val="0"/>
              <c:showVal val="1"/>
              <c:showCatName val="0"/>
              <c:showSerName val="0"/>
              <c:showPercent val="0"/>
              <c:showBubbleSize val="0"/>
            </c:dLbl>
            <c:dLbl>
              <c:idx val="6"/>
              <c:layout>
                <c:manualLayout>
                  <c:x val="-4.725420127984984E-2"/>
                  <c:y val="4.5351116824682632E-2"/>
                </c:manualLayout>
              </c:layout>
              <c:dLblPos val="r"/>
              <c:showLegendKey val="0"/>
              <c:showVal val="1"/>
              <c:showCatName val="0"/>
              <c:showSerName val="0"/>
              <c:showPercent val="0"/>
              <c:showBubbleSize val="0"/>
            </c:dLbl>
            <c:dLbl>
              <c:idx val="7"/>
              <c:layout>
                <c:manualLayout>
                  <c:x val="-4.7254205929176889E-2"/>
                  <c:y val="4.0816326530612242E-2"/>
                </c:manualLayout>
              </c:layout>
              <c:dLblPos val="r"/>
              <c:showLegendKey val="0"/>
              <c:showVal val="1"/>
              <c:showCatName val="0"/>
              <c:showSerName val="0"/>
              <c:showPercent val="0"/>
              <c:showBubbleSize val="0"/>
            </c:dLbl>
            <c:dLbl>
              <c:idx val="8"/>
              <c:layout>
                <c:manualLayout>
                  <c:x val="-4.5304621794574305E-2"/>
                  <c:y val="-4.9886621315192704E-2"/>
                </c:manualLayout>
              </c:layout>
              <c:dLblPos val="r"/>
              <c:showLegendKey val="0"/>
              <c:showVal val="1"/>
              <c:showCatName val="0"/>
              <c:showSerName val="0"/>
              <c:showPercent val="0"/>
              <c:showBubbleSize val="0"/>
            </c:dLbl>
            <c:dLbl>
              <c:idx val="9"/>
              <c:layout>
                <c:manualLayout>
                  <c:x val="-5.2718686803493828E-2"/>
                  <c:y val="-3.6281179138321996E-2"/>
                </c:manualLayout>
              </c:layout>
              <c:dLblPos val="r"/>
              <c:showLegendKey val="0"/>
              <c:showVal val="1"/>
              <c:showCatName val="0"/>
              <c:showSerName val="0"/>
              <c:showPercent val="0"/>
              <c:showBubbleSize val="0"/>
            </c:dLbl>
            <c:txPr>
              <a:bodyPr/>
              <a:lstStyle/>
              <a:p>
                <a:pPr>
                  <a:defRPr sz="800" b="1" i="1"/>
                </a:pPr>
                <a:endParaRPr lang="ja-JP"/>
              </a:p>
            </c:txPr>
            <c:dLblPos val="ctr"/>
            <c:showLegendKey val="0"/>
            <c:showVal val="1"/>
            <c:showCatName val="0"/>
            <c:showSerName val="0"/>
            <c:showPercent val="0"/>
            <c:showBubbleSize val="0"/>
            <c:showLeaderLines val="0"/>
          </c:dLbls>
          <c:cat>
            <c:strRef>
              <c:f>Hoja1!$F$6:$F$17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Hoja1!$H$6:$H$17</c:f>
              <c:numCache>
                <c:formatCode>#,##0.00</c:formatCode>
                <c:ptCount val="12"/>
                <c:pt idx="0">
                  <c:v>3.1040330900000002</c:v>
                </c:pt>
                <c:pt idx="1">
                  <c:v>2.7396626699999986</c:v>
                </c:pt>
                <c:pt idx="2">
                  <c:v>3.2591887800000001</c:v>
                </c:pt>
                <c:pt idx="3">
                  <c:v>3.6792927999999998</c:v>
                </c:pt>
                <c:pt idx="4">
                  <c:v>4.2102988400000001</c:v>
                </c:pt>
                <c:pt idx="5">
                  <c:v>4.5891347699999967</c:v>
                </c:pt>
                <c:pt idx="6">
                  <c:v>5.18600014</c:v>
                </c:pt>
                <c:pt idx="7">
                  <c:v>5.4857470700000004</c:v>
                </c:pt>
                <c:pt idx="8">
                  <c:v>5.2030039900000027</c:v>
                </c:pt>
                <c:pt idx="9">
                  <c:v>5.7025699100000002</c:v>
                </c:pt>
              </c:numCache>
            </c:numRef>
          </c:val>
          <c:smooth val="0"/>
        </c:ser>
        <c:dLbls>
          <c:showLegendKey val="0"/>
          <c:showVal val="0"/>
          <c:showCatName val="0"/>
          <c:showSerName val="0"/>
          <c:showPercent val="0"/>
          <c:showBubbleSize val="0"/>
        </c:dLbls>
        <c:hiLowLines/>
        <c:marker val="1"/>
        <c:smooth val="0"/>
        <c:axId val="107304064"/>
        <c:axId val="107305600"/>
      </c:lineChart>
      <c:catAx>
        <c:axId val="107304064"/>
        <c:scaling>
          <c:orientation val="minMax"/>
        </c:scaling>
        <c:delete val="0"/>
        <c:axPos val="b"/>
        <c:majorTickMark val="none"/>
        <c:minorTickMark val="none"/>
        <c:tickLblPos val="nextTo"/>
        <c:crossAx val="107305600"/>
        <c:crosses val="autoZero"/>
        <c:auto val="1"/>
        <c:lblAlgn val="ctr"/>
        <c:lblOffset val="100"/>
        <c:noMultiLvlLbl val="0"/>
      </c:catAx>
      <c:valAx>
        <c:axId val="107305600"/>
        <c:scaling>
          <c:orientation val="minMax"/>
        </c:scaling>
        <c:delete val="0"/>
        <c:axPos val="l"/>
        <c:majorGridlines/>
        <c:title>
          <c:tx>
            <c:rich>
              <a:bodyPr rot="0" vert="horz"/>
              <a:lstStyle/>
              <a:p>
                <a:pPr>
                  <a:defRPr b="0"/>
                </a:pPr>
                <a:r>
                  <a:rPr lang="en-US" altLang="ja-JP" b="0"/>
                  <a:t>(</a:t>
                </a:r>
                <a:r>
                  <a:rPr lang="ja-JP" altLang="en-US" b="0"/>
                  <a:t>％</a:t>
                </a:r>
                <a:r>
                  <a:rPr lang="en-US" altLang="ja-JP" b="0"/>
                  <a:t>)</a:t>
                </a:r>
                <a:endParaRPr lang="ja-JP" altLang="en-US" b="0"/>
              </a:p>
            </c:rich>
          </c:tx>
          <c:layout>
            <c:manualLayout>
              <c:xMode val="edge"/>
              <c:yMode val="edge"/>
              <c:x val="7.1038251366120214E-2"/>
              <c:y val="4.2227578695520206E-2"/>
            </c:manualLayout>
          </c:layout>
          <c:overlay val="0"/>
        </c:title>
        <c:numFmt formatCode="#,##0" sourceLinked="0"/>
        <c:majorTickMark val="out"/>
        <c:minorTickMark val="none"/>
        <c:tickLblPos val="nextTo"/>
        <c:crossAx val="107304064"/>
        <c:crosses val="autoZero"/>
        <c:crossBetween val="between"/>
      </c:valAx>
    </c:plotArea>
    <c:legend>
      <c:legendPos val="r"/>
      <c:legendEntry>
        <c:idx val="0"/>
        <c:txPr>
          <a:bodyPr/>
          <a:lstStyle/>
          <a:p>
            <a:pPr>
              <a:defRPr sz="900"/>
            </a:pPr>
            <a:endParaRPr lang="ja-JP"/>
          </a:p>
        </c:txPr>
      </c:legendEntry>
      <c:legendEntry>
        <c:idx val="1"/>
        <c:txPr>
          <a:bodyPr/>
          <a:lstStyle/>
          <a:p>
            <a:pPr>
              <a:defRPr sz="900"/>
            </a:pPr>
            <a:endParaRPr lang="ja-JP"/>
          </a:p>
        </c:txPr>
      </c:legendEntry>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0.16346</cdr:x>
      <cdr:y>0.4</cdr:y>
    </cdr:from>
    <cdr:to>
      <cdr:x>0.34808</cdr:x>
      <cdr:y>0.63704</cdr:y>
    </cdr:to>
    <cdr:sp macro="" textlink="">
      <cdr:nvSpPr>
        <cdr:cNvPr id="2" name="テキスト ボックス 1"/>
        <cdr:cNvSpPr txBox="1"/>
      </cdr:nvSpPr>
      <cdr:spPr>
        <a:xfrm xmlns:a="http://schemas.openxmlformats.org/drawingml/2006/main">
          <a:off x="809625" y="15430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0.15</cdr:x>
      <cdr:y>0.24691</cdr:y>
    </cdr:from>
    <cdr:to>
      <cdr:x>0.29038</cdr:x>
      <cdr:y>0.30123</cdr:y>
    </cdr:to>
    <cdr:sp macro="" textlink="">
      <cdr:nvSpPr>
        <cdr:cNvPr id="3" name="テキスト ボックス 2"/>
        <cdr:cNvSpPr txBox="1"/>
      </cdr:nvSpPr>
      <cdr:spPr>
        <a:xfrm xmlns:a="http://schemas.openxmlformats.org/drawingml/2006/main">
          <a:off x="742950" y="952500"/>
          <a:ext cx="695325"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b="1"/>
            <a:t>コロン建て</a:t>
          </a:r>
        </a:p>
      </cdr:txBody>
    </cdr:sp>
  </cdr:relSizeAnchor>
  <cdr:relSizeAnchor xmlns:cdr="http://schemas.openxmlformats.org/drawingml/2006/chartDrawing">
    <cdr:from>
      <cdr:x>0.05769</cdr:x>
      <cdr:y>0.00988</cdr:y>
    </cdr:from>
    <cdr:to>
      <cdr:x>0.24231</cdr:x>
      <cdr:y>0.24691</cdr:y>
    </cdr:to>
    <cdr:sp macro="" textlink="">
      <cdr:nvSpPr>
        <cdr:cNvPr id="4" name="テキスト ボックス 3"/>
        <cdr:cNvSpPr txBox="1"/>
      </cdr:nvSpPr>
      <cdr:spPr>
        <a:xfrm xmlns:a="http://schemas.openxmlformats.org/drawingml/2006/main">
          <a:off x="285750" y="381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0.13462</cdr:x>
      <cdr:y>0.38519</cdr:y>
    </cdr:from>
    <cdr:to>
      <cdr:x>0.24808</cdr:x>
      <cdr:y>0.44938</cdr:y>
    </cdr:to>
    <cdr:sp macro="" textlink="">
      <cdr:nvSpPr>
        <cdr:cNvPr id="5" name="テキスト ボックス 4"/>
        <cdr:cNvSpPr txBox="1"/>
      </cdr:nvSpPr>
      <cdr:spPr>
        <a:xfrm xmlns:a="http://schemas.openxmlformats.org/drawingml/2006/main">
          <a:off x="666750" y="1485900"/>
          <a:ext cx="561975"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b="1"/>
            <a:t>ドル建て</a:t>
          </a:r>
        </a:p>
      </cdr:txBody>
    </cdr:sp>
  </cdr:relSizeAnchor>
  <cdr:relSizeAnchor xmlns:cdr="http://schemas.openxmlformats.org/drawingml/2006/chartDrawing">
    <cdr:from>
      <cdr:x>0.225</cdr:x>
      <cdr:y>0.2963</cdr:y>
    </cdr:from>
    <cdr:to>
      <cdr:x>0.23654</cdr:x>
      <cdr:y>0.32346</cdr:y>
    </cdr:to>
    <cdr:sp macro="" textlink="">
      <cdr:nvSpPr>
        <cdr:cNvPr id="6" name="下矢印 5"/>
        <cdr:cNvSpPr/>
      </cdr:nvSpPr>
      <cdr:spPr>
        <a:xfrm xmlns:a="http://schemas.openxmlformats.org/drawingml/2006/main">
          <a:off x="1114425" y="1143000"/>
          <a:ext cx="57150" cy="104775"/>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0.17692</cdr:x>
      <cdr:y>0.43951</cdr:y>
    </cdr:from>
    <cdr:to>
      <cdr:x>0.19038</cdr:x>
      <cdr:y>0.47407</cdr:y>
    </cdr:to>
    <cdr:sp macro="" textlink="">
      <cdr:nvSpPr>
        <cdr:cNvPr id="7" name="下矢印 6"/>
        <cdr:cNvSpPr/>
      </cdr:nvSpPr>
      <cdr:spPr>
        <a:xfrm xmlns:a="http://schemas.openxmlformats.org/drawingml/2006/main">
          <a:off x="876300" y="1695450"/>
          <a:ext cx="66675" cy="133350"/>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F81297-E0CD-440D-B7BB-9D5324118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1088</Words>
  <Characters>6206</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外務省</Company>
  <LinksUpToDate>false</LinksUpToDate>
  <CharactersWithSpaces>7280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情報通信課</dc:creator>
  <cp:lastModifiedBy>情報通信課</cp:lastModifiedBy>
  <cp:revision>2</cp:revision>
  <dcterms:created xsi:type="dcterms:W3CDTF">2015-01-09T03:12:00Z</dcterms:created>
  <dcterms:modified xsi:type="dcterms:W3CDTF">2015-01-09T03:12:00Z</dcterms:modified>
</cp:coreProperties>
</file>