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FBC" w:rsidRPr="00B600EB" w:rsidRDefault="00A17FBC" w:rsidP="00A17FBC">
      <w:pPr>
        <w:jc w:val="center"/>
        <w:rPr>
          <w:rFonts w:asciiTheme="majorEastAsia" w:eastAsiaTheme="majorEastAsia" w:hAnsiTheme="majorEastAsia"/>
          <w:sz w:val="24"/>
          <w:szCs w:val="24"/>
          <w:u w:val="single"/>
        </w:rPr>
      </w:pPr>
      <w:r w:rsidRPr="00B600EB">
        <w:rPr>
          <w:rFonts w:asciiTheme="majorEastAsia" w:eastAsiaTheme="majorEastAsia" w:hAnsiTheme="majorEastAsia" w:hint="eastAsia"/>
          <w:sz w:val="24"/>
          <w:szCs w:val="24"/>
          <w:u w:val="single"/>
        </w:rPr>
        <w:t>グアテマラ月報（2017年12月）</w:t>
      </w:r>
    </w:p>
    <w:p w:rsidR="00A17FBC" w:rsidRPr="00A36264" w:rsidRDefault="00A17FBC" w:rsidP="00A17FBC">
      <w:pPr>
        <w:rPr>
          <w:rFonts w:asciiTheme="majorEastAsia" w:eastAsiaTheme="majorEastAsia" w:hAnsiTheme="majorEastAsia"/>
          <w:sz w:val="24"/>
          <w:szCs w:val="24"/>
        </w:rPr>
      </w:pPr>
    </w:p>
    <w:p w:rsidR="00A17FBC" w:rsidRPr="00B600EB" w:rsidRDefault="00A17FBC" w:rsidP="00A17FBC">
      <w:pPr>
        <w:rPr>
          <w:rFonts w:asciiTheme="majorEastAsia" w:eastAsiaTheme="majorEastAsia" w:hAnsiTheme="majorEastAsia"/>
          <w:sz w:val="24"/>
          <w:szCs w:val="24"/>
        </w:rPr>
      </w:pPr>
      <w:r w:rsidRPr="00B600EB">
        <w:rPr>
          <w:rFonts w:asciiTheme="majorEastAsia" w:eastAsiaTheme="majorEastAsia" w:hAnsiTheme="majorEastAsia" w:hint="eastAsia"/>
          <w:sz w:val="24"/>
          <w:szCs w:val="24"/>
        </w:rPr>
        <w:t>１　内政</w:t>
      </w:r>
    </w:p>
    <w:p w:rsidR="00A17FBC" w:rsidRPr="00A36264" w:rsidRDefault="00A17FBC" w:rsidP="00A17FBC">
      <w:pPr>
        <w:rPr>
          <w:rFonts w:asciiTheme="majorEastAsia" w:eastAsiaTheme="majorEastAsia" w:hAnsiTheme="majorEastAsia"/>
          <w:sz w:val="24"/>
          <w:szCs w:val="24"/>
        </w:rPr>
      </w:pPr>
      <w:r w:rsidRPr="00A36264">
        <w:rPr>
          <w:rFonts w:asciiTheme="majorEastAsia" w:eastAsiaTheme="majorEastAsia" w:hAnsiTheme="majorEastAsia" w:hint="eastAsia"/>
          <w:sz w:val="24"/>
          <w:szCs w:val="24"/>
        </w:rPr>
        <w:t>（１）バジャダレス大統領府国家競争力委員会（ＰＲＯＮＡＣＯＭ）長官の経済次官就任</w:t>
      </w:r>
    </w:p>
    <w:p w:rsidR="00A17FBC" w:rsidRPr="00A36264" w:rsidRDefault="00A17FBC" w:rsidP="00A17FBC">
      <w:pPr>
        <w:rPr>
          <w:rFonts w:asciiTheme="majorEastAsia" w:eastAsiaTheme="majorEastAsia" w:hAnsiTheme="majorEastAsia"/>
          <w:sz w:val="24"/>
          <w:szCs w:val="24"/>
        </w:rPr>
      </w:pPr>
      <w:r w:rsidRPr="00A36264">
        <w:rPr>
          <w:rFonts w:asciiTheme="majorEastAsia" w:eastAsiaTheme="majorEastAsia" w:hAnsiTheme="majorEastAsia" w:hint="eastAsia"/>
          <w:sz w:val="24"/>
          <w:szCs w:val="24"/>
        </w:rPr>
        <w:t xml:space="preserve">　１日，中米北部三カ国繁栄のための同盟計画（ＰＡＰ）の調整役も務めるバジャダレスＰＲＯＮＡＣＯＭ長官が経済次官に任命された。中小企業担当の経済次官を務める。</w:t>
      </w:r>
    </w:p>
    <w:p w:rsidR="00A17FBC" w:rsidRPr="00A36264" w:rsidRDefault="00A17FBC" w:rsidP="00A17FBC">
      <w:pPr>
        <w:rPr>
          <w:rFonts w:asciiTheme="majorEastAsia" w:eastAsiaTheme="majorEastAsia" w:hAnsiTheme="majorEastAsia"/>
          <w:sz w:val="24"/>
          <w:szCs w:val="24"/>
        </w:rPr>
      </w:pPr>
      <w:r w:rsidRPr="00A36264">
        <w:rPr>
          <w:rFonts w:asciiTheme="majorEastAsia" w:eastAsiaTheme="majorEastAsia" w:hAnsiTheme="majorEastAsia" w:hint="eastAsia"/>
          <w:sz w:val="24"/>
          <w:szCs w:val="24"/>
        </w:rPr>
        <w:t>（２）サンチェス中米議会議員に対する出国禁止命令</w:t>
      </w:r>
    </w:p>
    <w:p w:rsidR="00A17FBC" w:rsidRPr="00A36264" w:rsidRDefault="00A17FBC" w:rsidP="00A17FBC">
      <w:pPr>
        <w:rPr>
          <w:rFonts w:asciiTheme="majorEastAsia" w:eastAsiaTheme="majorEastAsia" w:hAnsiTheme="majorEastAsia"/>
          <w:sz w:val="24"/>
          <w:szCs w:val="24"/>
        </w:rPr>
      </w:pPr>
      <w:r w:rsidRPr="00A36264">
        <w:rPr>
          <w:rFonts w:asciiTheme="majorEastAsia" w:eastAsiaTheme="majorEastAsia" w:hAnsiTheme="majorEastAsia" w:hint="eastAsia"/>
          <w:sz w:val="24"/>
          <w:szCs w:val="24"/>
        </w:rPr>
        <w:t xml:space="preserve">　１日，サンチェス中米議会</w:t>
      </w:r>
      <w:r w:rsidR="00E21879" w:rsidRPr="00A36264">
        <w:rPr>
          <w:rFonts w:asciiTheme="majorEastAsia" w:eastAsiaTheme="majorEastAsia" w:hAnsiTheme="majorEastAsia" w:hint="eastAsia"/>
          <w:sz w:val="24"/>
          <w:szCs w:val="24"/>
        </w:rPr>
        <w:t>（ＰＡＲＬＡＣＥＮ）</w:t>
      </w:r>
      <w:r w:rsidRPr="00A36264">
        <w:rPr>
          <w:rFonts w:asciiTheme="majorEastAsia" w:eastAsiaTheme="majorEastAsia" w:hAnsiTheme="majorEastAsia" w:hint="eastAsia"/>
          <w:sz w:val="24"/>
          <w:szCs w:val="24"/>
        </w:rPr>
        <w:t>議員</w:t>
      </w:r>
      <w:r w:rsidR="00E21879" w:rsidRPr="00A36264">
        <w:rPr>
          <w:rFonts w:asciiTheme="majorEastAsia" w:eastAsiaTheme="majorEastAsia" w:hAnsiTheme="majorEastAsia" w:hint="eastAsia"/>
          <w:sz w:val="24"/>
          <w:szCs w:val="24"/>
        </w:rPr>
        <w:t>（与党国民集中戦線（ＦＣＮ））</w:t>
      </w:r>
      <w:r w:rsidRPr="00A36264">
        <w:rPr>
          <w:rFonts w:asciiTheme="majorEastAsia" w:eastAsiaTheme="majorEastAsia" w:hAnsiTheme="majorEastAsia" w:hint="eastAsia"/>
          <w:sz w:val="24"/>
          <w:szCs w:val="24"/>
        </w:rPr>
        <w:t>に対して，出国禁止命令が出された。同議員は，モラレス大統領の息子のホセ氏と実兄のサムエル氏が</w:t>
      </w:r>
      <w:r w:rsidR="00E21879" w:rsidRPr="00A36264">
        <w:rPr>
          <w:rFonts w:asciiTheme="majorEastAsia" w:eastAsiaTheme="majorEastAsia" w:hAnsiTheme="majorEastAsia" w:hint="eastAsia"/>
          <w:sz w:val="24"/>
          <w:szCs w:val="24"/>
        </w:rPr>
        <w:t>被告となっ</w:t>
      </w:r>
      <w:r w:rsidRPr="00A36264">
        <w:rPr>
          <w:rFonts w:asciiTheme="majorEastAsia" w:eastAsiaTheme="majorEastAsia" w:hAnsiTheme="majorEastAsia" w:hint="eastAsia"/>
          <w:sz w:val="24"/>
          <w:szCs w:val="24"/>
        </w:rPr>
        <w:t>ている財産登記所の公費流用事件において，サムエル氏と協力し，偽の請求書を作成した疑いがある。</w:t>
      </w:r>
    </w:p>
    <w:p w:rsidR="00A17FBC" w:rsidRPr="00A36264" w:rsidRDefault="00A17FBC" w:rsidP="00A17FBC">
      <w:pPr>
        <w:rPr>
          <w:rFonts w:asciiTheme="majorEastAsia" w:eastAsiaTheme="majorEastAsia" w:hAnsiTheme="majorEastAsia"/>
          <w:sz w:val="24"/>
          <w:szCs w:val="24"/>
        </w:rPr>
      </w:pPr>
      <w:r w:rsidRPr="00A36264">
        <w:rPr>
          <w:rFonts w:asciiTheme="majorEastAsia" w:eastAsiaTheme="majorEastAsia" w:hAnsiTheme="majorEastAsia" w:hint="eastAsia"/>
          <w:sz w:val="24"/>
          <w:szCs w:val="24"/>
        </w:rPr>
        <w:t>（３）リナレス国民進歩党議員の不逮捕特権剥奪</w:t>
      </w:r>
    </w:p>
    <w:p w:rsidR="00A17FBC" w:rsidRPr="00A36264" w:rsidRDefault="00A17FBC" w:rsidP="00A17FBC">
      <w:pPr>
        <w:rPr>
          <w:rFonts w:asciiTheme="majorEastAsia" w:eastAsiaTheme="majorEastAsia" w:hAnsiTheme="majorEastAsia"/>
          <w:sz w:val="24"/>
          <w:szCs w:val="24"/>
        </w:rPr>
      </w:pPr>
      <w:r w:rsidRPr="00A36264">
        <w:rPr>
          <w:rFonts w:asciiTheme="majorEastAsia" w:eastAsiaTheme="majorEastAsia" w:hAnsiTheme="majorEastAsia" w:hint="eastAsia"/>
          <w:sz w:val="24"/>
          <w:szCs w:val="24"/>
        </w:rPr>
        <w:t xml:space="preserve">　１４日，最高裁は，リナレス国民進歩党（ＰＡＮ，極右）議員の不逮捕特権剥奪を決定した。同議員は，２月に当国における障がい者の存在が国の支出につながっているという差別ともとれる発言を行ったことから，検察庁によって不逮捕特権剥奪請求が行われていた。</w:t>
      </w:r>
    </w:p>
    <w:p w:rsidR="00A17FBC" w:rsidRPr="00A36264" w:rsidRDefault="00A17FBC" w:rsidP="00A17FBC">
      <w:pPr>
        <w:rPr>
          <w:rFonts w:asciiTheme="majorEastAsia" w:eastAsiaTheme="majorEastAsia" w:hAnsiTheme="majorEastAsia"/>
          <w:sz w:val="24"/>
          <w:szCs w:val="24"/>
        </w:rPr>
      </w:pPr>
    </w:p>
    <w:p w:rsidR="00A17FBC" w:rsidRPr="00B600EB" w:rsidRDefault="00A17FBC" w:rsidP="00A17FBC">
      <w:pPr>
        <w:rPr>
          <w:rFonts w:asciiTheme="majorEastAsia" w:eastAsiaTheme="majorEastAsia" w:hAnsiTheme="majorEastAsia"/>
          <w:sz w:val="24"/>
          <w:szCs w:val="24"/>
        </w:rPr>
      </w:pPr>
      <w:r w:rsidRPr="00B600EB">
        <w:rPr>
          <w:rFonts w:asciiTheme="majorEastAsia" w:eastAsiaTheme="majorEastAsia" w:hAnsiTheme="majorEastAsia" w:hint="eastAsia"/>
          <w:sz w:val="24"/>
          <w:szCs w:val="24"/>
        </w:rPr>
        <w:t>２　外交</w:t>
      </w:r>
    </w:p>
    <w:p w:rsidR="00A17FBC" w:rsidRPr="00A36264" w:rsidRDefault="00A17FBC" w:rsidP="00A17FBC">
      <w:pPr>
        <w:rPr>
          <w:rFonts w:asciiTheme="majorEastAsia" w:eastAsiaTheme="majorEastAsia" w:hAnsiTheme="majorEastAsia"/>
          <w:sz w:val="24"/>
          <w:szCs w:val="24"/>
        </w:rPr>
      </w:pPr>
      <w:r w:rsidRPr="00A36264">
        <w:rPr>
          <w:rFonts w:asciiTheme="majorEastAsia" w:eastAsiaTheme="majorEastAsia" w:hAnsiTheme="majorEastAsia" w:hint="eastAsia"/>
          <w:sz w:val="24"/>
          <w:szCs w:val="24"/>
        </w:rPr>
        <w:t>（１）岡本</w:t>
      </w:r>
      <w:r w:rsidR="00B600EB">
        <w:rPr>
          <w:rFonts w:asciiTheme="majorEastAsia" w:eastAsiaTheme="majorEastAsia" w:hAnsiTheme="majorEastAsia" w:hint="eastAsia"/>
          <w:sz w:val="24"/>
          <w:szCs w:val="24"/>
        </w:rPr>
        <w:t>外務大臣</w:t>
      </w:r>
      <w:r w:rsidRPr="00A36264">
        <w:rPr>
          <w:rFonts w:asciiTheme="majorEastAsia" w:eastAsiaTheme="majorEastAsia" w:hAnsiTheme="majorEastAsia" w:hint="eastAsia"/>
          <w:sz w:val="24"/>
          <w:szCs w:val="24"/>
        </w:rPr>
        <w:t>政務官の当国訪問</w:t>
      </w:r>
    </w:p>
    <w:p w:rsidR="00A17FBC" w:rsidRPr="00A36264" w:rsidRDefault="00951505" w:rsidP="00A17FBC">
      <w:pPr>
        <w:rPr>
          <w:rFonts w:asciiTheme="majorEastAsia" w:eastAsiaTheme="majorEastAsia" w:hAnsiTheme="majorEastAsia"/>
          <w:sz w:val="24"/>
          <w:szCs w:val="24"/>
        </w:rPr>
      </w:pPr>
      <w:r w:rsidRPr="00A36264">
        <w:rPr>
          <w:rFonts w:asciiTheme="majorEastAsia" w:eastAsiaTheme="majorEastAsia" w:hAnsiTheme="majorEastAsia" w:hint="eastAsia"/>
          <w:sz w:val="24"/>
          <w:szCs w:val="24"/>
        </w:rPr>
        <w:t xml:space="preserve">　１４日および１５日，岡本外務大臣政務官は</w:t>
      </w:r>
      <w:r w:rsidR="00A17FBC" w:rsidRPr="00A36264">
        <w:rPr>
          <w:rFonts w:asciiTheme="majorEastAsia" w:eastAsiaTheme="majorEastAsia" w:hAnsiTheme="majorEastAsia" w:hint="eastAsia"/>
          <w:sz w:val="24"/>
          <w:szCs w:val="24"/>
        </w:rPr>
        <w:t>グアテマラを訪問し，政府および国会関係者との会談，日系企業関係者との懇談等を行った。カブレラ副大統領との会談では，両国間の友好関係や日本のグアテマラに対する開発協力等のテーマに関して話し合われた。チンチージャ国会議長との会談では，若い世代の交流，議員交流など，両国間の人的交流の重要性が確認された。日本企業関係者との意見交換会においては，岡本政務官から，グアテマラにおける日本企業の事業拡大により，二国間の経済関係が更に強化されることへの期待が表明された。</w:t>
      </w:r>
    </w:p>
    <w:p w:rsidR="00A17FBC" w:rsidRPr="00A36264" w:rsidRDefault="00A17FBC" w:rsidP="00A17FBC">
      <w:pPr>
        <w:rPr>
          <w:rFonts w:asciiTheme="majorEastAsia" w:eastAsiaTheme="majorEastAsia" w:hAnsiTheme="majorEastAsia"/>
          <w:sz w:val="24"/>
          <w:szCs w:val="24"/>
        </w:rPr>
      </w:pPr>
      <w:r w:rsidRPr="00A36264">
        <w:rPr>
          <w:rFonts w:asciiTheme="majorEastAsia" w:eastAsiaTheme="majorEastAsia" w:hAnsiTheme="majorEastAsia" w:hint="eastAsia"/>
          <w:sz w:val="24"/>
          <w:szCs w:val="24"/>
        </w:rPr>
        <w:t>（２）ホンジュラス情勢に関するモラレス大統領の発言</w:t>
      </w:r>
    </w:p>
    <w:p w:rsidR="00A17FBC" w:rsidRPr="00A36264" w:rsidRDefault="00A17FBC" w:rsidP="00A17FBC">
      <w:pPr>
        <w:rPr>
          <w:rFonts w:asciiTheme="majorEastAsia" w:eastAsiaTheme="majorEastAsia" w:hAnsiTheme="majorEastAsia"/>
          <w:sz w:val="24"/>
          <w:szCs w:val="24"/>
        </w:rPr>
      </w:pPr>
      <w:r w:rsidRPr="00A36264">
        <w:rPr>
          <w:rFonts w:asciiTheme="majorEastAsia" w:eastAsiaTheme="majorEastAsia" w:hAnsiTheme="majorEastAsia" w:hint="eastAsia"/>
          <w:sz w:val="24"/>
          <w:szCs w:val="24"/>
        </w:rPr>
        <w:t xml:space="preserve">　２０日，モラレス大統領は，ホンジュラスへの連帯を表明し，抗議活動や道路封鎖が（中米）地域全体に経済的悪影響を与える旨指摘した。モラレス大統領は，「グ</w:t>
      </w:r>
      <w:r w:rsidR="00951505" w:rsidRPr="00A36264">
        <w:rPr>
          <w:rFonts w:asciiTheme="majorEastAsia" w:eastAsiaTheme="majorEastAsia" w:hAnsiTheme="majorEastAsia" w:hint="eastAsia"/>
          <w:sz w:val="24"/>
          <w:szCs w:val="24"/>
        </w:rPr>
        <w:t>アテマラ・エルサルバドル，グアテマラ・ホンジュラス間の貿易は重要</w:t>
      </w:r>
      <w:r w:rsidRPr="00A36264">
        <w:rPr>
          <w:rFonts w:asciiTheme="majorEastAsia" w:eastAsiaTheme="majorEastAsia" w:hAnsiTheme="majorEastAsia" w:hint="eastAsia"/>
          <w:sz w:val="24"/>
          <w:szCs w:val="24"/>
        </w:rPr>
        <w:t>であり，ホンジュラスで起きていることは経済的に地域全体に悪影響を与える」と述べた。また，モラレス大統領は「我々は法制度を尊重してきたし，ホンジュラス最高選挙裁判所の</w:t>
      </w:r>
      <w:r w:rsidR="00951505" w:rsidRPr="00A36264">
        <w:rPr>
          <w:rFonts w:asciiTheme="majorEastAsia" w:eastAsiaTheme="majorEastAsia" w:hAnsiTheme="majorEastAsia" w:hint="eastAsia"/>
          <w:sz w:val="24"/>
          <w:szCs w:val="24"/>
        </w:rPr>
        <w:t>大統領選の</w:t>
      </w:r>
      <w:r w:rsidRPr="00A36264">
        <w:rPr>
          <w:rFonts w:asciiTheme="majorEastAsia" w:eastAsiaTheme="majorEastAsia" w:hAnsiTheme="majorEastAsia" w:hint="eastAsia"/>
          <w:sz w:val="24"/>
          <w:szCs w:val="24"/>
        </w:rPr>
        <w:t>決定を尊重する。同裁判所が公式結果</w:t>
      </w:r>
      <w:r w:rsidRPr="00A36264">
        <w:rPr>
          <w:rFonts w:asciiTheme="majorEastAsia" w:eastAsiaTheme="majorEastAsia" w:hAnsiTheme="majorEastAsia" w:hint="eastAsia"/>
          <w:sz w:val="24"/>
          <w:szCs w:val="24"/>
        </w:rPr>
        <w:lastRenderedPageBreak/>
        <w:t>を発表した以上，我々は結果を尊重し，また（事態が）平穏になるよう望む」と述べた。</w:t>
      </w:r>
    </w:p>
    <w:p w:rsidR="00A17FBC" w:rsidRPr="00A36264" w:rsidRDefault="00E21879" w:rsidP="00A17FBC">
      <w:pPr>
        <w:rPr>
          <w:rFonts w:asciiTheme="majorEastAsia" w:eastAsiaTheme="majorEastAsia" w:hAnsiTheme="majorEastAsia"/>
          <w:sz w:val="24"/>
          <w:szCs w:val="24"/>
        </w:rPr>
      </w:pPr>
      <w:r w:rsidRPr="00A36264">
        <w:rPr>
          <w:rFonts w:asciiTheme="majorEastAsia" w:eastAsiaTheme="majorEastAsia" w:hAnsiTheme="majorEastAsia" w:hint="eastAsia"/>
          <w:sz w:val="24"/>
          <w:szCs w:val="24"/>
        </w:rPr>
        <w:t>（３）イスラエル</w:t>
      </w:r>
      <w:r w:rsidR="00A17FBC" w:rsidRPr="00A36264">
        <w:rPr>
          <w:rFonts w:asciiTheme="majorEastAsia" w:eastAsiaTheme="majorEastAsia" w:hAnsiTheme="majorEastAsia" w:hint="eastAsia"/>
          <w:sz w:val="24"/>
          <w:szCs w:val="24"/>
        </w:rPr>
        <w:t>首都問題：グアテマラ政府による国連決議案への反対投票</w:t>
      </w:r>
    </w:p>
    <w:p w:rsidR="00A17FBC" w:rsidRPr="00A36264" w:rsidRDefault="00A17FBC" w:rsidP="00A17FBC">
      <w:pPr>
        <w:rPr>
          <w:rFonts w:asciiTheme="majorEastAsia" w:eastAsiaTheme="majorEastAsia" w:hAnsiTheme="majorEastAsia"/>
          <w:sz w:val="24"/>
          <w:szCs w:val="24"/>
        </w:rPr>
      </w:pPr>
      <w:r w:rsidRPr="00A36264">
        <w:rPr>
          <w:rFonts w:asciiTheme="majorEastAsia" w:eastAsiaTheme="majorEastAsia" w:hAnsiTheme="majorEastAsia" w:hint="eastAsia"/>
          <w:sz w:val="24"/>
          <w:szCs w:val="24"/>
        </w:rPr>
        <w:t xml:space="preserve">　２１日，国連総会の緊急特別会合において，グアテマラは，「エルサレムはイスラエルの首都である」との米国政府による決定の撤回を求める決議案に対し，反対票を投じた（賛成１２８票，反対９票，棄権３５票）。</w:t>
      </w:r>
    </w:p>
    <w:p w:rsidR="00A17FBC" w:rsidRPr="00A36264" w:rsidRDefault="00A17FBC" w:rsidP="00A36264">
      <w:pPr>
        <w:ind w:firstLineChars="100" w:firstLine="240"/>
        <w:rPr>
          <w:rFonts w:asciiTheme="majorEastAsia" w:eastAsiaTheme="majorEastAsia" w:hAnsiTheme="majorEastAsia"/>
          <w:sz w:val="24"/>
          <w:szCs w:val="24"/>
        </w:rPr>
      </w:pPr>
      <w:r w:rsidRPr="00A36264">
        <w:rPr>
          <w:rFonts w:asciiTheme="majorEastAsia" w:eastAsiaTheme="majorEastAsia" w:hAnsiTheme="majorEastAsia" w:hint="eastAsia"/>
          <w:sz w:val="24"/>
          <w:szCs w:val="24"/>
        </w:rPr>
        <w:t>トランプ米大統領は，会合の数日前から，同決議案に賛成する国に対し経済支援を打ち切ると脅していた。そんな中，グアテマラは米政府に同調し，ホンジュラス，トーゴ，ミクロネシア，ナウル，パラオ，マーシャル諸島，イスラエル，米国と共に，決議案に反対票を投じた。パニアグア外務省広報官は，反対票への投票は当国の明確な外交政策に基づいた判断であり，イスラエルとの歴史的な友好的同盟関係に沿ったものであると説明した。一方，コーエン当地イスラエル大使は，勇敢且つ正当な投票であったと当国政府の判断に謝意を示した。</w:t>
      </w:r>
    </w:p>
    <w:p w:rsidR="00A17FBC" w:rsidRPr="00A36264" w:rsidRDefault="00A17FBC" w:rsidP="00A17FBC">
      <w:pPr>
        <w:rPr>
          <w:rFonts w:asciiTheme="majorEastAsia" w:eastAsiaTheme="majorEastAsia" w:hAnsiTheme="majorEastAsia"/>
          <w:sz w:val="24"/>
          <w:szCs w:val="24"/>
        </w:rPr>
      </w:pPr>
      <w:r w:rsidRPr="00A36264">
        <w:rPr>
          <w:rFonts w:asciiTheme="majorEastAsia" w:eastAsiaTheme="majorEastAsia" w:hAnsiTheme="majorEastAsia" w:hint="eastAsia"/>
          <w:sz w:val="24"/>
          <w:szCs w:val="24"/>
        </w:rPr>
        <w:t>（４）対米関係：国会議員に対する制裁措置への反応</w:t>
      </w:r>
    </w:p>
    <w:p w:rsidR="00A17FBC" w:rsidRPr="00A36264" w:rsidRDefault="00A17FBC" w:rsidP="00A17FBC">
      <w:pPr>
        <w:rPr>
          <w:rFonts w:asciiTheme="majorEastAsia" w:eastAsiaTheme="majorEastAsia" w:hAnsiTheme="majorEastAsia"/>
          <w:sz w:val="24"/>
          <w:szCs w:val="24"/>
        </w:rPr>
      </w:pPr>
      <w:r w:rsidRPr="00A36264">
        <w:rPr>
          <w:rFonts w:asciiTheme="majorEastAsia" w:eastAsiaTheme="majorEastAsia" w:hAnsiTheme="majorEastAsia" w:hint="eastAsia"/>
          <w:sz w:val="24"/>
          <w:szCs w:val="24"/>
        </w:rPr>
        <w:t xml:space="preserve">　２１日，米政府は，人権侵害への関与を理由として，マグニツキー法の制裁権限によりフリオ・フアレス与党国民集中戦線（ＦＣＮ）議員に制裁措置（米国査証取り消し等）を課した。同議員は２０１５年のサカテペケス県における記者に対する殺人</w:t>
      </w:r>
      <w:r w:rsidR="00E21879" w:rsidRPr="00A36264">
        <w:rPr>
          <w:rFonts w:asciiTheme="majorEastAsia" w:eastAsiaTheme="majorEastAsia" w:hAnsiTheme="majorEastAsia" w:hint="eastAsia"/>
          <w:sz w:val="24"/>
          <w:szCs w:val="24"/>
        </w:rPr>
        <w:t>容疑で不逮捕特権を剥奪され</w:t>
      </w:r>
      <w:r w:rsidRPr="00A36264">
        <w:rPr>
          <w:rFonts w:asciiTheme="majorEastAsia" w:eastAsiaTheme="majorEastAsia" w:hAnsiTheme="majorEastAsia" w:hint="eastAsia"/>
          <w:sz w:val="24"/>
          <w:szCs w:val="24"/>
        </w:rPr>
        <w:t>ている。</w:t>
      </w:r>
    </w:p>
    <w:p w:rsidR="00A17FBC" w:rsidRPr="00A36264" w:rsidRDefault="00A17FBC" w:rsidP="00A17FBC">
      <w:pPr>
        <w:rPr>
          <w:rFonts w:asciiTheme="majorEastAsia" w:eastAsiaTheme="majorEastAsia" w:hAnsiTheme="majorEastAsia"/>
          <w:sz w:val="24"/>
          <w:szCs w:val="24"/>
        </w:rPr>
      </w:pPr>
      <w:r w:rsidRPr="00A36264">
        <w:rPr>
          <w:rFonts w:asciiTheme="majorEastAsia" w:eastAsiaTheme="majorEastAsia" w:hAnsiTheme="majorEastAsia" w:hint="eastAsia"/>
          <w:sz w:val="24"/>
          <w:szCs w:val="24"/>
        </w:rPr>
        <w:t xml:space="preserve">　本件に関して，２２日付のプレンサ・リブレ紙は，「米財務省および国務省がグローバル・マグニツキー人権責任法の制裁権限を使って制裁を行ったとのメッセージは強力なものであった。この制裁は当国の司法システムへの強いメッセージとなろう。これは希望の光であり，さらにジャーナリストへの犯罪に対する懲罰であり，最近（１１月２３日）同市を訪れ行事の参加者の前で，（地元選出議員として）出席していた同議員を讃え，出席者に</w:t>
      </w:r>
      <w:r w:rsidR="00E21879" w:rsidRPr="00A36264">
        <w:rPr>
          <w:rFonts w:asciiTheme="majorEastAsia" w:eastAsiaTheme="majorEastAsia" w:hAnsiTheme="majorEastAsia" w:hint="eastAsia"/>
          <w:sz w:val="24"/>
          <w:szCs w:val="24"/>
        </w:rPr>
        <w:t>拍手を求めたモラレス大統領の再度の過ちを示すものである（当館注：</w:t>
      </w:r>
      <w:r w:rsidRPr="00A36264">
        <w:rPr>
          <w:rFonts w:asciiTheme="majorEastAsia" w:eastAsiaTheme="majorEastAsia" w:hAnsiTheme="majorEastAsia" w:hint="eastAsia"/>
          <w:sz w:val="24"/>
          <w:szCs w:val="24"/>
        </w:rPr>
        <w:t>最高裁は１１月７日に同議員に対する不逮捕特権剥奪を決定していた）」との社説を掲載した。</w:t>
      </w:r>
    </w:p>
    <w:p w:rsidR="00A17FBC" w:rsidRPr="00A36264" w:rsidRDefault="00A17FBC" w:rsidP="00A17FBC">
      <w:pPr>
        <w:rPr>
          <w:rFonts w:asciiTheme="majorEastAsia" w:eastAsiaTheme="majorEastAsia" w:hAnsiTheme="majorEastAsia"/>
          <w:sz w:val="24"/>
          <w:szCs w:val="24"/>
        </w:rPr>
      </w:pPr>
      <w:r w:rsidRPr="00A36264">
        <w:rPr>
          <w:rFonts w:asciiTheme="majorEastAsia" w:eastAsiaTheme="majorEastAsia" w:hAnsiTheme="majorEastAsia" w:hint="eastAsia"/>
          <w:sz w:val="24"/>
          <w:szCs w:val="24"/>
        </w:rPr>
        <w:t>（５）モラレス大統領によるエルサレムへの大使館移転決定の発表</w:t>
      </w:r>
    </w:p>
    <w:p w:rsidR="00A17FBC" w:rsidRPr="00A36264" w:rsidRDefault="00A17FBC" w:rsidP="00A36264">
      <w:pPr>
        <w:ind w:firstLineChars="100" w:firstLine="240"/>
        <w:rPr>
          <w:rFonts w:asciiTheme="majorEastAsia" w:eastAsiaTheme="majorEastAsia" w:hAnsiTheme="majorEastAsia"/>
          <w:sz w:val="24"/>
          <w:szCs w:val="24"/>
        </w:rPr>
      </w:pPr>
      <w:r w:rsidRPr="00A36264">
        <w:rPr>
          <w:rFonts w:asciiTheme="majorEastAsia" w:eastAsiaTheme="majorEastAsia" w:hAnsiTheme="majorEastAsia" w:hint="eastAsia"/>
          <w:sz w:val="24"/>
          <w:szCs w:val="24"/>
        </w:rPr>
        <w:t>２４日，モラレス大統領はフェイス</w:t>
      </w:r>
      <w:r w:rsidR="00E21879" w:rsidRPr="00A36264">
        <w:rPr>
          <w:rFonts w:asciiTheme="majorEastAsia" w:eastAsiaTheme="majorEastAsia" w:hAnsiTheme="majorEastAsia" w:hint="eastAsia"/>
          <w:sz w:val="24"/>
          <w:szCs w:val="24"/>
        </w:rPr>
        <w:t>ブックにおいて，在イスラエルのグアテマラ大使館をエルサレムへ帰還（グアテマラ大使館は，１９７８年にテルアビブに移転するまでエルサレムに位置していたことから，当国政府はこの表現を用いている）</w:t>
      </w:r>
      <w:r w:rsidRPr="00A36264">
        <w:rPr>
          <w:rFonts w:asciiTheme="majorEastAsia" w:eastAsiaTheme="majorEastAsia" w:hAnsiTheme="majorEastAsia" w:hint="eastAsia"/>
          <w:sz w:val="24"/>
          <w:szCs w:val="24"/>
        </w:rPr>
        <w:t>することを決定したと発表した。メッセージの中で，モラレス大統</w:t>
      </w:r>
      <w:r w:rsidR="00E21879" w:rsidRPr="00A36264">
        <w:rPr>
          <w:rFonts w:asciiTheme="majorEastAsia" w:eastAsiaTheme="majorEastAsia" w:hAnsiTheme="majorEastAsia" w:hint="eastAsia"/>
          <w:sz w:val="24"/>
          <w:szCs w:val="24"/>
        </w:rPr>
        <w:t>領は，ネタニヤフ・イスラエル首相と会談しエルサレムに大使館を戻すこと</w:t>
      </w:r>
      <w:r w:rsidRPr="00A36264">
        <w:rPr>
          <w:rFonts w:asciiTheme="majorEastAsia" w:eastAsiaTheme="majorEastAsia" w:hAnsiTheme="majorEastAsia" w:hint="eastAsia"/>
          <w:sz w:val="24"/>
          <w:szCs w:val="24"/>
        </w:rPr>
        <w:t>を決定した旨述べた。また，同日，外務省はプレスリリースを発出し，「外務省は大統領の指示に従い，同外交決定を実現するための手続きを開始する」旨発表した。</w:t>
      </w:r>
    </w:p>
    <w:p w:rsidR="00A17FBC" w:rsidRPr="00A36264" w:rsidRDefault="00A17FBC" w:rsidP="00A36264">
      <w:pPr>
        <w:ind w:firstLineChars="100" w:firstLine="240"/>
        <w:rPr>
          <w:rFonts w:asciiTheme="majorEastAsia" w:eastAsiaTheme="majorEastAsia" w:hAnsiTheme="majorEastAsia"/>
          <w:sz w:val="24"/>
          <w:szCs w:val="24"/>
        </w:rPr>
      </w:pPr>
      <w:r w:rsidRPr="00A36264">
        <w:rPr>
          <w:rFonts w:asciiTheme="majorEastAsia" w:eastAsiaTheme="majorEastAsia" w:hAnsiTheme="majorEastAsia" w:hint="eastAsia"/>
          <w:sz w:val="24"/>
          <w:szCs w:val="24"/>
        </w:rPr>
        <w:lastRenderedPageBreak/>
        <w:t>本件に関して，エボ・モラレス・ボリビア大統領は，「国際社会を愚弄する行為であり，グアテマラは国連決議を無視し，大使館の移転を決めた。ＵＳＡＩＤのくれる支援の残り物を失いたくないいくつかの政府が尊厳を「帝国」に売り渡した」と述べた。他方，在グアテマラ米国大使館は，ツィッターでモラレス大統領の決定を祝福した。イスラエルのネタニヤフ首相も，ツィッターで「私の友人であるジミー・モラレス大統領がエルサレムを首都と認め，大使館のエルサレム帰還を決定したことを感謝する」と述べた。</w:t>
      </w:r>
    </w:p>
    <w:p w:rsidR="00A17FBC" w:rsidRPr="00A36264" w:rsidRDefault="00A17FBC" w:rsidP="00A36264">
      <w:pPr>
        <w:ind w:firstLineChars="100" w:firstLine="240"/>
        <w:rPr>
          <w:rFonts w:asciiTheme="majorEastAsia" w:eastAsiaTheme="majorEastAsia" w:hAnsiTheme="majorEastAsia"/>
          <w:sz w:val="24"/>
          <w:szCs w:val="24"/>
        </w:rPr>
      </w:pPr>
      <w:r w:rsidRPr="00A36264">
        <w:rPr>
          <w:rFonts w:asciiTheme="majorEastAsia" w:eastAsiaTheme="majorEastAsia" w:hAnsiTheme="majorEastAsia" w:hint="eastAsia"/>
          <w:sz w:val="24"/>
          <w:szCs w:val="24"/>
        </w:rPr>
        <w:t>２７日の記者会見で，ホベル外相は，</w:t>
      </w:r>
      <w:r w:rsidR="00E21879" w:rsidRPr="00A36264">
        <w:rPr>
          <w:rFonts w:asciiTheme="majorEastAsia" w:eastAsiaTheme="majorEastAsia" w:hAnsiTheme="majorEastAsia" w:hint="eastAsia"/>
          <w:sz w:val="24"/>
          <w:szCs w:val="24"/>
        </w:rPr>
        <w:t>「帰還の</w:t>
      </w:r>
      <w:r w:rsidRPr="00A36264">
        <w:rPr>
          <w:rFonts w:asciiTheme="majorEastAsia" w:eastAsiaTheme="majorEastAsia" w:hAnsiTheme="majorEastAsia" w:hint="eastAsia"/>
          <w:sz w:val="24"/>
          <w:szCs w:val="24"/>
        </w:rPr>
        <w:t>決定は，当国の主権に基づいて下されたグアテマラ政府の決定であり，決定に際して，いずれの国から圧力を受けたわけでもなく，当国がイスラエルや米国に何かを要求したわけでもない。宗教や圧力といった理由ではなく，イスラエルの国家承認に賛成票を投じた１９４７年から続く関係に基づいた一貫性のある決定を行っただけである」と説明した。</w:t>
      </w:r>
    </w:p>
    <w:p w:rsidR="00A17FBC" w:rsidRPr="00A36264" w:rsidRDefault="00A17FBC" w:rsidP="00A36264">
      <w:pPr>
        <w:ind w:firstLineChars="100" w:firstLine="240"/>
        <w:rPr>
          <w:rFonts w:asciiTheme="majorEastAsia" w:eastAsiaTheme="majorEastAsia" w:hAnsiTheme="majorEastAsia"/>
          <w:sz w:val="24"/>
          <w:szCs w:val="24"/>
        </w:rPr>
      </w:pPr>
      <w:r w:rsidRPr="00A36264">
        <w:rPr>
          <w:rFonts w:asciiTheme="majorEastAsia" w:eastAsiaTheme="majorEastAsia" w:hAnsiTheme="majorEastAsia" w:hint="eastAsia"/>
          <w:sz w:val="24"/>
          <w:szCs w:val="24"/>
        </w:rPr>
        <w:t>２８日，マルキ・パレスチナ自治政府外相は，ラジオ番組で，エルサレムへの大使館移転を行う国々への政治的および経済的なボイコットをイスラム諸国と計画している旨述べた。また，同外相は，当国に対しては，当国からのカルダモン（香辛料）の輸入禁止措置を執るようイスラム諸国に求めるための協議をすでに開始したことを明かした。</w:t>
      </w:r>
    </w:p>
    <w:p w:rsidR="00A17FBC" w:rsidRPr="00A36264" w:rsidRDefault="00A17FBC" w:rsidP="00A17FBC">
      <w:pPr>
        <w:rPr>
          <w:rFonts w:asciiTheme="majorEastAsia" w:eastAsiaTheme="majorEastAsia" w:hAnsiTheme="majorEastAsia"/>
          <w:sz w:val="24"/>
          <w:szCs w:val="24"/>
        </w:rPr>
      </w:pPr>
    </w:p>
    <w:p w:rsidR="00A17FBC" w:rsidRPr="00B600EB" w:rsidRDefault="00A17FBC" w:rsidP="00A17FBC">
      <w:pPr>
        <w:rPr>
          <w:rFonts w:asciiTheme="majorEastAsia" w:eastAsiaTheme="majorEastAsia" w:hAnsiTheme="majorEastAsia"/>
          <w:sz w:val="24"/>
          <w:szCs w:val="24"/>
        </w:rPr>
      </w:pPr>
      <w:r w:rsidRPr="00B600EB">
        <w:rPr>
          <w:rFonts w:asciiTheme="majorEastAsia" w:eastAsiaTheme="majorEastAsia" w:hAnsiTheme="majorEastAsia" w:hint="eastAsia"/>
          <w:sz w:val="24"/>
          <w:szCs w:val="24"/>
        </w:rPr>
        <w:t>３　経済</w:t>
      </w:r>
    </w:p>
    <w:p w:rsidR="00A17FBC" w:rsidRPr="00A36264" w:rsidRDefault="00A17FBC" w:rsidP="00A17FBC">
      <w:pPr>
        <w:rPr>
          <w:rFonts w:asciiTheme="majorEastAsia" w:eastAsiaTheme="majorEastAsia" w:hAnsiTheme="majorEastAsia"/>
          <w:sz w:val="24"/>
          <w:szCs w:val="24"/>
        </w:rPr>
      </w:pPr>
      <w:r w:rsidRPr="00A36264">
        <w:rPr>
          <w:rFonts w:asciiTheme="majorEastAsia" w:eastAsiaTheme="majorEastAsia" w:hAnsiTheme="majorEastAsia" w:hint="eastAsia"/>
          <w:sz w:val="24"/>
          <w:szCs w:val="24"/>
        </w:rPr>
        <w:t>（１）商業登記社数の増加</w:t>
      </w:r>
    </w:p>
    <w:p w:rsidR="00A17FBC" w:rsidRPr="00A36264" w:rsidRDefault="00A17FBC" w:rsidP="00A17FBC">
      <w:pPr>
        <w:rPr>
          <w:rFonts w:asciiTheme="majorEastAsia" w:eastAsiaTheme="majorEastAsia" w:hAnsiTheme="majorEastAsia"/>
          <w:sz w:val="24"/>
          <w:szCs w:val="24"/>
        </w:rPr>
      </w:pPr>
      <w:r w:rsidRPr="00A36264">
        <w:rPr>
          <w:rFonts w:asciiTheme="majorEastAsia" w:eastAsiaTheme="majorEastAsia" w:hAnsiTheme="majorEastAsia" w:hint="eastAsia"/>
          <w:sz w:val="24"/>
          <w:szCs w:val="24"/>
        </w:rPr>
        <w:t xml:space="preserve">　５日，アストゥリアス経済大臣は，２０１７年</w:t>
      </w:r>
      <w:r w:rsidR="00091A02" w:rsidRPr="00A36264">
        <w:rPr>
          <w:rFonts w:asciiTheme="majorEastAsia" w:eastAsiaTheme="majorEastAsia" w:hAnsiTheme="majorEastAsia" w:hint="eastAsia"/>
          <w:sz w:val="24"/>
          <w:szCs w:val="24"/>
        </w:rPr>
        <w:t>１月～１０月</w:t>
      </w:r>
      <w:r w:rsidRPr="00A36264">
        <w:rPr>
          <w:rFonts w:asciiTheme="majorEastAsia" w:eastAsiaTheme="majorEastAsia" w:hAnsiTheme="majorEastAsia" w:hint="eastAsia"/>
          <w:sz w:val="24"/>
          <w:szCs w:val="24"/>
        </w:rPr>
        <w:t>の商業登記を行った会社が，３万１，２０４社になり，前年同期比で１１．３８％増加したと発表した。また，個人商店の登記は，１万７，３１０社で，前年同期比９．２７％増加したことも併せて発表された。加えて，商法改正を定めた政令１８号の発効（２０１８年１月２９日）により，株式会社の登記が，資本金５千ケツァル（約７万５千円）から，２百ケツァル（約３千円）に減額になる旨も発表された。</w:t>
      </w:r>
    </w:p>
    <w:p w:rsidR="00A17FBC" w:rsidRPr="00A36264" w:rsidRDefault="00091A02" w:rsidP="00A17FBC">
      <w:pPr>
        <w:rPr>
          <w:rFonts w:asciiTheme="majorEastAsia" w:eastAsiaTheme="majorEastAsia" w:hAnsiTheme="majorEastAsia"/>
          <w:sz w:val="24"/>
          <w:szCs w:val="24"/>
        </w:rPr>
      </w:pPr>
      <w:r w:rsidRPr="00A36264">
        <w:rPr>
          <w:rFonts w:asciiTheme="majorEastAsia" w:eastAsiaTheme="majorEastAsia" w:hAnsiTheme="majorEastAsia" w:hint="eastAsia"/>
          <w:sz w:val="24"/>
          <w:szCs w:val="24"/>
        </w:rPr>
        <w:t>（２）海外送金額の増加</w:t>
      </w:r>
    </w:p>
    <w:p w:rsidR="00A17FBC" w:rsidRPr="00A36264" w:rsidRDefault="00A17FBC" w:rsidP="00A17FBC">
      <w:pPr>
        <w:rPr>
          <w:rFonts w:asciiTheme="majorEastAsia" w:eastAsiaTheme="majorEastAsia" w:hAnsiTheme="majorEastAsia"/>
          <w:sz w:val="24"/>
          <w:szCs w:val="24"/>
        </w:rPr>
      </w:pPr>
      <w:r w:rsidRPr="00A36264">
        <w:rPr>
          <w:rFonts w:asciiTheme="majorEastAsia" w:eastAsiaTheme="majorEastAsia" w:hAnsiTheme="majorEastAsia" w:hint="eastAsia"/>
          <w:sz w:val="24"/>
          <w:szCs w:val="24"/>
        </w:rPr>
        <w:t xml:space="preserve">　６日，中銀は２０１７年１１月までの当国の海外送金受取額が，７４億７，１９０万ドルに達し，１１月の時点で２０１６年の送金額を超えたと発表した。中銀は，２０１７年の額は８２億ドルに達し，前年比１６％増となると予測している。</w:t>
      </w:r>
    </w:p>
    <w:p w:rsidR="00A17FBC" w:rsidRPr="00A36264" w:rsidRDefault="00A17FBC" w:rsidP="00A17FBC">
      <w:pPr>
        <w:rPr>
          <w:rFonts w:asciiTheme="majorEastAsia" w:eastAsiaTheme="majorEastAsia" w:hAnsiTheme="majorEastAsia"/>
          <w:sz w:val="24"/>
          <w:szCs w:val="24"/>
        </w:rPr>
      </w:pPr>
      <w:r w:rsidRPr="00A36264">
        <w:rPr>
          <w:rFonts w:asciiTheme="majorEastAsia" w:eastAsiaTheme="majorEastAsia" w:hAnsiTheme="majorEastAsia" w:hint="eastAsia"/>
          <w:sz w:val="24"/>
          <w:szCs w:val="24"/>
        </w:rPr>
        <w:t>（３）中銀による２０１７年経済成長率の推定値発表</w:t>
      </w:r>
    </w:p>
    <w:p w:rsidR="00A17FBC" w:rsidRPr="00A36264" w:rsidRDefault="00091A02" w:rsidP="00A17FBC">
      <w:pPr>
        <w:rPr>
          <w:rFonts w:asciiTheme="majorEastAsia" w:eastAsiaTheme="majorEastAsia" w:hAnsiTheme="majorEastAsia"/>
          <w:sz w:val="24"/>
          <w:szCs w:val="24"/>
        </w:rPr>
      </w:pPr>
      <w:r w:rsidRPr="00A36264">
        <w:rPr>
          <w:rFonts w:asciiTheme="majorEastAsia" w:eastAsiaTheme="majorEastAsia" w:hAnsiTheme="majorEastAsia" w:hint="eastAsia"/>
          <w:sz w:val="24"/>
          <w:szCs w:val="24"/>
        </w:rPr>
        <w:t xml:space="preserve">　１４日，中銀は２０１７年の経済成長率が２．８％になるとの</w:t>
      </w:r>
      <w:r w:rsidR="00A17FBC" w:rsidRPr="00A36264">
        <w:rPr>
          <w:rFonts w:asciiTheme="majorEastAsia" w:eastAsiaTheme="majorEastAsia" w:hAnsiTheme="majorEastAsia" w:hint="eastAsia"/>
          <w:sz w:val="24"/>
          <w:szCs w:val="24"/>
        </w:rPr>
        <w:t>推定値を発表した。２０１６年の成長率は，３．１％であった。成長が減速した理由につい</w:t>
      </w:r>
      <w:r w:rsidR="00A17FBC" w:rsidRPr="00A36264">
        <w:rPr>
          <w:rFonts w:asciiTheme="majorEastAsia" w:eastAsiaTheme="majorEastAsia" w:hAnsiTheme="majorEastAsia" w:hint="eastAsia"/>
          <w:sz w:val="24"/>
          <w:szCs w:val="24"/>
        </w:rPr>
        <w:lastRenderedPageBreak/>
        <w:t>て，中銀は，投資（民間，公共，海外）の停滞，鉱業セクターにおける司法の不確実性，消費の停滞などを挙げた。</w:t>
      </w:r>
    </w:p>
    <w:p w:rsidR="00A17FBC" w:rsidRPr="00A36264" w:rsidRDefault="00A17FBC" w:rsidP="00A17FBC">
      <w:pPr>
        <w:rPr>
          <w:rFonts w:asciiTheme="majorEastAsia" w:eastAsiaTheme="majorEastAsia" w:hAnsiTheme="majorEastAsia"/>
          <w:sz w:val="24"/>
          <w:szCs w:val="24"/>
        </w:rPr>
      </w:pPr>
      <w:r w:rsidRPr="00A36264">
        <w:rPr>
          <w:rFonts w:asciiTheme="majorEastAsia" w:eastAsiaTheme="majorEastAsia" w:hAnsiTheme="majorEastAsia" w:hint="eastAsia"/>
          <w:sz w:val="24"/>
          <w:szCs w:val="24"/>
        </w:rPr>
        <w:t>（４）最低賃金の引き上げ</w:t>
      </w:r>
    </w:p>
    <w:p w:rsidR="00A17FBC" w:rsidRPr="00A36264" w:rsidRDefault="00A17FBC" w:rsidP="00A17FBC">
      <w:pPr>
        <w:rPr>
          <w:rFonts w:asciiTheme="majorEastAsia" w:eastAsiaTheme="majorEastAsia" w:hAnsiTheme="majorEastAsia"/>
          <w:sz w:val="24"/>
          <w:szCs w:val="24"/>
        </w:rPr>
      </w:pPr>
      <w:r w:rsidRPr="00A36264">
        <w:rPr>
          <w:rFonts w:asciiTheme="majorEastAsia" w:eastAsiaTheme="majorEastAsia" w:hAnsiTheme="majorEastAsia" w:hint="eastAsia"/>
          <w:sz w:val="24"/>
          <w:szCs w:val="24"/>
        </w:rPr>
        <w:t xml:space="preserve">　２９日，政府は２０１８年の最低賃金に関する政令を発表した。同政令によって，２０１７年に比べて，農業および非農業部門の時給が１０．８６ケツァルから１１．２７ケツァル（約１６９円），輸出およびマキラ（保税加工区）部門の時給が９．９３ケツァルから１０．３ケツァル（約１５５円）に引き上げられ，３．７５％増となった。月給換算では，それぞれ２，７４２．３６ケツァル（約４万１，１３５円），２，５０８．１５ケツァル（約３万７，６２２円）となる。</w:t>
      </w:r>
    </w:p>
    <w:p w:rsidR="00A17FBC" w:rsidRPr="00A36264" w:rsidRDefault="00A17FBC" w:rsidP="00A36264">
      <w:pPr>
        <w:ind w:firstLineChars="100" w:firstLine="240"/>
        <w:rPr>
          <w:rFonts w:asciiTheme="majorEastAsia" w:eastAsiaTheme="majorEastAsia" w:hAnsiTheme="majorEastAsia"/>
          <w:sz w:val="24"/>
          <w:szCs w:val="24"/>
        </w:rPr>
      </w:pPr>
      <w:r w:rsidRPr="00A36264">
        <w:rPr>
          <w:rFonts w:asciiTheme="majorEastAsia" w:eastAsiaTheme="majorEastAsia" w:hAnsiTheme="majorEastAsia" w:hint="eastAsia"/>
          <w:sz w:val="24"/>
          <w:szCs w:val="24"/>
        </w:rPr>
        <w:t>２０１７年の最低賃金は，２０１６年比６．１２％増だった。また，２０１７年１１月までのインフレ率は４．６９％であり（当館注：２０１８年のインフレ率は３～５</w:t>
      </w:r>
      <w:bookmarkStart w:id="0" w:name="_GoBack"/>
      <w:bookmarkEnd w:id="0"/>
      <w:r w:rsidRPr="00A36264">
        <w:rPr>
          <w:rFonts w:asciiTheme="majorEastAsia" w:eastAsiaTheme="majorEastAsia" w:hAnsiTheme="majorEastAsia" w:hint="eastAsia"/>
          <w:sz w:val="24"/>
          <w:szCs w:val="24"/>
        </w:rPr>
        <w:t>％と予測されている），２０１８年の</w:t>
      </w:r>
      <w:r w:rsidR="00091A02" w:rsidRPr="00A36264">
        <w:rPr>
          <w:rFonts w:asciiTheme="majorEastAsia" w:eastAsiaTheme="majorEastAsia" w:hAnsiTheme="majorEastAsia" w:hint="eastAsia"/>
          <w:sz w:val="24"/>
          <w:szCs w:val="24"/>
        </w:rPr>
        <w:t>最低賃金</w:t>
      </w:r>
      <w:r w:rsidRPr="00A36264">
        <w:rPr>
          <w:rFonts w:asciiTheme="majorEastAsia" w:eastAsiaTheme="majorEastAsia" w:hAnsiTheme="majorEastAsia" w:hint="eastAsia"/>
          <w:sz w:val="24"/>
          <w:szCs w:val="24"/>
        </w:rPr>
        <w:t>増加率はこれらを下回るものになった。また，月給換算でも，２０１</w:t>
      </w:r>
      <w:r w:rsidR="00091A02" w:rsidRPr="00A36264">
        <w:rPr>
          <w:rFonts w:asciiTheme="majorEastAsia" w:eastAsiaTheme="majorEastAsia" w:hAnsiTheme="majorEastAsia" w:hint="eastAsia"/>
          <w:sz w:val="24"/>
          <w:szCs w:val="24"/>
        </w:rPr>
        <w:t>７年１１月時点で３，５４８．５６ケツァル（約５万３，２２８円）であ</w:t>
      </w:r>
      <w:r w:rsidRPr="00A36264">
        <w:rPr>
          <w:rFonts w:asciiTheme="majorEastAsia" w:eastAsiaTheme="majorEastAsia" w:hAnsiTheme="majorEastAsia" w:hint="eastAsia"/>
          <w:sz w:val="24"/>
          <w:szCs w:val="24"/>
        </w:rPr>
        <w:t>った基礎的食料バスケット（１世帯（４．７７人）あたりが一月に消費する最低限の食料品（３４品目）の値段を計算した指標）の価格を下回った。</w:t>
      </w:r>
    </w:p>
    <w:p w:rsidR="00A17FBC" w:rsidRPr="00A36264" w:rsidRDefault="00A17FBC" w:rsidP="00A17FBC">
      <w:pPr>
        <w:rPr>
          <w:rFonts w:asciiTheme="majorEastAsia" w:eastAsiaTheme="majorEastAsia" w:hAnsiTheme="majorEastAsia"/>
          <w:sz w:val="24"/>
          <w:szCs w:val="24"/>
        </w:rPr>
      </w:pPr>
    </w:p>
    <w:p w:rsidR="00A17FBC" w:rsidRPr="00A36264" w:rsidRDefault="00A17FBC" w:rsidP="00A17FBC">
      <w:pPr>
        <w:rPr>
          <w:rFonts w:asciiTheme="majorEastAsia" w:eastAsiaTheme="majorEastAsia" w:hAnsiTheme="majorEastAsia"/>
          <w:sz w:val="24"/>
          <w:szCs w:val="24"/>
        </w:rPr>
      </w:pPr>
    </w:p>
    <w:tbl>
      <w:tblPr>
        <w:tblW w:w="8662" w:type="dxa"/>
        <w:tblInd w:w="84" w:type="dxa"/>
        <w:tblLayout w:type="fixed"/>
        <w:tblCellMar>
          <w:left w:w="99" w:type="dxa"/>
          <w:right w:w="99" w:type="dxa"/>
        </w:tblCellMar>
        <w:tblLook w:val="04A0" w:firstRow="1" w:lastRow="0" w:firstColumn="1" w:lastColumn="0" w:noHBand="0" w:noVBand="1"/>
      </w:tblPr>
      <w:tblGrid>
        <w:gridCol w:w="2142"/>
        <w:gridCol w:w="1275"/>
        <w:gridCol w:w="1276"/>
        <w:gridCol w:w="1134"/>
        <w:gridCol w:w="1418"/>
        <w:gridCol w:w="1417"/>
      </w:tblGrid>
      <w:tr w:rsidR="00A17FBC" w:rsidRPr="00A36264" w:rsidTr="00B600EB">
        <w:trPr>
          <w:trHeight w:val="270"/>
        </w:trPr>
        <w:tc>
          <w:tcPr>
            <w:tcW w:w="2142" w:type="dxa"/>
            <w:vMerge w:val="restart"/>
            <w:tcBorders>
              <w:top w:val="single" w:sz="4" w:space="0" w:color="auto"/>
              <w:left w:val="single" w:sz="4" w:space="0" w:color="auto"/>
              <w:bottom w:val="single" w:sz="4" w:space="0" w:color="000000"/>
              <w:right w:val="single" w:sz="4" w:space="0" w:color="auto"/>
            </w:tcBorders>
            <w:vAlign w:val="center"/>
          </w:tcPr>
          <w:p w:rsidR="00A17FBC" w:rsidRPr="00A36264" w:rsidRDefault="00A17FBC" w:rsidP="002047E0">
            <w:pPr>
              <w:widowControl/>
              <w:jc w:val="left"/>
              <w:rPr>
                <w:rFonts w:asciiTheme="majorEastAsia" w:eastAsiaTheme="majorEastAsia" w:hAnsiTheme="majorEastAsia" w:cs="ＭＳ Ｐゴシック"/>
                <w:color w:val="000000"/>
                <w:kern w:val="0"/>
                <w:sz w:val="24"/>
                <w:szCs w:val="24"/>
              </w:rPr>
            </w:pPr>
            <w:r w:rsidRPr="00A36264">
              <w:rPr>
                <w:rFonts w:asciiTheme="majorEastAsia" w:eastAsiaTheme="majorEastAsia" w:hAnsiTheme="majorEastAsia" w:cs="ＭＳ Ｐゴシック" w:hint="eastAsia"/>
                <w:color w:val="000000"/>
                <w:kern w:val="0"/>
                <w:sz w:val="24"/>
                <w:szCs w:val="24"/>
              </w:rPr>
              <w:t>◇主要経済指標◇</w:t>
            </w:r>
          </w:p>
        </w:tc>
        <w:tc>
          <w:tcPr>
            <w:tcW w:w="3685" w:type="dxa"/>
            <w:gridSpan w:val="3"/>
            <w:tcBorders>
              <w:top w:val="single" w:sz="4" w:space="0" w:color="auto"/>
              <w:left w:val="nil"/>
              <w:bottom w:val="nil"/>
              <w:right w:val="single" w:sz="4" w:space="0" w:color="000000"/>
            </w:tcBorders>
            <w:vAlign w:val="center"/>
          </w:tcPr>
          <w:p w:rsidR="00A17FBC" w:rsidRPr="00A36264" w:rsidRDefault="00A17FBC" w:rsidP="002047E0">
            <w:pPr>
              <w:widowControl/>
              <w:jc w:val="center"/>
              <w:rPr>
                <w:rFonts w:asciiTheme="majorEastAsia" w:eastAsiaTheme="majorEastAsia" w:hAnsiTheme="majorEastAsia" w:cs="ＭＳ Ｐゴシック"/>
                <w:b/>
                <w:bCs/>
                <w:color w:val="000000"/>
                <w:kern w:val="0"/>
                <w:sz w:val="24"/>
                <w:szCs w:val="24"/>
              </w:rPr>
            </w:pPr>
            <w:r w:rsidRPr="00A36264">
              <w:rPr>
                <w:rFonts w:asciiTheme="majorEastAsia" w:eastAsiaTheme="majorEastAsia" w:hAnsiTheme="majorEastAsia" w:cs="ＭＳ Ｐゴシック" w:hint="eastAsia"/>
                <w:b/>
                <w:bCs/>
                <w:color w:val="000000"/>
                <w:kern w:val="0"/>
                <w:sz w:val="24"/>
                <w:szCs w:val="24"/>
              </w:rPr>
              <w:t>2017年</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rsidR="00A17FBC" w:rsidRPr="00A36264" w:rsidRDefault="00A17FBC" w:rsidP="002047E0">
            <w:pPr>
              <w:widowControl/>
              <w:jc w:val="center"/>
              <w:rPr>
                <w:rFonts w:asciiTheme="majorEastAsia" w:eastAsiaTheme="majorEastAsia" w:hAnsiTheme="majorEastAsia" w:cs="ＭＳ Ｐゴシック"/>
                <w:b/>
                <w:bCs/>
                <w:color w:val="000000"/>
                <w:kern w:val="0"/>
                <w:sz w:val="24"/>
                <w:szCs w:val="24"/>
              </w:rPr>
            </w:pPr>
            <w:r w:rsidRPr="00A36264">
              <w:rPr>
                <w:rFonts w:asciiTheme="majorEastAsia" w:eastAsiaTheme="majorEastAsia" w:hAnsiTheme="majorEastAsia" w:cs="ＭＳ Ｐゴシック" w:hint="eastAsia"/>
                <w:b/>
                <w:bCs/>
                <w:color w:val="000000"/>
                <w:kern w:val="0"/>
                <w:sz w:val="24"/>
                <w:szCs w:val="24"/>
              </w:rPr>
              <w:t>2016年</w:t>
            </w:r>
          </w:p>
        </w:tc>
        <w:tc>
          <w:tcPr>
            <w:tcW w:w="1417" w:type="dxa"/>
            <w:vMerge w:val="restart"/>
            <w:tcBorders>
              <w:top w:val="single" w:sz="4" w:space="0" w:color="auto"/>
              <w:left w:val="single" w:sz="4" w:space="0" w:color="auto"/>
              <w:right w:val="single" w:sz="4" w:space="0" w:color="auto"/>
            </w:tcBorders>
            <w:vAlign w:val="center"/>
          </w:tcPr>
          <w:p w:rsidR="00A17FBC" w:rsidRPr="00A36264" w:rsidRDefault="00A17FBC" w:rsidP="002047E0">
            <w:pPr>
              <w:keepLines/>
              <w:widowControl/>
              <w:jc w:val="center"/>
              <w:rPr>
                <w:rFonts w:asciiTheme="majorEastAsia" w:eastAsiaTheme="majorEastAsia" w:hAnsiTheme="majorEastAsia" w:cs="ＭＳ Ｐゴシック"/>
                <w:b/>
                <w:bCs/>
                <w:color w:val="000000"/>
                <w:kern w:val="0"/>
                <w:sz w:val="24"/>
                <w:szCs w:val="24"/>
              </w:rPr>
            </w:pPr>
            <w:r w:rsidRPr="00A36264">
              <w:rPr>
                <w:rFonts w:asciiTheme="majorEastAsia" w:eastAsiaTheme="majorEastAsia" w:hAnsiTheme="majorEastAsia" w:cs="ＭＳ Ｐゴシック" w:hint="eastAsia"/>
                <w:b/>
                <w:bCs/>
                <w:color w:val="000000"/>
                <w:kern w:val="0"/>
                <w:sz w:val="24"/>
                <w:szCs w:val="24"/>
              </w:rPr>
              <w:t>2015年</w:t>
            </w:r>
          </w:p>
        </w:tc>
      </w:tr>
      <w:tr w:rsidR="00A17FBC" w:rsidRPr="00A36264" w:rsidTr="00B600EB">
        <w:trPr>
          <w:trHeight w:val="270"/>
        </w:trPr>
        <w:tc>
          <w:tcPr>
            <w:tcW w:w="2142" w:type="dxa"/>
            <w:vMerge/>
            <w:tcBorders>
              <w:top w:val="single" w:sz="4" w:space="0" w:color="auto"/>
              <w:left w:val="single" w:sz="4" w:space="0" w:color="auto"/>
              <w:bottom w:val="single" w:sz="4" w:space="0" w:color="000000"/>
              <w:right w:val="single" w:sz="4" w:space="0" w:color="auto"/>
            </w:tcBorders>
            <w:vAlign w:val="center"/>
          </w:tcPr>
          <w:p w:rsidR="00A17FBC" w:rsidRPr="00A36264" w:rsidRDefault="00A17FBC" w:rsidP="002047E0">
            <w:pPr>
              <w:widowControl/>
              <w:jc w:val="left"/>
              <w:rPr>
                <w:rFonts w:asciiTheme="majorEastAsia" w:eastAsiaTheme="majorEastAsia" w:hAnsiTheme="majorEastAsia" w:cs="ＭＳ Ｐゴシック"/>
                <w:color w:val="000000"/>
                <w:kern w:val="0"/>
                <w:sz w:val="24"/>
                <w:szCs w:val="24"/>
              </w:rPr>
            </w:pPr>
          </w:p>
        </w:tc>
        <w:tc>
          <w:tcPr>
            <w:tcW w:w="1275" w:type="dxa"/>
            <w:tcBorders>
              <w:top w:val="single" w:sz="4" w:space="0" w:color="auto"/>
              <w:left w:val="nil"/>
              <w:bottom w:val="single" w:sz="4" w:space="0" w:color="auto"/>
              <w:right w:val="single" w:sz="4" w:space="0" w:color="auto"/>
            </w:tcBorders>
            <w:vAlign w:val="bottom"/>
          </w:tcPr>
          <w:p w:rsidR="00A17FBC" w:rsidRPr="00A36264" w:rsidRDefault="00A17FBC" w:rsidP="002047E0">
            <w:pPr>
              <w:widowControl/>
              <w:jc w:val="center"/>
              <w:rPr>
                <w:rFonts w:asciiTheme="majorEastAsia" w:eastAsiaTheme="majorEastAsia" w:hAnsiTheme="majorEastAsia" w:cs="ＭＳ Ｐゴシック"/>
                <w:b/>
                <w:bCs/>
                <w:color w:val="000000"/>
                <w:kern w:val="0"/>
                <w:sz w:val="24"/>
                <w:szCs w:val="24"/>
              </w:rPr>
            </w:pPr>
            <w:r w:rsidRPr="00A36264">
              <w:rPr>
                <w:rFonts w:asciiTheme="majorEastAsia" w:eastAsiaTheme="majorEastAsia" w:hAnsiTheme="majorEastAsia" w:cs="ＭＳ Ｐゴシック" w:hint="eastAsia"/>
                <w:b/>
                <w:bCs/>
                <w:color w:val="000000"/>
                <w:kern w:val="0"/>
                <w:sz w:val="24"/>
                <w:szCs w:val="24"/>
              </w:rPr>
              <w:t>12月</w:t>
            </w:r>
          </w:p>
        </w:tc>
        <w:tc>
          <w:tcPr>
            <w:tcW w:w="1276" w:type="dxa"/>
            <w:tcBorders>
              <w:top w:val="single" w:sz="4" w:space="0" w:color="auto"/>
              <w:left w:val="nil"/>
              <w:bottom w:val="single" w:sz="4" w:space="0" w:color="auto"/>
              <w:right w:val="single" w:sz="4" w:space="0" w:color="auto"/>
            </w:tcBorders>
            <w:vAlign w:val="bottom"/>
          </w:tcPr>
          <w:p w:rsidR="00A17FBC" w:rsidRPr="00A36264" w:rsidRDefault="00A17FBC" w:rsidP="002047E0">
            <w:pPr>
              <w:widowControl/>
              <w:jc w:val="center"/>
              <w:rPr>
                <w:rFonts w:asciiTheme="majorEastAsia" w:eastAsiaTheme="majorEastAsia" w:hAnsiTheme="majorEastAsia" w:cs="ＭＳ Ｐゴシック"/>
                <w:b/>
                <w:bCs/>
                <w:color w:val="000000"/>
                <w:kern w:val="0"/>
                <w:sz w:val="24"/>
                <w:szCs w:val="24"/>
              </w:rPr>
            </w:pPr>
            <w:r w:rsidRPr="00A36264">
              <w:rPr>
                <w:rFonts w:asciiTheme="majorEastAsia" w:eastAsiaTheme="majorEastAsia" w:hAnsiTheme="majorEastAsia" w:cs="ＭＳ Ｐゴシック" w:hint="eastAsia"/>
                <w:b/>
                <w:bCs/>
                <w:color w:val="000000"/>
                <w:kern w:val="0"/>
                <w:sz w:val="24"/>
                <w:szCs w:val="24"/>
              </w:rPr>
              <w:t>11月</w:t>
            </w:r>
          </w:p>
        </w:tc>
        <w:tc>
          <w:tcPr>
            <w:tcW w:w="1134" w:type="dxa"/>
            <w:tcBorders>
              <w:top w:val="single" w:sz="4" w:space="0" w:color="auto"/>
              <w:left w:val="nil"/>
              <w:bottom w:val="single" w:sz="4" w:space="0" w:color="auto"/>
              <w:right w:val="single" w:sz="4" w:space="0" w:color="auto"/>
            </w:tcBorders>
            <w:vAlign w:val="bottom"/>
          </w:tcPr>
          <w:p w:rsidR="00A17FBC" w:rsidRPr="00A36264" w:rsidRDefault="00A17FBC" w:rsidP="002047E0">
            <w:pPr>
              <w:widowControl/>
              <w:jc w:val="center"/>
              <w:rPr>
                <w:rFonts w:asciiTheme="majorEastAsia" w:eastAsiaTheme="majorEastAsia" w:hAnsiTheme="majorEastAsia" w:cs="ＭＳ Ｐゴシック"/>
                <w:b/>
                <w:bCs/>
                <w:color w:val="000000"/>
                <w:kern w:val="0"/>
                <w:sz w:val="24"/>
                <w:szCs w:val="24"/>
              </w:rPr>
            </w:pPr>
            <w:r w:rsidRPr="00A36264">
              <w:rPr>
                <w:rFonts w:asciiTheme="majorEastAsia" w:eastAsiaTheme="majorEastAsia" w:hAnsiTheme="majorEastAsia" w:cs="ＭＳ Ｐゴシック" w:hint="eastAsia"/>
                <w:b/>
                <w:bCs/>
                <w:color w:val="000000"/>
                <w:kern w:val="0"/>
                <w:sz w:val="24"/>
                <w:szCs w:val="24"/>
              </w:rPr>
              <w:t>10月</w:t>
            </w:r>
          </w:p>
        </w:tc>
        <w:tc>
          <w:tcPr>
            <w:tcW w:w="1418" w:type="dxa"/>
            <w:vMerge/>
            <w:tcBorders>
              <w:top w:val="single" w:sz="4" w:space="0" w:color="auto"/>
              <w:left w:val="single" w:sz="4" w:space="0" w:color="auto"/>
              <w:bottom w:val="single" w:sz="4" w:space="0" w:color="000000"/>
              <w:right w:val="single" w:sz="4" w:space="0" w:color="auto"/>
            </w:tcBorders>
            <w:vAlign w:val="center"/>
          </w:tcPr>
          <w:p w:rsidR="00A17FBC" w:rsidRPr="00A36264" w:rsidRDefault="00A17FBC" w:rsidP="002047E0">
            <w:pPr>
              <w:widowControl/>
              <w:jc w:val="left"/>
              <w:rPr>
                <w:rFonts w:asciiTheme="majorEastAsia" w:eastAsiaTheme="majorEastAsia" w:hAnsiTheme="majorEastAsia" w:cs="ＭＳ Ｐゴシック"/>
                <w:b/>
                <w:bCs/>
                <w:color w:val="000000"/>
                <w:kern w:val="0"/>
                <w:sz w:val="24"/>
                <w:szCs w:val="24"/>
              </w:rPr>
            </w:pPr>
          </w:p>
        </w:tc>
        <w:tc>
          <w:tcPr>
            <w:tcW w:w="1417" w:type="dxa"/>
            <w:vMerge/>
            <w:tcBorders>
              <w:left w:val="single" w:sz="4" w:space="0" w:color="auto"/>
              <w:bottom w:val="single" w:sz="4" w:space="0" w:color="000000"/>
              <w:right w:val="single" w:sz="4" w:space="0" w:color="auto"/>
            </w:tcBorders>
          </w:tcPr>
          <w:p w:rsidR="00A17FBC" w:rsidRPr="00A36264" w:rsidRDefault="00A17FBC" w:rsidP="002047E0">
            <w:pPr>
              <w:widowControl/>
              <w:jc w:val="left"/>
              <w:rPr>
                <w:rFonts w:asciiTheme="majorEastAsia" w:eastAsiaTheme="majorEastAsia" w:hAnsiTheme="majorEastAsia" w:cs="ＭＳ Ｐゴシック"/>
                <w:b/>
                <w:bCs/>
                <w:color w:val="000000"/>
                <w:kern w:val="0"/>
                <w:sz w:val="24"/>
                <w:szCs w:val="24"/>
              </w:rPr>
            </w:pPr>
          </w:p>
        </w:tc>
      </w:tr>
      <w:tr w:rsidR="00A17FBC" w:rsidRPr="00A36264" w:rsidTr="00B600EB">
        <w:trPr>
          <w:trHeight w:val="300"/>
        </w:trPr>
        <w:tc>
          <w:tcPr>
            <w:tcW w:w="2142" w:type="dxa"/>
            <w:tcBorders>
              <w:top w:val="nil"/>
              <w:left w:val="single" w:sz="4" w:space="0" w:color="auto"/>
              <w:bottom w:val="single" w:sz="4" w:space="0" w:color="auto"/>
              <w:right w:val="single" w:sz="4" w:space="0" w:color="auto"/>
            </w:tcBorders>
            <w:vAlign w:val="center"/>
          </w:tcPr>
          <w:p w:rsidR="00A36264" w:rsidRDefault="00A17FBC" w:rsidP="002047E0">
            <w:pPr>
              <w:widowControl/>
              <w:jc w:val="left"/>
              <w:rPr>
                <w:rFonts w:asciiTheme="majorEastAsia" w:eastAsiaTheme="majorEastAsia" w:hAnsiTheme="majorEastAsia" w:cs="ＭＳ Ｐゴシック"/>
                <w:b/>
                <w:bCs/>
                <w:color w:val="000000"/>
                <w:kern w:val="0"/>
                <w:sz w:val="24"/>
                <w:szCs w:val="24"/>
              </w:rPr>
            </w:pPr>
            <w:r w:rsidRPr="00A36264">
              <w:rPr>
                <w:rFonts w:asciiTheme="majorEastAsia" w:eastAsiaTheme="majorEastAsia" w:hAnsiTheme="majorEastAsia" w:cs="ＭＳ Ｐゴシック" w:hint="eastAsia"/>
                <w:b/>
                <w:bCs/>
                <w:color w:val="000000"/>
                <w:kern w:val="0"/>
                <w:sz w:val="24"/>
                <w:szCs w:val="24"/>
              </w:rPr>
              <w:t>インフレ率</w:t>
            </w:r>
          </w:p>
          <w:p w:rsidR="00A17FBC" w:rsidRPr="00A36264" w:rsidRDefault="00A17FBC" w:rsidP="002047E0">
            <w:pPr>
              <w:widowControl/>
              <w:jc w:val="left"/>
              <w:rPr>
                <w:rFonts w:asciiTheme="majorEastAsia" w:eastAsiaTheme="majorEastAsia" w:hAnsiTheme="majorEastAsia" w:cs="ＭＳ Ｐゴシック"/>
                <w:b/>
                <w:bCs/>
                <w:color w:val="000000"/>
                <w:kern w:val="0"/>
                <w:sz w:val="24"/>
                <w:szCs w:val="24"/>
              </w:rPr>
            </w:pPr>
            <w:r w:rsidRPr="00A36264">
              <w:rPr>
                <w:rFonts w:asciiTheme="majorEastAsia" w:eastAsiaTheme="majorEastAsia" w:hAnsiTheme="majorEastAsia" w:cs="ＭＳ Ｐゴシック" w:hint="eastAsia"/>
                <w:b/>
                <w:bCs/>
                <w:color w:val="000000"/>
                <w:kern w:val="0"/>
                <w:sz w:val="24"/>
                <w:szCs w:val="24"/>
              </w:rPr>
              <w:t xml:space="preserve"> （前年同月比）</w:t>
            </w:r>
          </w:p>
        </w:tc>
        <w:tc>
          <w:tcPr>
            <w:tcW w:w="1275" w:type="dxa"/>
            <w:tcBorders>
              <w:top w:val="nil"/>
              <w:left w:val="nil"/>
              <w:bottom w:val="single" w:sz="4" w:space="0" w:color="auto"/>
              <w:right w:val="single" w:sz="4" w:space="0" w:color="auto"/>
            </w:tcBorders>
            <w:vAlign w:val="bottom"/>
          </w:tcPr>
          <w:p w:rsidR="00A17FBC" w:rsidRPr="00A36264" w:rsidRDefault="00A17FBC" w:rsidP="002047E0">
            <w:pPr>
              <w:widowControl/>
              <w:jc w:val="center"/>
              <w:rPr>
                <w:rFonts w:asciiTheme="majorEastAsia" w:eastAsiaTheme="majorEastAsia" w:hAnsiTheme="majorEastAsia"/>
                <w:color w:val="000000"/>
                <w:kern w:val="0"/>
                <w:sz w:val="24"/>
                <w:szCs w:val="24"/>
              </w:rPr>
            </w:pPr>
            <w:r w:rsidRPr="00A36264">
              <w:rPr>
                <w:rFonts w:asciiTheme="majorEastAsia" w:eastAsiaTheme="majorEastAsia" w:hAnsiTheme="majorEastAsia" w:cs="ＭＳ Ｐゴシック" w:hint="eastAsia"/>
                <w:color w:val="000000"/>
                <w:kern w:val="0"/>
                <w:sz w:val="24"/>
                <w:szCs w:val="24"/>
              </w:rPr>
              <w:t>未発表</w:t>
            </w:r>
          </w:p>
        </w:tc>
        <w:tc>
          <w:tcPr>
            <w:tcW w:w="1276" w:type="dxa"/>
            <w:tcBorders>
              <w:top w:val="nil"/>
              <w:left w:val="nil"/>
              <w:bottom w:val="single" w:sz="4" w:space="0" w:color="auto"/>
              <w:right w:val="single" w:sz="4" w:space="0" w:color="auto"/>
            </w:tcBorders>
            <w:vAlign w:val="bottom"/>
          </w:tcPr>
          <w:p w:rsidR="00A17FBC" w:rsidRPr="00A36264" w:rsidRDefault="00A17FBC" w:rsidP="002047E0">
            <w:pPr>
              <w:widowControl/>
              <w:jc w:val="right"/>
              <w:rPr>
                <w:rFonts w:asciiTheme="majorEastAsia" w:eastAsiaTheme="majorEastAsia" w:hAnsiTheme="majorEastAsia"/>
                <w:color w:val="000000"/>
                <w:kern w:val="0"/>
                <w:sz w:val="24"/>
                <w:szCs w:val="24"/>
              </w:rPr>
            </w:pPr>
            <w:r w:rsidRPr="00A36264">
              <w:rPr>
                <w:rFonts w:asciiTheme="majorEastAsia" w:eastAsiaTheme="majorEastAsia" w:hAnsiTheme="majorEastAsia" w:hint="eastAsia"/>
                <w:color w:val="000000"/>
                <w:kern w:val="0"/>
                <w:sz w:val="24"/>
                <w:szCs w:val="24"/>
              </w:rPr>
              <w:t>4.69%</w:t>
            </w:r>
          </w:p>
        </w:tc>
        <w:tc>
          <w:tcPr>
            <w:tcW w:w="1134" w:type="dxa"/>
            <w:tcBorders>
              <w:top w:val="nil"/>
              <w:left w:val="nil"/>
              <w:bottom w:val="single" w:sz="4" w:space="0" w:color="auto"/>
              <w:right w:val="single" w:sz="4" w:space="0" w:color="auto"/>
            </w:tcBorders>
            <w:vAlign w:val="bottom"/>
          </w:tcPr>
          <w:p w:rsidR="00A17FBC" w:rsidRPr="00A36264" w:rsidRDefault="00A17FBC" w:rsidP="002047E0">
            <w:pPr>
              <w:widowControl/>
              <w:jc w:val="right"/>
              <w:rPr>
                <w:rFonts w:asciiTheme="majorEastAsia" w:eastAsiaTheme="majorEastAsia" w:hAnsiTheme="majorEastAsia"/>
                <w:color w:val="000000"/>
                <w:kern w:val="0"/>
                <w:sz w:val="24"/>
                <w:szCs w:val="24"/>
              </w:rPr>
            </w:pPr>
            <w:r w:rsidRPr="00A36264">
              <w:rPr>
                <w:rFonts w:asciiTheme="majorEastAsia" w:eastAsiaTheme="majorEastAsia" w:hAnsiTheme="majorEastAsia" w:hint="eastAsia"/>
                <w:color w:val="000000"/>
                <w:kern w:val="0"/>
                <w:sz w:val="24"/>
                <w:szCs w:val="24"/>
              </w:rPr>
              <w:t>4.20%</w:t>
            </w:r>
          </w:p>
        </w:tc>
        <w:tc>
          <w:tcPr>
            <w:tcW w:w="1418" w:type="dxa"/>
            <w:tcBorders>
              <w:top w:val="nil"/>
              <w:left w:val="nil"/>
              <w:bottom w:val="single" w:sz="4" w:space="0" w:color="auto"/>
              <w:right w:val="single" w:sz="4" w:space="0" w:color="auto"/>
            </w:tcBorders>
            <w:vAlign w:val="center"/>
          </w:tcPr>
          <w:p w:rsidR="00A36264" w:rsidRPr="00B600EB" w:rsidRDefault="00A36264" w:rsidP="002047E0">
            <w:pPr>
              <w:widowControl/>
              <w:jc w:val="right"/>
              <w:rPr>
                <w:rFonts w:asciiTheme="majorEastAsia" w:eastAsiaTheme="majorEastAsia" w:hAnsiTheme="majorEastAsia"/>
                <w:b/>
                <w:color w:val="000000"/>
                <w:kern w:val="0"/>
                <w:sz w:val="24"/>
                <w:szCs w:val="24"/>
              </w:rPr>
            </w:pPr>
          </w:p>
          <w:p w:rsidR="00A17FBC" w:rsidRPr="00B600EB" w:rsidRDefault="00A17FBC" w:rsidP="002047E0">
            <w:pPr>
              <w:widowControl/>
              <w:jc w:val="right"/>
              <w:rPr>
                <w:rFonts w:asciiTheme="majorEastAsia" w:eastAsiaTheme="majorEastAsia" w:hAnsiTheme="majorEastAsia"/>
                <w:b/>
                <w:color w:val="000000"/>
                <w:kern w:val="0"/>
                <w:sz w:val="24"/>
                <w:szCs w:val="24"/>
              </w:rPr>
            </w:pPr>
            <w:r w:rsidRPr="00B600EB">
              <w:rPr>
                <w:rFonts w:asciiTheme="majorEastAsia" w:eastAsiaTheme="majorEastAsia" w:hAnsiTheme="majorEastAsia" w:hint="eastAsia"/>
                <w:b/>
                <w:color w:val="000000"/>
                <w:kern w:val="0"/>
                <w:sz w:val="24"/>
                <w:szCs w:val="24"/>
              </w:rPr>
              <w:t>4.23</w:t>
            </w:r>
            <w:r w:rsidRPr="00B600EB">
              <w:rPr>
                <w:rFonts w:asciiTheme="majorEastAsia" w:eastAsiaTheme="majorEastAsia" w:hAnsiTheme="majorEastAsia"/>
                <w:b/>
                <w:color w:val="000000"/>
                <w:kern w:val="0"/>
                <w:sz w:val="24"/>
                <w:szCs w:val="24"/>
              </w:rPr>
              <w:t>%</w:t>
            </w:r>
          </w:p>
        </w:tc>
        <w:tc>
          <w:tcPr>
            <w:tcW w:w="1417" w:type="dxa"/>
            <w:tcBorders>
              <w:top w:val="nil"/>
              <w:left w:val="nil"/>
              <w:bottom w:val="single" w:sz="4" w:space="0" w:color="auto"/>
              <w:right w:val="single" w:sz="4" w:space="0" w:color="auto"/>
            </w:tcBorders>
          </w:tcPr>
          <w:p w:rsidR="00A36264" w:rsidRDefault="00A36264" w:rsidP="002047E0">
            <w:pPr>
              <w:widowControl/>
              <w:jc w:val="right"/>
              <w:rPr>
                <w:rFonts w:asciiTheme="majorEastAsia" w:eastAsiaTheme="majorEastAsia" w:hAnsiTheme="majorEastAsia"/>
                <w:color w:val="000000"/>
                <w:kern w:val="0"/>
                <w:sz w:val="24"/>
                <w:szCs w:val="24"/>
              </w:rPr>
            </w:pPr>
          </w:p>
          <w:p w:rsidR="00A17FBC" w:rsidRPr="00A36264" w:rsidRDefault="00A17FBC" w:rsidP="002047E0">
            <w:pPr>
              <w:widowControl/>
              <w:jc w:val="right"/>
              <w:rPr>
                <w:rFonts w:asciiTheme="majorEastAsia" w:eastAsiaTheme="majorEastAsia" w:hAnsiTheme="majorEastAsia"/>
                <w:color w:val="000000"/>
                <w:kern w:val="0"/>
                <w:sz w:val="24"/>
                <w:szCs w:val="24"/>
              </w:rPr>
            </w:pPr>
            <w:r w:rsidRPr="00A36264">
              <w:rPr>
                <w:rFonts w:asciiTheme="majorEastAsia" w:eastAsiaTheme="majorEastAsia" w:hAnsiTheme="majorEastAsia"/>
                <w:color w:val="000000"/>
                <w:kern w:val="0"/>
                <w:sz w:val="24"/>
                <w:szCs w:val="24"/>
              </w:rPr>
              <w:t>3.07%</w:t>
            </w:r>
          </w:p>
        </w:tc>
      </w:tr>
      <w:tr w:rsidR="00A17FBC" w:rsidRPr="00A36264" w:rsidTr="00B600EB">
        <w:trPr>
          <w:trHeight w:val="300"/>
        </w:trPr>
        <w:tc>
          <w:tcPr>
            <w:tcW w:w="2142" w:type="dxa"/>
            <w:tcBorders>
              <w:top w:val="nil"/>
              <w:left w:val="single" w:sz="4" w:space="0" w:color="auto"/>
              <w:bottom w:val="single" w:sz="4" w:space="0" w:color="auto"/>
              <w:right w:val="single" w:sz="4" w:space="0" w:color="auto"/>
            </w:tcBorders>
            <w:vAlign w:val="center"/>
          </w:tcPr>
          <w:p w:rsidR="00A36264" w:rsidRDefault="00A17FBC" w:rsidP="002047E0">
            <w:pPr>
              <w:widowControl/>
              <w:jc w:val="left"/>
              <w:rPr>
                <w:rFonts w:asciiTheme="majorEastAsia" w:eastAsiaTheme="majorEastAsia" w:hAnsiTheme="majorEastAsia" w:cs="ＭＳ Ｐゴシック"/>
                <w:b/>
                <w:bCs/>
                <w:color w:val="000000"/>
                <w:kern w:val="0"/>
                <w:sz w:val="24"/>
                <w:szCs w:val="24"/>
              </w:rPr>
            </w:pPr>
            <w:r w:rsidRPr="00A36264">
              <w:rPr>
                <w:rFonts w:asciiTheme="majorEastAsia" w:eastAsiaTheme="majorEastAsia" w:hAnsiTheme="majorEastAsia" w:cs="ＭＳ Ｐゴシック" w:hint="eastAsia"/>
                <w:b/>
                <w:bCs/>
                <w:color w:val="000000"/>
                <w:kern w:val="0"/>
                <w:sz w:val="24"/>
                <w:szCs w:val="24"/>
              </w:rPr>
              <w:t>貿易収支</w:t>
            </w:r>
          </w:p>
          <w:p w:rsidR="00A17FBC" w:rsidRPr="00A36264" w:rsidRDefault="00A17FBC" w:rsidP="002047E0">
            <w:pPr>
              <w:widowControl/>
              <w:jc w:val="left"/>
              <w:rPr>
                <w:rFonts w:asciiTheme="majorEastAsia" w:eastAsiaTheme="majorEastAsia" w:hAnsiTheme="majorEastAsia" w:cs="ＭＳ Ｐゴシック"/>
                <w:b/>
                <w:bCs/>
                <w:color w:val="000000"/>
                <w:kern w:val="0"/>
                <w:sz w:val="24"/>
                <w:szCs w:val="24"/>
              </w:rPr>
            </w:pPr>
            <w:r w:rsidRPr="00A36264">
              <w:rPr>
                <w:rFonts w:asciiTheme="majorEastAsia" w:eastAsiaTheme="majorEastAsia" w:hAnsiTheme="majorEastAsia" w:cs="ＭＳ Ｐゴシック" w:hint="eastAsia"/>
                <w:b/>
                <w:bCs/>
                <w:color w:val="000000"/>
                <w:kern w:val="0"/>
                <w:sz w:val="24"/>
                <w:szCs w:val="24"/>
              </w:rPr>
              <w:t>（百万ドル）</w:t>
            </w:r>
          </w:p>
        </w:tc>
        <w:tc>
          <w:tcPr>
            <w:tcW w:w="1275" w:type="dxa"/>
            <w:tcBorders>
              <w:top w:val="nil"/>
              <w:left w:val="nil"/>
              <w:bottom w:val="single" w:sz="4" w:space="0" w:color="auto"/>
              <w:right w:val="single" w:sz="4" w:space="0" w:color="auto"/>
            </w:tcBorders>
            <w:vAlign w:val="bottom"/>
          </w:tcPr>
          <w:p w:rsidR="00A17FBC" w:rsidRPr="00A36264" w:rsidRDefault="00A17FBC" w:rsidP="002047E0">
            <w:pPr>
              <w:widowControl/>
              <w:jc w:val="center"/>
              <w:rPr>
                <w:rFonts w:asciiTheme="majorEastAsia" w:eastAsiaTheme="majorEastAsia" w:hAnsiTheme="majorEastAsia" w:cs="ＭＳ Ｐゴシック"/>
                <w:color w:val="000000"/>
                <w:kern w:val="0"/>
                <w:sz w:val="24"/>
                <w:szCs w:val="24"/>
              </w:rPr>
            </w:pPr>
            <w:r w:rsidRPr="00A36264">
              <w:rPr>
                <w:rFonts w:asciiTheme="majorEastAsia" w:eastAsiaTheme="majorEastAsia" w:hAnsiTheme="majorEastAsia" w:cs="ＭＳ Ｐゴシック" w:hint="eastAsia"/>
                <w:color w:val="000000"/>
                <w:kern w:val="0"/>
                <w:sz w:val="24"/>
                <w:szCs w:val="24"/>
              </w:rPr>
              <w:t>未発表</w:t>
            </w:r>
          </w:p>
        </w:tc>
        <w:tc>
          <w:tcPr>
            <w:tcW w:w="1276" w:type="dxa"/>
            <w:tcBorders>
              <w:top w:val="nil"/>
              <w:left w:val="nil"/>
              <w:bottom w:val="single" w:sz="4" w:space="0" w:color="auto"/>
              <w:right w:val="single" w:sz="4" w:space="0" w:color="auto"/>
            </w:tcBorders>
            <w:vAlign w:val="bottom"/>
          </w:tcPr>
          <w:p w:rsidR="00A17FBC" w:rsidRPr="00A36264" w:rsidRDefault="00A17FBC" w:rsidP="002047E0">
            <w:pPr>
              <w:widowControl/>
              <w:jc w:val="center"/>
              <w:rPr>
                <w:rFonts w:asciiTheme="majorEastAsia" w:eastAsiaTheme="majorEastAsia" w:hAnsiTheme="majorEastAsia" w:cs="ＭＳ Ｐゴシック"/>
                <w:color w:val="000000"/>
                <w:kern w:val="0"/>
                <w:sz w:val="24"/>
                <w:szCs w:val="24"/>
              </w:rPr>
            </w:pPr>
            <w:r w:rsidRPr="00A36264">
              <w:rPr>
                <w:rFonts w:asciiTheme="majorEastAsia" w:eastAsiaTheme="majorEastAsia" w:hAnsiTheme="majorEastAsia" w:cs="ＭＳ Ｐゴシック" w:hint="eastAsia"/>
                <w:color w:val="000000"/>
                <w:kern w:val="0"/>
                <w:sz w:val="24"/>
                <w:szCs w:val="24"/>
              </w:rPr>
              <w:t>未発表</w:t>
            </w:r>
          </w:p>
        </w:tc>
        <w:tc>
          <w:tcPr>
            <w:tcW w:w="1134" w:type="dxa"/>
            <w:tcBorders>
              <w:top w:val="nil"/>
              <w:left w:val="nil"/>
              <w:bottom w:val="single" w:sz="4" w:space="0" w:color="auto"/>
              <w:right w:val="single" w:sz="4" w:space="0" w:color="auto"/>
            </w:tcBorders>
            <w:vAlign w:val="bottom"/>
          </w:tcPr>
          <w:p w:rsidR="00A17FBC" w:rsidRPr="00A36264" w:rsidRDefault="00A17FBC" w:rsidP="002047E0">
            <w:pPr>
              <w:widowControl/>
              <w:jc w:val="right"/>
              <w:rPr>
                <w:rFonts w:asciiTheme="majorEastAsia" w:eastAsiaTheme="majorEastAsia" w:hAnsiTheme="majorEastAsia" w:cs="ＭＳ Ｐゴシック"/>
                <w:color w:val="000000"/>
                <w:kern w:val="0"/>
                <w:sz w:val="24"/>
                <w:szCs w:val="24"/>
              </w:rPr>
            </w:pPr>
            <w:r w:rsidRPr="00A36264">
              <w:rPr>
                <w:rFonts w:asciiTheme="majorEastAsia" w:eastAsiaTheme="majorEastAsia" w:hAnsiTheme="majorEastAsia" w:cs="ＭＳ Ｐゴシック" w:hint="eastAsia"/>
                <w:color w:val="000000"/>
                <w:kern w:val="0"/>
                <w:sz w:val="24"/>
                <w:szCs w:val="24"/>
              </w:rPr>
              <w:t>△</w:t>
            </w:r>
            <w:r w:rsidRPr="00A36264">
              <w:rPr>
                <w:rFonts w:asciiTheme="majorEastAsia" w:eastAsiaTheme="majorEastAsia" w:hAnsiTheme="majorEastAsia"/>
                <w:color w:val="000000"/>
                <w:kern w:val="0"/>
                <w:sz w:val="24"/>
                <w:szCs w:val="24"/>
              </w:rPr>
              <w:t>835.5</w:t>
            </w:r>
          </w:p>
        </w:tc>
        <w:tc>
          <w:tcPr>
            <w:tcW w:w="1418" w:type="dxa"/>
            <w:tcBorders>
              <w:top w:val="nil"/>
              <w:left w:val="nil"/>
              <w:bottom w:val="single" w:sz="4" w:space="0" w:color="auto"/>
              <w:right w:val="single" w:sz="4" w:space="0" w:color="auto"/>
            </w:tcBorders>
            <w:vAlign w:val="bottom"/>
          </w:tcPr>
          <w:p w:rsidR="00A17FBC" w:rsidRPr="00A36264" w:rsidRDefault="00A17FBC" w:rsidP="002047E0">
            <w:pPr>
              <w:widowControl/>
              <w:jc w:val="right"/>
              <w:rPr>
                <w:rFonts w:asciiTheme="majorEastAsia" w:eastAsiaTheme="majorEastAsia" w:hAnsiTheme="majorEastAsia"/>
                <w:color w:val="000000"/>
                <w:kern w:val="0"/>
                <w:sz w:val="24"/>
                <w:szCs w:val="24"/>
              </w:rPr>
            </w:pPr>
            <w:r w:rsidRPr="00A36264">
              <w:rPr>
                <w:rFonts w:asciiTheme="majorEastAsia" w:eastAsiaTheme="majorEastAsia" w:hAnsiTheme="majorEastAsia" w:hint="eastAsia"/>
                <w:color w:val="000000"/>
                <w:kern w:val="0"/>
                <w:sz w:val="24"/>
                <w:szCs w:val="24"/>
              </w:rPr>
              <w:t>△6,532.0</w:t>
            </w:r>
          </w:p>
        </w:tc>
        <w:tc>
          <w:tcPr>
            <w:tcW w:w="1417" w:type="dxa"/>
            <w:tcBorders>
              <w:top w:val="nil"/>
              <w:left w:val="nil"/>
              <w:bottom w:val="single" w:sz="4" w:space="0" w:color="auto"/>
              <w:right w:val="single" w:sz="4" w:space="0" w:color="auto"/>
            </w:tcBorders>
          </w:tcPr>
          <w:p w:rsidR="00A36264" w:rsidRDefault="00A36264" w:rsidP="002047E0">
            <w:pPr>
              <w:widowControl/>
              <w:jc w:val="right"/>
              <w:rPr>
                <w:rFonts w:asciiTheme="majorEastAsia" w:eastAsiaTheme="majorEastAsia" w:hAnsiTheme="majorEastAsia"/>
                <w:color w:val="000000"/>
                <w:kern w:val="0"/>
                <w:sz w:val="24"/>
                <w:szCs w:val="24"/>
              </w:rPr>
            </w:pPr>
          </w:p>
          <w:p w:rsidR="00A17FBC" w:rsidRPr="00A36264" w:rsidRDefault="00A17FBC" w:rsidP="002047E0">
            <w:pPr>
              <w:widowControl/>
              <w:jc w:val="right"/>
              <w:rPr>
                <w:rFonts w:asciiTheme="majorEastAsia" w:eastAsiaTheme="majorEastAsia" w:hAnsiTheme="majorEastAsia"/>
                <w:color w:val="000000"/>
                <w:kern w:val="0"/>
                <w:sz w:val="24"/>
                <w:szCs w:val="24"/>
              </w:rPr>
            </w:pPr>
            <w:r w:rsidRPr="00A36264">
              <w:rPr>
                <w:rFonts w:asciiTheme="majorEastAsia" w:eastAsiaTheme="majorEastAsia" w:hAnsiTheme="majorEastAsia" w:hint="eastAsia"/>
                <w:color w:val="000000"/>
                <w:kern w:val="0"/>
                <w:sz w:val="24"/>
                <w:szCs w:val="24"/>
              </w:rPr>
              <w:t>△</w:t>
            </w:r>
            <w:r w:rsidRPr="00A36264">
              <w:rPr>
                <w:rFonts w:asciiTheme="majorEastAsia" w:eastAsiaTheme="majorEastAsia" w:hAnsiTheme="majorEastAsia"/>
                <w:color w:val="000000"/>
                <w:kern w:val="0"/>
                <w:sz w:val="24"/>
                <w:szCs w:val="24"/>
              </w:rPr>
              <w:t>6,913.1</w:t>
            </w:r>
          </w:p>
        </w:tc>
      </w:tr>
      <w:tr w:rsidR="00A17FBC" w:rsidRPr="00A36264" w:rsidTr="00B600EB">
        <w:trPr>
          <w:trHeight w:val="300"/>
        </w:trPr>
        <w:tc>
          <w:tcPr>
            <w:tcW w:w="2142" w:type="dxa"/>
            <w:tcBorders>
              <w:top w:val="nil"/>
              <w:left w:val="single" w:sz="4" w:space="0" w:color="auto"/>
              <w:bottom w:val="single" w:sz="4" w:space="0" w:color="auto"/>
              <w:right w:val="single" w:sz="4" w:space="0" w:color="auto"/>
            </w:tcBorders>
            <w:vAlign w:val="center"/>
          </w:tcPr>
          <w:p w:rsidR="00A17FBC" w:rsidRPr="00A36264" w:rsidRDefault="00A17FBC" w:rsidP="002047E0">
            <w:pPr>
              <w:widowControl/>
              <w:jc w:val="left"/>
              <w:rPr>
                <w:rFonts w:asciiTheme="majorEastAsia" w:eastAsiaTheme="majorEastAsia" w:hAnsiTheme="majorEastAsia" w:cs="ＭＳ Ｐゴシック"/>
                <w:b/>
                <w:bCs/>
                <w:color w:val="000000"/>
                <w:kern w:val="0"/>
                <w:sz w:val="24"/>
                <w:szCs w:val="24"/>
              </w:rPr>
            </w:pPr>
            <w:r w:rsidRPr="00A36264">
              <w:rPr>
                <w:rFonts w:asciiTheme="majorEastAsia" w:eastAsiaTheme="majorEastAsia" w:hAnsiTheme="majorEastAsia" w:cs="ＭＳ Ｐゴシック" w:hint="eastAsia"/>
                <w:b/>
                <w:bCs/>
                <w:color w:val="000000"/>
                <w:kern w:val="0"/>
                <w:sz w:val="24"/>
                <w:szCs w:val="24"/>
              </w:rPr>
              <w:t>輸出（百万ドル）</w:t>
            </w:r>
          </w:p>
        </w:tc>
        <w:tc>
          <w:tcPr>
            <w:tcW w:w="1275" w:type="dxa"/>
            <w:tcBorders>
              <w:top w:val="nil"/>
              <w:left w:val="nil"/>
              <w:bottom w:val="single" w:sz="4" w:space="0" w:color="auto"/>
              <w:right w:val="single" w:sz="4" w:space="0" w:color="auto"/>
            </w:tcBorders>
            <w:vAlign w:val="bottom"/>
          </w:tcPr>
          <w:p w:rsidR="00A17FBC" w:rsidRPr="00A36264" w:rsidRDefault="00A17FBC" w:rsidP="002047E0">
            <w:pPr>
              <w:widowControl/>
              <w:jc w:val="center"/>
              <w:rPr>
                <w:rFonts w:asciiTheme="majorEastAsia" w:eastAsiaTheme="majorEastAsia" w:hAnsiTheme="majorEastAsia" w:cs="ＭＳ Ｐゴシック"/>
                <w:color w:val="000000"/>
                <w:kern w:val="0"/>
                <w:sz w:val="24"/>
                <w:szCs w:val="24"/>
              </w:rPr>
            </w:pPr>
            <w:r w:rsidRPr="00A36264">
              <w:rPr>
                <w:rFonts w:asciiTheme="majorEastAsia" w:eastAsiaTheme="majorEastAsia" w:hAnsiTheme="majorEastAsia" w:cs="ＭＳ Ｐゴシック" w:hint="eastAsia"/>
                <w:color w:val="000000"/>
                <w:kern w:val="0"/>
                <w:sz w:val="24"/>
                <w:szCs w:val="24"/>
              </w:rPr>
              <w:t>未発表</w:t>
            </w:r>
          </w:p>
        </w:tc>
        <w:tc>
          <w:tcPr>
            <w:tcW w:w="1276" w:type="dxa"/>
            <w:tcBorders>
              <w:top w:val="nil"/>
              <w:left w:val="nil"/>
              <w:bottom w:val="single" w:sz="4" w:space="0" w:color="auto"/>
              <w:right w:val="single" w:sz="4" w:space="0" w:color="auto"/>
            </w:tcBorders>
            <w:vAlign w:val="bottom"/>
          </w:tcPr>
          <w:p w:rsidR="00A17FBC" w:rsidRPr="00A36264" w:rsidRDefault="00A17FBC" w:rsidP="002047E0">
            <w:pPr>
              <w:widowControl/>
              <w:jc w:val="center"/>
              <w:rPr>
                <w:rFonts w:asciiTheme="majorEastAsia" w:eastAsiaTheme="majorEastAsia" w:hAnsiTheme="majorEastAsia"/>
                <w:color w:val="000000"/>
                <w:kern w:val="0"/>
                <w:sz w:val="24"/>
                <w:szCs w:val="24"/>
              </w:rPr>
            </w:pPr>
            <w:r w:rsidRPr="00A36264">
              <w:rPr>
                <w:rFonts w:asciiTheme="majorEastAsia" w:eastAsiaTheme="majorEastAsia" w:hAnsiTheme="majorEastAsia" w:cs="ＭＳ Ｐゴシック" w:hint="eastAsia"/>
                <w:color w:val="000000"/>
                <w:kern w:val="0"/>
                <w:sz w:val="24"/>
                <w:szCs w:val="24"/>
              </w:rPr>
              <w:t>未発表</w:t>
            </w:r>
          </w:p>
        </w:tc>
        <w:tc>
          <w:tcPr>
            <w:tcW w:w="1134" w:type="dxa"/>
            <w:tcBorders>
              <w:top w:val="nil"/>
              <w:left w:val="nil"/>
              <w:bottom w:val="single" w:sz="4" w:space="0" w:color="auto"/>
              <w:right w:val="single" w:sz="4" w:space="0" w:color="auto"/>
            </w:tcBorders>
            <w:vAlign w:val="bottom"/>
          </w:tcPr>
          <w:p w:rsidR="00A17FBC" w:rsidRPr="00A36264" w:rsidRDefault="00A17FBC" w:rsidP="002047E0">
            <w:pPr>
              <w:widowControl/>
              <w:jc w:val="right"/>
              <w:rPr>
                <w:rFonts w:asciiTheme="majorEastAsia" w:eastAsiaTheme="majorEastAsia" w:hAnsiTheme="majorEastAsia"/>
                <w:color w:val="000000"/>
                <w:kern w:val="0"/>
                <w:sz w:val="24"/>
                <w:szCs w:val="24"/>
              </w:rPr>
            </w:pPr>
            <w:r w:rsidRPr="00A36264">
              <w:rPr>
                <w:rFonts w:asciiTheme="majorEastAsia" w:eastAsiaTheme="majorEastAsia" w:hAnsiTheme="majorEastAsia"/>
                <w:color w:val="000000"/>
                <w:kern w:val="0"/>
                <w:sz w:val="24"/>
                <w:szCs w:val="24"/>
              </w:rPr>
              <w:t>856.2</w:t>
            </w:r>
          </w:p>
        </w:tc>
        <w:tc>
          <w:tcPr>
            <w:tcW w:w="1418" w:type="dxa"/>
            <w:tcBorders>
              <w:top w:val="nil"/>
              <w:left w:val="nil"/>
              <w:bottom w:val="single" w:sz="4" w:space="0" w:color="auto"/>
              <w:right w:val="single" w:sz="4" w:space="0" w:color="auto"/>
            </w:tcBorders>
            <w:vAlign w:val="center"/>
          </w:tcPr>
          <w:p w:rsidR="00A17FBC" w:rsidRPr="00A36264" w:rsidRDefault="00A17FBC" w:rsidP="002047E0">
            <w:pPr>
              <w:widowControl/>
              <w:jc w:val="right"/>
              <w:rPr>
                <w:rFonts w:asciiTheme="majorEastAsia" w:eastAsiaTheme="majorEastAsia" w:hAnsiTheme="majorEastAsia"/>
                <w:color w:val="000000"/>
                <w:kern w:val="0"/>
                <w:sz w:val="24"/>
                <w:szCs w:val="24"/>
              </w:rPr>
            </w:pPr>
            <w:r w:rsidRPr="00A36264">
              <w:rPr>
                <w:rFonts w:asciiTheme="majorEastAsia" w:eastAsiaTheme="majorEastAsia" w:hAnsiTheme="majorEastAsia" w:hint="eastAsia"/>
                <w:color w:val="000000"/>
                <w:kern w:val="0"/>
                <w:sz w:val="24"/>
                <w:szCs w:val="24"/>
              </w:rPr>
              <w:t>10,465.3</w:t>
            </w:r>
          </w:p>
        </w:tc>
        <w:tc>
          <w:tcPr>
            <w:tcW w:w="1417" w:type="dxa"/>
            <w:tcBorders>
              <w:top w:val="nil"/>
              <w:left w:val="nil"/>
              <w:bottom w:val="single" w:sz="4" w:space="0" w:color="auto"/>
              <w:right w:val="single" w:sz="4" w:space="0" w:color="auto"/>
            </w:tcBorders>
          </w:tcPr>
          <w:p w:rsidR="00A17FBC" w:rsidRPr="00A36264" w:rsidRDefault="00A17FBC" w:rsidP="002047E0">
            <w:pPr>
              <w:widowControl/>
              <w:jc w:val="right"/>
              <w:rPr>
                <w:rFonts w:asciiTheme="majorEastAsia" w:eastAsiaTheme="majorEastAsia" w:hAnsiTheme="majorEastAsia"/>
                <w:color w:val="000000"/>
                <w:kern w:val="0"/>
                <w:sz w:val="24"/>
                <w:szCs w:val="24"/>
              </w:rPr>
            </w:pPr>
            <w:r w:rsidRPr="00A36264">
              <w:rPr>
                <w:rFonts w:asciiTheme="majorEastAsia" w:eastAsiaTheme="majorEastAsia" w:hAnsiTheme="majorEastAsia"/>
                <w:color w:val="000000"/>
                <w:kern w:val="0"/>
                <w:sz w:val="24"/>
                <w:szCs w:val="24"/>
              </w:rPr>
              <w:t>10,726.2</w:t>
            </w:r>
          </w:p>
        </w:tc>
      </w:tr>
      <w:tr w:rsidR="00A17FBC" w:rsidRPr="00A36264" w:rsidTr="00B600EB">
        <w:trPr>
          <w:trHeight w:val="300"/>
        </w:trPr>
        <w:tc>
          <w:tcPr>
            <w:tcW w:w="2142" w:type="dxa"/>
            <w:tcBorders>
              <w:top w:val="nil"/>
              <w:left w:val="single" w:sz="4" w:space="0" w:color="auto"/>
              <w:bottom w:val="single" w:sz="4" w:space="0" w:color="auto"/>
              <w:right w:val="single" w:sz="4" w:space="0" w:color="auto"/>
            </w:tcBorders>
            <w:vAlign w:val="center"/>
          </w:tcPr>
          <w:p w:rsidR="00A17FBC" w:rsidRPr="00A36264" w:rsidRDefault="00A17FBC" w:rsidP="002047E0">
            <w:pPr>
              <w:widowControl/>
              <w:jc w:val="left"/>
              <w:rPr>
                <w:rFonts w:asciiTheme="majorEastAsia" w:eastAsiaTheme="majorEastAsia" w:hAnsiTheme="majorEastAsia" w:cs="ＭＳ Ｐゴシック"/>
                <w:b/>
                <w:bCs/>
                <w:color w:val="000000"/>
                <w:kern w:val="0"/>
                <w:sz w:val="24"/>
                <w:szCs w:val="24"/>
              </w:rPr>
            </w:pPr>
            <w:r w:rsidRPr="00A36264">
              <w:rPr>
                <w:rFonts w:asciiTheme="majorEastAsia" w:eastAsiaTheme="majorEastAsia" w:hAnsiTheme="majorEastAsia" w:cs="ＭＳ Ｐゴシック" w:hint="eastAsia"/>
                <w:b/>
                <w:bCs/>
                <w:color w:val="000000"/>
                <w:kern w:val="0"/>
                <w:sz w:val="24"/>
                <w:szCs w:val="24"/>
              </w:rPr>
              <w:t>輸入（百万ドル）</w:t>
            </w:r>
          </w:p>
        </w:tc>
        <w:tc>
          <w:tcPr>
            <w:tcW w:w="1275" w:type="dxa"/>
            <w:tcBorders>
              <w:top w:val="nil"/>
              <w:left w:val="nil"/>
              <w:bottom w:val="single" w:sz="4" w:space="0" w:color="auto"/>
              <w:right w:val="single" w:sz="4" w:space="0" w:color="auto"/>
            </w:tcBorders>
            <w:vAlign w:val="bottom"/>
          </w:tcPr>
          <w:p w:rsidR="00A17FBC" w:rsidRPr="00A36264" w:rsidRDefault="00A17FBC" w:rsidP="002047E0">
            <w:pPr>
              <w:widowControl/>
              <w:jc w:val="center"/>
              <w:rPr>
                <w:rFonts w:asciiTheme="majorEastAsia" w:eastAsiaTheme="majorEastAsia" w:hAnsiTheme="majorEastAsia" w:cs="ＭＳ Ｐゴシック"/>
                <w:color w:val="000000"/>
                <w:kern w:val="0"/>
                <w:sz w:val="24"/>
                <w:szCs w:val="24"/>
              </w:rPr>
            </w:pPr>
            <w:r w:rsidRPr="00A36264">
              <w:rPr>
                <w:rFonts w:asciiTheme="majorEastAsia" w:eastAsiaTheme="majorEastAsia" w:hAnsiTheme="majorEastAsia" w:cs="ＭＳ Ｐゴシック" w:hint="eastAsia"/>
                <w:color w:val="000000"/>
                <w:kern w:val="0"/>
                <w:sz w:val="24"/>
                <w:szCs w:val="24"/>
              </w:rPr>
              <w:t>未発表</w:t>
            </w:r>
          </w:p>
        </w:tc>
        <w:tc>
          <w:tcPr>
            <w:tcW w:w="1276" w:type="dxa"/>
            <w:tcBorders>
              <w:top w:val="nil"/>
              <w:left w:val="nil"/>
              <w:bottom w:val="single" w:sz="4" w:space="0" w:color="auto"/>
              <w:right w:val="single" w:sz="4" w:space="0" w:color="auto"/>
            </w:tcBorders>
            <w:vAlign w:val="bottom"/>
          </w:tcPr>
          <w:p w:rsidR="00A17FBC" w:rsidRPr="00A36264" w:rsidRDefault="00A17FBC" w:rsidP="002047E0">
            <w:pPr>
              <w:widowControl/>
              <w:jc w:val="center"/>
              <w:rPr>
                <w:rFonts w:asciiTheme="majorEastAsia" w:eastAsiaTheme="majorEastAsia" w:hAnsiTheme="majorEastAsia"/>
                <w:color w:val="000000"/>
                <w:kern w:val="0"/>
                <w:sz w:val="24"/>
                <w:szCs w:val="24"/>
              </w:rPr>
            </w:pPr>
            <w:r w:rsidRPr="00A36264">
              <w:rPr>
                <w:rFonts w:asciiTheme="majorEastAsia" w:eastAsiaTheme="majorEastAsia" w:hAnsiTheme="majorEastAsia" w:cs="ＭＳ Ｐゴシック" w:hint="eastAsia"/>
                <w:color w:val="000000"/>
                <w:kern w:val="0"/>
                <w:sz w:val="24"/>
                <w:szCs w:val="24"/>
              </w:rPr>
              <w:t>未発表</w:t>
            </w:r>
          </w:p>
        </w:tc>
        <w:tc>
          <w:tcPr>
            <w:tcW w:w="1134" w:type="dxa"/>
            <w:tcBorders>
              <w:top w:val="nil"/>
              <w:left w:val="nil"/>
              <w:bottom w:val="single" w:sz="4" w:space="0" w:color="auto"/>
              <w:right w:val="single" w:sz="4" w:space="0" w:color="auto"/>
            </w:tcBorders>
            <w:vAlign w:val="bottom"/>
          </w:tcPr>
          <w:p w:rsidR="00A17FBC" w:rsidRPr="00A36264" w:rsidRDefault="00A17FBC" w:rsidP="002047E0">
            <w:pPr>
              <w:widowControl/>
              <w:jc w:val="right"/>
              <w:rPr>
                <w:rFonts w:asciiTheme="majorEastAsia" w:eastAsiaTheme="majorEastAsia" w:hAnsiTheme="majorEastAsia"/>
                <w:color w:val="000000"/>
                <w:kern w:val="0"/>
                <w:sz w:val="24"/>
                <w:szCs w:val="24"/>
              </w:rPr>
            </w:pPr>
            <w:r w:rsidRPr="00A36264">
              <w:rPr>
                <w:rFonts w:asciiTheme="majorEastAsia" w:eastAsiaTheme="majorEastAsia" w:hAnsiTheme="majorEastAsia"/>
                <w:color w:val="000000"/>
                <w:kern w:val="0"/>
                <w:sz w:val="24"/>
                <w:szCs w:val="24"/>
              </w:rPr>
              <w:t>1691.7</w:t>
            </w:r>
          </w:p>
        </w:tc>
        <w:tc>
          <w:tcPr>
            <w:tcW w:w="1418" w:type="dxa"/>
            <w:tcBorders>
              <w:top w:val="nil"/>
              <w:left w:val="nil"/>
              <w:bottom w:val="single" w:sz="4" w:space="0" w:color="auto"/>
              <w:right w:val="single" w:sz="4" w:space="0" w:color="auto"/>
            </w:tcBorders>
            <w:vAlign w:val="center"/>
          </w:tcPr>
          <w:p w:rsidR="00A17FBC" w:rsidRPr="00A36264" w:rsidRDefault="00A17FBC" w:rsidP="002047E0">
            <w:pPr>
              <w:widowControl/>
              <w:jc w:val="right"/>
              <w:rPr>
                <w:rFonts w:asciiTheme="majorEastAsia" w:eastAsiaTheme="majorEastAsia" w:hAnsiTheme="majorEastAsia"/>
                <w:color w:val="000000"/>
                <w:kern w:val="0"/>
                <w:sz w:val="24"/>
                <w:szCs w:val="24"/>
              </w:rPr>
            </w:pPr>
            <w:r w:rsidRPr="00A36264">
              <w:rPr>
                <w:rFonts w:asciiTheme="majorEastAsia" w:eastAsiaTheme="majorEastAsia" w:hAnsiTheme="majorEastAsia" w:hint="eastAsia"/>
                <w:color w:val="000000"/>
                <w:kern w:val="0"/>
                <w:sz w:val="24"/>
                <w:szCs w:val="24"/>
              </w:rPr>
              <w:t>16,997.3</w:t>
            </w:r>
          </w:p>
        </w:tc>
        <w:tc>
          <w:tcPr>
            <w:tcW w:w="1417" w:type="dxa"/>
            <w:tcBorders>
              <w:top w:val="nil"/>
              <w:left w:val="nil"/>
              <w:bottom w:val="single" w:sz="4" w:space="0" w:color="auto"/>
              <w:right w:val="single" w:sz="4" w:space="0" w:color="auto"/>
            </w:tcBorders>
          </w:tcPr>
          <w:p w:rsidR="00A17FBC" w:rsidRPr="00A36264" w:rsidRDefault="00A17FBC" w:rsidP="002047E0">
            <w:pPr>
              <w:widowControl/>
              <w:jc w:val="right"/>
              <w:rPr>
                <w:rFonts w:asciiTheme="majorEastAsia" w:eastAsiaTheme="majorEastAsia" w:hAnsiTheme="majorEastAsia"/>
                <w:color w:val="000000"/>
                <w:kern w:val="0"/>
                <w:sz w:val="24"/>
                <w:szCs w:val="24"/>
              </w:rPr>
            </w:pPr>
            <w:r w:rsidRPr="00A36264">
              <w:rPr>
                <w:rFonts w:asciiTheme="majorEastAsia" w:eastAsiaTheme="majorEastAsia" w:hAnsiTheme="majorEastAsia"/>
                <w:color w:val="000000"/>
                <w:kern w:val="0"/>
                <w:sz w:val="24"/>
                <w:szCs w:val="24"/>
              </w:rPr>
              <w:t>17</w:t>
            </w:r>
            <w:r w:rsidRPr="00A36264">
              <w:rPr>
                <w:rFonts w:asciiTheme="majorEastAsia" w:eastAsiaTheme="majorEastAsia" w:hAnsiTheme="majorEastAsia" w:hint="eastAsia"/>
                <w:color w:val="000000"/>
                <w:kern w:val="0"/>
                <w:sz w:val="24"/>
                <w:szCs w:val="24"/>
              </w:rPr>
              <w:t>,</w:t>
            </w:r>
            <w:r w:rsidRPr="00A36264">
              <w:rPr>
                <w:rFonts w:asciiTheme="majorEastAsia" w:eastAsiaTheme="majorEastAsia" w:hAnsiTheme="majorEastAsia"/>
                <w:color w:val="000000"/>
                <w:kern w:val="0"/>
                <w:sz w:val="24"/>
                <w:szCs w:val="24"/>
              </w:rPr>
              <w:t>639.3</w:t>
            </w:r>
          </w:p>
        </w:tc>
      </w:tr>
      <w:tr w:rsidR="00A17FBC" w:rsidRPr="00A36264" w:rsidTr="00B600EB">
        <w:trPr>
          <w:trHeight w:val="300"/>
        </w:trPr>
        <w:tc>
          <w:tcPr>
            <w:tcW w:w="2142" w:type="dxa"/>
            <w:tcBorders>
              <w:top w:val="nil"/>
              <w:left w:val="single" w:sz="4" w:space="0" w:color="auto"/>
              <w:bottom w:val="single" w:sz="4" w:space="0" w:color="auto"/>
              <w:right w:val="single" w:sz="4" w:space="0" w:color="auto"/>
            </w:tcBorders>
            <w:vAlign w:val="center"/>
          </w:tcPr>
          <w:p w:rsidR="00A36264" w:rsidRDefault="00A17FBC" w:rsidP="002047E0">
            <w:pPr>
              <w:widowControl/>
              <w:jc w:val="left"/>
              <w:rPr>
                <w:rFonts w:asciiTheme="majorEastAsia" w:eastAsiaTheme="majorEastAsia" w:hAnsiTheme="majorEastAsia" w:cs="ＭＳ Ｐゴシック"/>
                <w:b/>
                <w:bCs/>
                <w:color w:val="000000"/>
                <w:kern w:val="0"/>
                <w:sz w:val="24"/>
                <w:szCs w:val="24"/>
              </w:rPr>
            </w:pPr>
            <w:r w:rsidRPr="00A36264">
              <w:rPr>
                <w:rFonts w:asciiTheme="majorEastAsia" w:eastAsiaTheme="majorEastAsia" w:hAnsiTheme="majorEastAsia" w:cs="ＭＳ Ｐゴシック" w:hint="eastAsia"/>
                <w:b/>
                <w:bCs/>
                <w:color w:val="000000"/>
                <w:kern w:val="0"/>
                <w:sz w:val="24"/>
                <w:szCs w:val="24"/>
              </w:rPr>
              <w:t xml:space="preserve">外貨準備高 </w:t>
            </w:r>
          </w:p>
          <w:p w:rsidR="00A17FBC" w:rsidRPr="00A36264" w:rsidRDefault="00A17FBC" w:rsidP="002047E0">
            <w:pPr>
              <w:widowControl/>
              <w:jc w:val="left"/>
              <w:rPr>
                <w:rFonts w:asciiTheme="majorEastAsia" w:eastAsiaTheme="majorEastAsia" w:hAnsiTheme="majorEastAsia" w:cs="ＭＳ Ｐゴシック"/>
                <w:b/>
                <w:bCs/>
                <w:color w:val="000000"/>
                <w:kern w:val="0"/>
                <w:sz w:val="24"/>
                <w:szCs w:val="24"/>
              </w:rPr>
            </w:pPr>
            <w:r w:rsidRPr="00A36264">
              <w:rPr>
                <w:rFonts w:asciiTheme="majorEastAsia" w:eastAsiaTheme="majorEastAsia" w:hAnsiTheme="majorEastAsia" w:cs="ＭＳ Ｐゴシック" w:hint="eastAsia"/>
                <w:b/>
                <w:bCs/>
                <w:color w:val="000000"/>
                <w:kern w:val="0"/>
                <w:sz w:val="24"/>
                <w:szCs w:val="24"/>
              </w:rPr>
              <w:t>（百万ドル）</w:t>
            </w:r>
          </w:p>
        </w:tc>
        <w:tc>
          <w:tcPr>
            <w:tcW w:w="1275" w:type="dxa"/>
            <w:tcBorders>
              <w:top w:val="nil"/>
              <w:left w:val="nil"/>
              <w:bottom w:val="single" w:sz="4" w:space="0" w:color="auto"/>
              <w:right w:val="single" w:sz="4" w:space="0" w:color="auto"/>
            </w:tcBorders>
            <w:vAlign w:val="bottom"/>
          </w:tcPr>
          <w:p w:rsidR="00A17FBC" w:rsidRPr="00A36264" w:rsidRDefault="00A17FBC" w:rsidP="002047E0">
            <w:pPr>
              <w:widowControl/>
              <w:jc w:val="right"/>
              <w:rPr>
                <w:rFonts w:asciiTheme="majorEastAsia" w:eastAsiaTheme="majorEastAsia" w:hAnsiTheme="majorEastAsia"/>
                <w:color w:val="000000"/>
                <w:kern w:val="0"/>
                <w:sz w:val="24"/>
                <w:szCs w:val="24"/>
              </w:rPr>
            </w:pPr>
            <w:r w:rsidRPr="00A36264">
              <w:rPr>
                <w:rFonts w:asciiTheme="majorEastAsia" w:eastAsiaTheme="majorEastAsia" w:hAnsiTheme="majorEastAsia" w:hint="eastAsia"/>
                <w:color w:val="000000"/>
                <w:kern w:val="0"/>
                <w:sz w:val="24"/>
                <w:szCs w:val="24"/>
              </w:rPr>
              <w:t>11,769.5</w:t>
            </w:r>
          </w:p>
        </w:tc>
        <w:tc>
          <w:tcPr>
            <w:tcW w:w="1276" w:type="dxa"/>
            <w:tcBorders>
              <w:top w:val="nil"/>
              <w:left w:val="nil"/>
              <w:bottom w:val="single" w:sz="4" w:space="0" w:color="auto"/>
              <w:right w:val="single" w:sz="4" w:space="0" w:color="auto"/>
            </w:tcBorders>
            <w:vAlign w:val="bottom"/>
          </w:tcPr>
          <w:p w:rsidR="00A17FBC" w:rsidRPr="00A36264" w:rsidRDefault="00A17FBC" w:rsidP="002047E0">
            <w:pPr>
              <w:widowControl/>
              <w:jc w:val="right"/>
              <w:rPr>
                <w:rFonts w:asciiTheme="majorEastAsia" w:eastAsiaTheme="majorEastAsia" w:hAnsiTheme="majorEastAsia"/>
                <w:color w:val="000000"/>
                <w:kern w:val="0"/>
                <w:sz w:val="24"/>
                <w:szCs w:val="24"/>
              </w:rPr>
            </w:pPr>
            <w:r w:rsidRPr="00A36264">
              <w:rPr>
                <w:rFonts w:asciiTheme="majorEastAsia" w:eastAsiaTheme="majorEastAsia" w:hAnsiTheme="majorEastAsia" w:hint="eastAsia"/>
                <w:color w:val="000000"/>
                <w:kern w:val="0"/>
                <w:sz w:val="24"/>
                <w:szCs w:val="24"/>
              </w:rPr>
              <w:t>11,572.6</w:t>
            </w:r>
          </w:p>
        </w:tc>
        <w:tc>
          <w:tcPr>
            <w:tcW w:w="1134" w:type="dxa"/>
            <w:tcBorders>
              <w:top w:val="nil"/>
              <w:left w:val="nil"/>
              <w:bottom w:val="single" w:sz="4" w:space="0" w:color="auto"/>
              <w:right w:val="single" w:sz="4" w:space="0" w:color="auto"/>
            </w:tcBorders>
            <w:vAlign w:val="bottom"/>
          </w:tcPr>
          <w:p w:rsidR="00A17FBC" w:rsidRPr="00A36264" w:rsidRDefault="00A17FBC" w:rsidP="002047E0">
            <w:pPr>
              <w:widowControl/>
              <w:jc w:val="right"/>
              <w:rPr>
                <w:rFonts w:asciiTheme="majorEastAsia" w:eastAsiaTheme="majorEastAsia" w:hAnsiTheme="majorEastAsia"/>
                <w:color w:val="000000"/>
                <w:kern w:val="0"/>
                <w:sz w:val="24"/>
                <w:szCs w:val="24"/>
              </w:rPr>
            </w:pPr>
            <w:r w:rsidRPr="00A36264">
              <w:rPr>
                <w:rFonts w:asciiTheme="majorEastAsia" w:eastAsiaTheme="majorEastAsia" w:hAnsiTheme="majorEastAsia" w:hint="eastAsia"/>
                <w:color w:val="000000"/>
                <w:kern w:val="0"/>
                <w:sz w:val="24"/>
                <w:szCs w:val="24"/>
              </w:rPr>
              <w:t>11494.4</w:t>
            </w:r>
          </w:p>
        </w:tc>
        <w:tc>
          <w:tcPr>
            <w:tcW w:w="1418" w:type="dxa"/>
            <w:tcBorders>
              <w:top w:val="nil"/>
              <w:left w:val="nil"/>
              <w:bottom w:val="single" w:sz="4" w:space="0" w:color="auto"/>
              <w:right w:val="single" w:sz="4" w:space="0" w:color="auto"/>
            </w:tcBorders>
            <w:vAlign w:val="center"/>
          </w:tcPr>
          <w:p w:rsidR="00A17FBC" w:rsidRPr="00A36264" w:rsidRDefault="00A17FBC" w:rsidP="002047E0">
            <w:pPr>
              <w:widowControl/>
              <w:jc w:val="right"/>
              <w:rPr>
                <w:rFonts w:asciiTheme="majorEastAsia" w:eastAsiaTheme="majorEastAsia" w:hAnsiTheme="majorEastAsia"/>
                <w:color w:val="000000"/>
                <w:kern w:val="0"/>
                <w:sz w:val="24"/>
                <w:szCs w:val="24"/>
              </w:rPr>
            </w:pPr>
            <w:r w:rsidRPr="00A36264">
              <w:rPr>
                <w:rFonts w:asciiTheme="majorEastAsia" w:eastAsiaTheme="majorEastAsia" w:hAnsiTheme="majorEastAsia" w:hint="eastAsia"/>
                <w:color w:val="000000"/>
                <w:kern w:val="0"/>
                <w:sz w:val="24"/>
                <w:szCs w:val="24"/>
              </w:rPr>
              <w:t>9,160.4</w:t>
            </w:r>
          </w:p>
        </w:tc>
        <w:tc>
          <w:tcPr>
            <w:tcW w:w="1417" w:type="dxa"/>
            <w:tcBorders>
              <w:top w:val="nil"/>
              <w:left w:val="nil"/>
              <w:bottom w:val="single" w:sz="4" w:space="0" w:color="auto"/>
              <w:right w:val="single" w:sz="4" w:space="0" w:color="auto"/>
            </w:tcBorders>
          </w:tcPr>
          <w:p w:rsidR="00A17FBC" w:rsidRPr="00A36264" w:rsidRDefault="00A17FBC" w:rsidP="002047E0">
            <w:pPr>
              <w:widowControl/>
              <w:jc w:val="right"/>
              <w:rPr>
                <w:rFonts w:asciiTheme="majorEastAsia" w:eastAsiaTheme="majorEastAsia" w:hAnsiTheme="majorEastAsia"/>
                <w:color w:val="000000"/>
                <w:kern w:val="0"/>
                <w:sz w:val="24"/>
                <w:szCs w:val="24"/>
              </w:rPr>
            </w:pPr>
            <w:r w:rsidRPr="00A36264">
              <w:rPr>
                <w:rFonts w:asciiTheme="majorEastAsia" w:eastAsiaTheme="majorEastAsia" w:hAnsiTheme="majorEastAsia"/>
                <w:color w:val="000000"/>
                <w:kern w:val="0"/>
                <w:sz w:val="24"/>
                <w:szCs w:val="24"/>
              </w:rPr>
              <w:t>7,751.2</w:t>
            </w:r>
          </w:p>
        </w:tc>
      </w:tr>
      <w:tr w:rsidR="00A17FBC" w:rsidRPr="00A36264" w:rsidTr="00B600EB">
        <w:trPr>
          <w:trHeight w:val="300"/>
        </w:trPr>
        <w:tc>
          <w:tcPr>
            <w:tcW w:w="2142" w:type="dxa"/>
            <w:tcBorders>
              <w:top w:val="nil"/>
              <w:left w:val="single" w:sz="4" w:space="0" w:color="auto"/>
              <w:bottom w:val="single" w:sz="4" w:space="0" w:color="auto"/>
              <w:right w:val="single" w:sz="4" w:space="0" w:color="auto"/>
            </w:tcBorders>
            <w:vAlign w:val="center"/>
          </w:tcPr>
          <w:p w:rsidR="00A36264" w:rsidRDefault="00A17FBC" w:rsidP="002047E0">
            <w:pPr>
              <w:widowControl/>
              <w:jc w:val="left"/>
              <w:rPr>
                <w:rFonts w:asciiTheme="majorEastAsia" w:eastAsiaTheme="majorEastAsia" w:hAnsiTheme="majorEastAsia" w:cs="ＭＳ Ｐゴシック"/>
                <w:b/>
                <w:bCs/>
                <w:color w:val="000000"/>
                <w:kern w:val="0"/>
                <w:sz w:val="24"/>
                <w:szCs w:val="24"/>
              </w:rPr>
            </w:pPr>
            <w:r w:rsidRPr="00A36264">
              <w:rPr>
                <w:rFonts w:asciiTheme="majorEastAsia" w:eastAsiaTheme="majorEastAsia" w:hAnsiTheme="majorEastAsia" w:cs="ＭＳ Ｐゴシック" w:hint="eastAsia"/>
                <w:b/>
                <w:bCs/>
                <w:color w:val="000000"/>
                <w:kern w:val="0"/>
                <w:sz w:val="24"/>
                <w:szCs w:val="24"/>
              </w:rPr>
              <w:t xml:space="preserve">外国からの送金 </w:t>
            </w:r>
          </w:p>
          <w:p w:rsidR="00A17FBC" w:rsidRPr="00A36264" w:rsidRDefault="00A17FBC" w:rsidP="002047E0">
            <w:pPr>
              <w:widowControl/>
              <w:jc w:val="left"/>
              <w:rPr>
                <w:rFonts w:asciiTheme="majorEastAsia" w:eastAsiaTheme="majorEastAsia" w:hAnsiTheme="majorEastAsia" w:cs="ＭＳ Ｐゴシック"/>
                <w:b/>
                <w:bCs/>
                <w:color w:val="000000"/>
                <w:kern w:val="0"/>
                <w:sz w:val="24"/>
                <w:szCs w:val="24"/>
              </w:rPr>
            </w:pPr>
            <w:r w:rsidRPr="00A36264">
              <w:rPr>
                <w:rFonts w:asciiTheme="majorEastAsia" w:eastAsiaTheme="majorEastAsia" w:hAnsiTheme="majorEastAsia" w:cs="ＭＳ Ｐゴシック" w:hint="eastAsia"/>
                <w:b/>
                <w:bCs/>
                <w:color w:val="000000"/>
                <w:kern w:val="0"/>
                <w:sz w:val="24"/>
                <w:szCs w:val="24"/>
              </w:rPr>
              <w:t>（百万ドル）</w:t>
            </w:r>
          </w:p>
        </w:tc>
        <w:tc>
          <w:tcPr>
            <w:tcW w:w="1275" w:type="dxa"/>
            <w:tcBorders>
              <w:top w:val="nil"/>
              <w:left w:val="nil"/>
              <w:bottom w:val="single" w:sz="4" w:space="0" w:color="auto"/>
              <w:right w:val="single" w:sz="4" w:space="0" w:color="auto"/>
            </w:tcBorders>
            <w:vAlign w:val="bottom"/>
          </w:tcPr>
          <w:p w:rsidR="00A17FBC" w:rsidRPr="00A36264" w:rsidRDefault="00A17FBC" w:rsidP="002047E0">
            <w:pPr>
              <w:widowControl/>
              <w:jc w:val="center"/>
              <w:rPr>
                <w:rFonts w:asciiTheme="majorEastAsia" w:eastAsiaTheme="majorEastAsia" w:hAnsiTheme="majorEastAsia"/>
                <w:color w:val="000000"/>
                <w:kern w:val="0"/>
                <w:sz w:val="24"/>
                <w:szCs w:val="24"/>
              </w:rPr>
            </w:pPr>
            <w:r w:rsidRPr="00A36264">
              <w:rPr>
                <w:rFonts w:asciiTheme="majorEastAsia" w:eastAsiaTheme="majorEastAsia" w:hAnsiTheme="majorEastAsia" w:cs="ＭＳ Ｐゴシック" w:hint="eastAsia"/>
                <w:color w:val="000000"/>
                <w:kern w:val="0"/>
                <w:sz w:val="24"/>
                <w:szCs w:val="24"/>
              </w:rPr>
              <w:t>未発表</w:t>
            </w:r>
          </w:p>
        </w:tc>
        <w:tc>
          <w:tcPr>
            <w:tcW w:w="1276" w:type="dxa"/>
            <w:tcBorders>
              <w:top w:val="nil"/>
              <w:left w:val="nil"/>
              <w:bottom w:val="single" w:sz="4" w:space="0" w:color="auto"/>
              <w:right w:val="single" w:sz="4" w:space="0" w:color="auto"/>
            </w:tcBorders>
            <w:vAlign w:val="bottom"/>
          </w:tcPr>
          <w:p w:rsidR="00A17FBC" w:rsidRPr="00A36264" w:rsidRDefault="00A17FBC" w:rsidP="002047E0">
            <w:pPr>
              <w:widowControl/>
              <w:jc w:val="right"/>
              <w:rPr>
                <w:rFonts w:asciiTheme="majorEastAsia" w:eastAsiaTheme="majorEastAsia" w:hAnsiTheme="majorEastAsia"/>
                <w:color w:val="000000"/>
                <w:kern w:val="0"/>
                <w:sz w:val="24"/>
                <w:szCs w:val="24"/>
              </w:rPr>
            </w:pPr>
            <w:r w:rsidRPr="00A36264">
              <w:rPr>
                <w:rFonts w:asciiTheme="majorEastAsia" w:eastAsiaTheme="majorEastAsia" w:hAnsiTheme="majorEastAsia" w:hint="eastAsia"/>
                <w:color w:val="000000"/>
                <w:kern w:val="0"/>
                <w:sz w:val="24"/>
                <w:szCs w:val="24"/>
              </w:rPr>
              <w:t>646.3</w:t>
            </w:r>
          </w:p>
        </w:tc>
        <w:tc>
          <w:tcPr>
            <w:tcW w:w="1134" w:type="dxa"/>
            <w:tcBorders>
              <w:top w:val="nil"/>
              <w:left w:val="nil"/>
              <w:bottom w:val="single" w:sz="4" w:space="0" w:color="auto"/>
              <w:right w:val="single" w:sz="4" w:space="0" w:color="auto"/>
            </w:tcBorders>
            <w:vAlign w:val="bottom"/>
          </w:tcPr>
          <w:p w:rsidR="00A17FBC" w:rsidRPr="00A36264" w:rsidRDefault="00A17FBC" w:rsidP="002047E0">
            <w:pPr>
              <w:widowControl/>
              <w:jc w:val="right"/>
              <w:rPr>
                <w:rFonts w:asciiTheme="majorEastAsia" w:eastAsiaTheme="majorEastAsia" w:hAnsiTheme="majorEastAsia"/>
                <w:color w:val="000000"/>
                <w:kern w:val="0"/>
                <w:sz w:val="24"/>
                <w:szCs w:val="24"/>
              </w:rPr>
            </w:pPr>
            <w:r w:rsidRPr="00A36264">
              <w:rPr>
                <w:rFonts w:asciiTheme="majorEastAsia" w:eastAsiaTheme="majorEastAsia" w:hAnsiTheme="majorEastAsia" w:hint="eastAsia"/>
                <w:color w:val="000000"/>
                <w:kern w:val="0"/>
                <w:sz w:val="24"/>
                <w:szCs w:val="24"/>
              </w:rPr>
              <w:t>728.3</w:t>
            </w:r>
          </w:p>
        </w:tc>
        <w:tc>
          <w:tcPr>
            <w:tcW w:w="1418" w:type="dxa"/>
            <w:tcBorders>
              <w:top w:val="nil"/>
              <w:left w:val="nil"/>
              <w:bottom w:val="single" w:sz="4" w:space="0" w:color="auto"/>
              <w:right w:val="single" w:sz="4" w:space="0" w:color="auto"/>
            </w:tcBorders>
            <w:vAlign w:val="center"/>
          </w:tcPr>
          <w:p w:rsidR="00A36264" w:rsidRDefault="00A36264" w:rsidP="002047E0">
            <w:pPr>
              <w:widowControl/>
              <w:jc w:val="right"/>
              <w:rPr>
                <w:rFonts w:asciiTheme="majorEastAsia" w:eastAsiaTheme="majorEastAsia" w:hAnsiTheme="majorEastAsia"/>
                <w:color w:val="000000"/>
                <w:kern w:val="0"/>
                <w:sz w:val="24"/>
                <w:szCs w:val="24"/>
              </w:rPr>
            </w:pPr>
          </w:p>
          <w:p w:rsidR="00A17FBC" w:rsidRPr="00A36264" w:rsidRDefault="00A17FBC" w:rsidP="002047E0">
            <w:pPr>
              <w:widowControl/>
              <w:jc w:val="right"/>
              <w:rPr>
                <w:rFonts w:asciiTheme="majorEastAsia" w:eastAsiaTheme="majorEastAsia" w:hAnsiTheme="majorEastAsia"/>
                <w:color w:val="000000"/>
                <w:kern w:val="0"/>
                <w:sz w:val="24"/>
                <w:szCs w:val="24"/>
              </w:rPr>
            </w:pPr>
            <w:r w:rsidRPr="00A36264">
              <w:rPr>
                <w:rFonts w:asciiTheme="majorEastAsia" w:eastAsiaTheme="majorEastAsia" w:hAnsiTheme="majorEastAsia" w:hint="eastAsia"/>
                <w:color w:val="000000"/>
                <w:kern w:val="0"/>
                <w:sz w:val="24"/>
                <w:szCs w:val="24"/>
              </w:rPr>
              <w:t>7,160.0</w:t>
            </w:r>
          </w:p>
        </w:tc>
        <w:tc>
          <w:tcPr>
            <w:tcW w:w="1417" w:type="dxa"/>
            <w:tcBorders>
              <w:top w:val="nil"/>
              <w:left w:val="nil"/>
              <w:bottom w:val="single" w:sz="4" w:space="0" w:color="auto"/>
              <w:right w:val="single" w:sz="4" w:space="0" w:color="auto"/>
            </w:tcBorders>
          </w:tcPr>
          <w:p w:rsidR="00A36264" w:rsidRDefault="00A36264" w:rsidP="002047E0">
            <w:pPr>
              <w:widowControl/>
              <w:jc w:val="right"/>
              <w:rPr>
                <w:rFonts w:asciiTheme="majorEastAsia" w:eastAsiaTheme="majorEastAsia" w:hAnsiTheme="majorEastAsia"/>
                <w:color w:val="000000"/>
                <w:kern w:val="0"/>
                <w:sz w:val="24"/>
                <w:szCs w:val="24"/>
              </w:rPr>
            </w:pPr>
          </w:p>
          <w:p w:rsidR="00A17FBC" w:rsidRPr="00A36264" w:rsidRDefault="00A17FBC" w:rsidP="002047E0">
            <w:pPr>
              <w:widowControl/>
              <w:jc w:val="right"/>
              <w:rPr>
                <w:rFonts w:asciiTheme="majorEastAsia" w:eastAsiaTheme="majorEastAsia" w:hAnsiTheme="majorEastAsia"/>
                <w:color w:val="000000"/>
                <w:kern w:val="0"/>
                <w:sz w:val="24"/>
                <w:szCs w:val="24"/>
              </w:rPr>
            </w:pPr>
            <w:r w:rsidRPr="00A36264">
              <w:rPr>
                <w:rFonts w:asciiTheme="majorEastAsia" w:eastAsiaTheme="majorEastAsia" w:hAnsiTheme="majorEastAsia"/>
                <w:color w:val="000000"/>
                <w:kern w:val="0"/>
                <w:sz w:val="24"/>
                <w:szCs w:val="24"/>
              </w:rPr>
              <w:t>6,285.0</w:t>
            </w:r>
          </w:p>
        </w:tc>
      </w:tr>
      <w:tr w:rsidR="00A17FBC" w:rsidRPr="00A36264" w:rsidTr="00B600EB">
        <w:trPr>
          <w:trHeight w:val="300"/>
        </w:trPr>
        <w:tc>
          <w:tcPr>
            <w:tcW w:w="2142" w:type="dxa"/>
            <w:tcBorders>
              <w:top w:val="nil"/>
              <w:left w:val="single" w:sz="4" w:space="0" w:color="auto"/>
              <w:bottom w:val="single" w:sz="4" w:space="0" w:color="auto"/>
              <w:right w:val="single" w:sz="4" w:space="0" w:color="auto"/>
            </w:tcBorders>
            <w:vAlign w:val="center"/>
          </w:tcPr>
          <w:p w:rsidR="00A36264" w:rsidRDefault="00A17FBC" w:rsidP="002047E0">
            <w:pPr>
              <w:widowControl/>
              <w:jc w:val="left"/>
              <w:rPr>
                <w:rFonts w:asciiTheme="majorEastAsia" w:eastAsiaTheme="majorEastAsia" w:hAnsiTheme="majorEastAsia" w:cs="ＭＳ Ｐゴシック"/>
                <w:b/>
                <w:bCs/>
                <w:color w:val="000000"/>
                <w:kern w:val="0"/>
                <w:sz w:val="24"/>
                <w:szCs w:val="24"/>
              </w:rPr>
            </w:pPr>
            <w:r w:rsidRPr="00A36264">
              <w:rPr>
                <w:rFonts w:asciiTheme="majorEastAsia" w:eastAsiaTheme="majorEastAsia" w:hAnsiTheme="majorEastAsia" w:cs="ＭＳ Ｐゴシック" w:hint="eastAsia"/>
                <w:b/>
                <w:bCs/>
                <w:color w:val="000000"/>
                <w:kern w:val="0"/>
                <w:sz w:val="24"/>
                <w:szCs w:val="24"/>
              </w:rPr>
              <w:t xml:space="preserve">為替レート </w:t>
            </w:r>
          </w:p>
          <w:p w:rsidR="00A17FBC" w:rsidRPr="00A36264" w:rsidRDefault="00A17FBC" w:rsidP="002047E0">
            <w:pPr>
              <w:widowControl/>
              <w:jc w:val="left"/>
              <w:rPr>
                <w:rFonts w:asciiTheme="majorEastAsia" w:eastAsiaTheme="majorEastAsia" w:hAnsiTheme="majorEastAsia" w:cs="ＭＳ Ｐゴシック"/>
                <w:b/>
                <w:bCs/>
                <w:color w:val="000000"/>
                <w:kern w:val="0"/>
                <w:sz w:val="24"/>
                <w:szCs w:val="24"/>
              </w:rPr>
            </w:pPr>
            <w:r w:rsidRPr="00A36264">
              <w:rPr>
                <w:rFonts w:asciiTheme="majorEastAsia" w:eastAsiaTheme="majorEastAsia" w:hAnsiTheme="majorEastAsia" w:cs="ＭＳ Ｐゴシック" w:hint="eastAsia"/>
                <w:b/>
                <w:bCs/>
                <w:color w:val="000000"/>
                <w:kern w:val="0"/>
                <w:sz w:val="24"/>
                <w:szCs w:val="24"/>
              </w:rPr>
              <w:t>（対ドル月平均）</w:t>
            </w:r>
          </w:p>
        </w:tc>
        <w:tc>
          <w:tcPr>
            <w:tcW w:w="1275" w:type="dxa"/>
            <w:tcBorders>
              <w:top w:val="nil"/>
              <w:left w:val="nil"/>
              <w:bottom w:val="single" w:sz="4" w:space="0" w:color="auto"/>
              <w:right w:val="single" w:sz="4" w:space="0" w:color="auto"/>
            </w:tcBorders>
            <w:vAlign w:val="bottom"/>
          </w:tcPr>
          <w:p w:rsidR="00A17FBC" w:rsidRPr="00A36264" w:rsidRDefault="00A17FBC" w:rsidP="002047E0">
            <w:pPr>
              <w:widowControl/>
              <w:jc w:val="right"/>
              <w:rPr>
                <w:rFonts w:asciiTheme="majorEastAsia" w:eastAsiaTheme="majorEastAsia" w:hAnsiTheme="majorEastAsia"/>
                <w:color w:val="000000"/>
                <w:kern w:val="0"/>
                <w:sz w:val="24"/>
                <w:szCs w:val="24"/>
              </w:rPr>
            </w:pPr>
            <w:r w:rsidRPr="00A36264">
              <w:rPr>
                <w:rFonts w:asciiTheme="majorEastAsia" w:eastAsiaTheme="majorEastAsia" w:hAnsiTheme="majorEastAsia" w:hint="eastAsia"/>
                <w:color w:val="000000"/>
                <w:kern w:val="0"/>
                <w:sz w:val="24"/>
                <w:szCs w:val="24"/>
              </w:rPr>
              <w:t>7.34</w:t>
            </w:r>
          </w:p>
        </w:tc>
        <w:tc>
          <w:tcPr>
            <w:tcW w:w="1276" w:type="dxa"/>
            <w:tcBorders>
              <w:top w:val="nil"/>
              <w:left w:val="nil"/>
              <w:bottom w:val="single" w:sz="4" w:space="0" w:color="auto"/>
              <w:right w:val="single" w:sz="4" w:space="0" w:color="auto"/>
            </w:tcBorders>
            <w:vAlign w:val="bottom"/>
          </w:tcPr>
          <w:p w:rsidR="00A17FBC" w:rsidRPr="00A36264" w:rsidRDefault="00A17FBC" w:rsidP="002047E0">
            <w:pPr>
              <w:widowControl/>
              <w:jc w:val="right"/>
              <w:rPr>
                <w:rFonts w:asciiTheme="majorEastAsia" w:eastAsiaTheme="majorEastAsia" w:hAnsiTheme="majorEastAsia"/>
                <w:color w:val="000000"/>
                <w:kern w:val="0"/>
                <w:sz w:val="24"/>
                <w:szCs w:val="24"/>
              </w:rPr>
            </w:pPr>
            <w:r w:rsidRPr="00A36264">
              <w:rPr>
                <w:rFonts w:asciiTheme="majorEastAsia" w:eastAsiaTheme="majorEastAsia" w:hAnsiTheme="majorEastAsia" w:hint="eastAsia"/>
                <w:color w:val="000000"/>
                <w:kern w:val="0"/>
                <w:sz w:val="24"/>
                <w:szCs w:val="24"/>
              </w:rPr>
              <w:t>7.33</w:t>
            </w:r>
          </w:p>
        </w:tc>
        <w:tc>
          <w:tcPr>
            <w:tcW w:w="1134" w:type="dxa"/>
            <w:tcBorders>
              <w:top w:val="nil"/>
              <w:left w:val="nil"/>
              <w:bottom w:val="single" w:sz="4" w:space="0" w:color="auto"/>
              <w:right w:val="single" w:sz="4" w:space="0" w:color="auto"/>
            </w:tcBorders>
            <w:vAlign w:val="bottom"/>
          </w:tcPr>
          <w:p w:rsidR="00A17FBC" w:rsidRPr="00A36264" w:rsidRDefault="00A17FBC" w:rsidP="002047E0">
            <w:pPr>
              <w:widowControl/>
              <w:jc w:val="right"/>
              <w:rPr>
                <w:rFonts w:asciiTheme="majorEastAsia" w:eastAsiaTheme="majorEastAsia" w:hAnsiTheme="majorEastAsia"/>
                <w:color w:val="000000"/>
                <w:kern w:val="0"/>
                <w:sz w:val="24"/>
                <w:szCs w:val="24"/>
              </w:rPr>
            </w:pPr>
            <w:r w:rsidRPr="00A36264">
              <w:rPr>
                <w:rFonts w:asciiTheme="majorEastAsia" w:eastAsiaTheme="majorEastAsia" w:hAnsiTheme="majorEastAsia" w:hint="eastAsia"/>
                <w:color w:val="000000"/>
                <w:kern w:val="0"/>
                <w:sz w:val="24"/>
                <w:szCs w:val="24"/>
              </w:rPr>
              <w:t>7.34</w:t>
            </w:r>
          </w:p>
        </w:tc>
        <w:tc>
          <w:tcPr>
            <w:tcW w:w="1418" w:type="dxa"/>
            <w:tcBorders>
              <w:top w:val="nil"/>
              <w:left w:val="nil"/>
              <w:bottom w:val="single" w:sz="4" w:space="0" w:color="auto"/>
              <w:right w:val="single" w:sz="4" w:space="0" w:color="auto"/>
            </w:tcBorders>
            <w:vAlign w:val="center"/>
          </w:tcPr>
          <w:p w:rsidR="00A36264" w:rsidRDefault="00A36264" w:rsidP="002047E0">
            <w:pPr>
              <w:widowControl/>
              <w:jc w:val="right"/>
              <w:rPr>
                <w:rFonts w:asciiTheme="majorEastAsia" w:eastAsiaTheme="majorEastAsia" w:hAnsiTheme="majorEastAsia"/>
                <w:kern w:val="0"/>
                <w:sz w:val="24"/>
                <w:szCs w:val="24"/>
              </w:rPr>
            </w:pPr>
          </w:p>
          <w:p w:rsidR="00A17FBC" w:rsidRPr="00A36264" w:rsidRDefault="00A17FBC" w:rsidP="002047E0">
            <w:pPr>
              <w:widowControl/>
              <w:jc w:val="right"/>
              <w:rPr>
                <w:rFonts w:asciiTheme="majorEastAsia" w:eastAsiaTheme="majorEastAsia" w:hAnsiTheme="majorEastAsia"/>
                <w:kern w:val="0"/>
                <w:sz w:val="24"/>
                <w:szCs w:val="24"/>
              </w:rPr>
            </w:pPr>
            <w:r w:rsidRPr="00A36264">
              <w:rPr>
                <w:rFonts w:asciiTheme="majorEastAsia" w:eastAsiaTheme="majorEastAsia" w:hAnsiTheme="majorEastAsia" w:hint="eastAsia"/>
                <w:kern w:val="0"/>
                <w:sz w:val="24"/>
                <w:szCs w:val="24"/>
              </w:rPr>
              <w:t>7.62</w:t>
            </w:r>
          </w:p>
        </w:tc>
        <w:tc>
          <w:tcPr>
            <w:tcW w:w="1417" w:type="dxa"/>
            <w:tcBorders>
              <w:top w:val="nil"/>
              <w:left w:val="nil"/>
              <w:bottom w:val="single" w:sz="4" w:space="0" w:color="auto"/>
              <w:right w:val="single" w:sz="4" w:space="0" w:color="auto"/>
            </w:tcBorders>
          </w:tcPr>
          <w:p w:rsidR="00A36264" w:rsidRDefault="00A36264" w:rsidP="002047E0">
            <w:pPr>
              <w:widowControl/>
              <w:jc w:val="right"/>
              <w:rPr>
                <w:rFonts w:asciiTheme="majorEastAsia" w:eastAsiaTheme="majorEastAsia" w:hAnsiTheme="majorEastAsia"/>
                <w:kern w:val="0"/>
                <w:sz w:val="24"/>
                <w:szCs w:val="24"/>
              </w:rPr>
            </w:pPr>
          </w:p>
          <w:p w:rsidR="00A17FBC" w:rsidRPr="00A36264" w:rsidRDefault="00A17FBC" w:rsidP="002047E0">
            <w:pPr>
              <w:widowControl/>
              <w:jc w:val="right"/>
              <w:rPr>
                <w:rFonts w:asciiTheme="majorEastAsia" w:eastAsiaTheme="majorEastAsia" w:hAnsiTheme="majorEastAsia"/>
                <w:kern w:val="0"/>
                <w:sz w:val="24"/>
                <w:szCs w:val="24"/>
              </w:rPr>
            </w:pPr>
            <w:r w:rsidRPr="00A36264">
              <w:rPr>
                <w:rFonts w:asciiTheme="majorEastAsia" w:eastAsiaTheme="majorEastAsia" w:hAnsiTheme="majorEastAsia"/>
                <w:kern w:val="0"/>
                <w:sz w:val="24"/>
                <w:szCs w:val="24"/>
              </w:rPr>
              <w:t>7.65</w:t>
            </w:r>
          </w:p>
        </w:tc>
      </w:tr>
    </w:tbl>
    <w:p w:rsidR="00A17FBC" w:rsidRPr="00A36264" w:rsidRDefault="00A17FBC" w:rsidP="00A17FBC">
      <w:pPr>
        <w:rPr>
          <w:rFonts w:asciiTheme="majorEastAsia" w:eastAsiaTheme="majorEastAsia" w:hAnsiTheme="majorEastAsia"/>
          <w:sz w:val="24"/>
          <w:szCs w:val="24"/>
        </w:rPr>
      </w:pPr>
      <w:r w:rsidRPr="00A36264">
        <w:rPr>
          <w:rFonts w:asciiTheme="majorEastAsia" w:eastAsiaTheme="majorEastAsia" w:hAnsiTheme="majorEastAsia" w:hint="eastAsia"/>
          <w:sz w:val="24"/>
          <w:szCs w:val="24"/>
        </w:rPr>
        <w:t>（出典：中銀，国立統計院）</w:t>
      </w:r>
      <w:r w:rsidRPr="00A36264">
        <w:rPr>
          <w:rFonts w:asciiTheme="majorEastAsia" w:eastAsiaTheme="majorEastAsia" w:hAnsiTheme="majorEastAsia"/>
          <w:sz w:val="24"/>
          <w:szCs w:val="24"/>
        </w:rPr>
        <w:t>201</w:t>
      </w:r>
      <w:r w:rsidRPr="00A36264">
        <w:rPr>
          <w:rFonts w:asciiTheme="majorEastAsia" w:eastAsiaTheme="majorEastAsia" w:hAnsiTheme="majorEastAsia" w:hint="eastAsia"/>
          <w:sz w:val="24"/>
          <w:szCs w:val="24"/>
        </w:rPr>
        <w:t>5年および</w:t>
      </w:r>
      <w:r w:rsidRPr="00A36264">
        <w:rPr>
          <w:rFonts w:asciiTheme="majorEastAsia" w:eastAsiaTheme="majorEastAsia" w:hAnsiTheme="majorEastAsia"/>
          <w:sz w:val="24"/>
          <w:szCs w:val="24"/>
        </w:rPr>
        <w:t>201</w:t>
      </w:r>
      <w:r w:rsidRPr="00A36264">
        <w:rPr>
          <w:rFonts w:asciiTheme="majorEastAsia" w:eastAsiaTheme="majorEastAsia" w:hAnsiTheme="majorEastAsia" w:hint="eastAsia"/>
          <w:sz w:val="24"/>
          <w:szCs w:val="24"/>
        </w:rPr>
        <w:t>6年の為替レートは年平均</w:t>
      </w:r>
    </w:p>
    <w:p w:rsidR="005F7612" w:rsidRPr="00A36264" w:rsidRDefault="00A3626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（了）</w:t>
      </w:r>
    </w:p>
    <w:sectPr w:rsidR="005F7612" w:rsidRPr="00A36264" w:rsidSect="00A17FB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FBC"/>
    <w:rsid w:val="00091A02"/>
    <w:rsid w:val="00106F26"/>
    <w:rsid w:val="00626D26"/>
    <w:rsid w:val="0083394C"/>
    <w:rsid w:val="00874DA6"/>
    <w:rsid w:val="00951505"/>
    <w:rsid w:val="00A17FBC"/>
    <w:rsid w:val="00A36264"/>
    <w:rsid w:val="00B600EB"/>
    <w:rsid w:val="00CC4957"/>
    <w:rsid w:val="00CF5441"/>
    <w:rsid w:val="00DC09BE"/>
    <w:rsid w:val="00E21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FB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FB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610</Words>
  <Characters>3479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3</cp:revision>
  <dcterms:created xsi:type="dcterms:W3CDTF">2018-01-10T02:11:00Z</dcterms:created>
  <dcterms:modified xsi:type="dcterms:W3CDTF">2018-01-17T01:52:00Z</dcterms:modified>
</cp:coreProperties>
</file>