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21B" w:rsidRDefault="00DB321B" w:rsidP="004C1CAB">
      <w:pPr>
        <w:jc w:val="center"/>
      </w:pPr>
      <w:r>
        <w:rPr>
          <w:rFonts w:hint="eastAsia"/>
        </w:rPr>
        <w:t>コスタリカ経済（</w:t>
      </w:r>
      <w:r>
        <w:rPr>
          <w:rFonts w:hint="eastAsia"/>
        </w:rPr>
        <w:t>2014</w:t>
      </w:r>
      <w:r>
        <w:rPr>
          <w:rFonts w:hint="eastAsia"/>
        </w:rPr>
        <w:t>年</w:t>
      </w:r>
      <w:r>
        <w:rPr>
          <w:rFonts w:hint="eastAsia"/>
        </w:rPr>
        <w:t>1</w:t>
      </w:r>
      <w:r>
        <w:rPr>
          <w:rFonts w:hint="eastAsia"/>
        </w:rPr>
        <w:t>月・</w:t>
      </w:r>
      <w:r>
        <w:rPr>
          <w:rFonts w:hint="eastAsia"/>
        </w:rPr>
        <w:t>2</w:t>
      </w:r>
      <w:r>
        <w:rPr>
          <w:rFonts w:hint="eastAsia"/>
        </w:rPr>
        <w:t>月）</w:t>
      </w:r>
    </w:p>
    <w:p w:rsidR="00DB321B" w:rsidRDefault="00DB321B">
      <w:pPr>
        <w:rPr>
          <w:rFonts w:hint="eastAsia"/>
        </w:rPr>
      </w:pPr>
    </w:p>
    <w:p w:rsidR="0083559D" w:rsidRDefault="0083559D"/>
    <w:p w:rsidR="00DB321B" w:rsidRPr="00DB321B" w:rsidRDefault="00DB321B">
      <w:r>
        <w:rPr>
          <w:rFonts w:hint="eastAsia"/>
        </w:rPr>
        <w:t>1</w:t>
      </w:r>
      <w:r>
        <w:rPr>
          <w:rFonts w:hint="eastAsia"/>
        </w:rPr>
        <w:t xml:space="preserve">　経済活動指標</w:t>
      </w:r>
    </w:p>
    <w:p w:rsidR="00727E03" w:rsidRDefault="006D24AE">
      <w:r w:rsidRPr="006D24AE">
        <w:rPr>
          <w:rFonts w:hint="eastAsia"/>
        </w:rPr>
        <w:t>●</w:t>
      </w:r>
      <w:r w:rsidR="00FD6F40">
        <w:rPr>
          <w:rFonts w:hint="eastAsia"/>
        </w:rPr>
        <w:t>1</w:t>
      </w:r>
      <w:r>
        <w:rPr>
          <w:rFonts w:hint="eastAsia"/>
        </w:rPr>
        <w:t>・</w:t>
      </w:r>
      <w:r w:rsidR="00FD6F40">
        <w:rPr>
          <w:rFonts w:hint="eastAsia"/>
        </w:rPr>
        <w:t>2</w:t>
      </w:r>
      <w:r w:rsidRPr="006D24AE">
        <w:rPr>
          <w:rFonts w:hint="eastAsia"/>
        </w:rPr>
        <w:t>月の経済活動指標の前年同期</w:t>
      </w:r>
      <w:r w:rsidR="00E325DA">
        <w:rPr>
          <w:rFonts w:hint="eastAsia"/>
        </w:rPr>
        <w:t>比</w:t>
      </w:r>
      <w:r w:rsidRPr="006D24AE">
        <w:rPr>
          <w:rFonts w:hint="eastAsia"/>
        </w:rPr>
        <w:t>成長率</w:t>
      </w:r>
      <w:r w:rsidR="002753ED">
        <w:rPr>
          <w:rFonts w:hint="eastAsia"/>
        </w:rPr>
        <w:t>(</w:t>
      </w:r>
      <w:r w:rsidR="002753ED">
        <w:rPr>
          <w:rFonts w:hint="eastAsia"/>
        </w:rPr>
        <w:t>表１</w:t>
      </w:r>
      <w:r w:rsidR="002753ED">
        <w:rPr>
          <w:rFonts w:hint="eastAsia"/>
        </w:rPr>
        <w:t>)</w:t>
      </w:r>
      <w:r w:rsidRPr="006D24AE">
        <w:rPr>
          <w:rFonts w:hint="eastAsia"/>
        </w:rPr>
        <w:t>は、</w:t>
      </w:r>
      <w:r w:rsidR="00FD6F40">
        <w:rPr>
          <w:rFonts w:hint="eastAsia"/>
        </w:rPr>
        <w:t>各</w:t>
      </w:r>
      <w:r w:rsidR="00E325DA">
        <w:rPr>
          <w:rFonts w:hint="eastAsia"/>
        </w:rPr>
        <w:t>2.40</w:t>
      </w:r>
      <w:r w:rsidR="00FD6F40">
        <w:rPr>
          <w:rFonts w:hint="eastAsia"/>
        </w:rPr>
        <w:t>％、</w:t>
      </w:r>
      <w:r w:rsidR="00E325DA">
        <w:rPr>
          <w:rFonts w:hint="eastAsia"/>
        </w:rPr>
        <w:t>4.10</w:t>
      </w:r>
      <w:r w:rsidR="00FD6F40">
        <w:rPr>
          <w:rFonts w:hint="eastAsia"/>
        </w:rPr>
        <w:t>％となった。</w:t>
      </w:r>
      <w:r w:rsidR="004E03E8">
        <w:rPr>
          <w:rFonts w:hint="eastAsia"/>
        </w:rPr>
        <w:t>2</w:t>
      </w:r>
      <w:r w:rsidR="004E03E8">
        <w:rPr>
          <w:rFonts w:hint="eastAsia"/>
        </w:rPr>
        <w:t>月には</w:t>
      </w:r>
      <w:r w:rsidR="00BE07FB">
        <w:rPr>
          <w:rFonts w:hint="eastAsia"/>
        </w:rPr>
        <w:t>、主産業である製造業において数値が</w:t>
      </w:r>
      <w:r w:rsidR="007443BE" w:rsidRPr="007443BE">
        <w:rPr>
          <w:rFonts w:hint="eastAsia"/>
        </w:rPr>
        <w:t>前年同期比を上回</w:t>
      </w:r>
      <w:r w:rsidR="00BE07FB">
        <w:rPr>
          <w:rFonts w:hint="eastAsia"/>
        </w:rPr>
        <w:t>り</w:t>
      </w:r>
      <w:r w:rsidR="007443BE">
        <w:rPr>
          <w:rFonts w:hint="eastAsia"/>
        </w:rPr>
        <w:t>(</w:t>
      </w:r>
      <w:r w:rsidR="004E03E8">
        <w:rPr>
          <w:rFonts w:hint="eastAsia"/>
        </w:rPr>
        <w:t>プラス</w:t>
      </w:r>
      <w:r w:rsidR="004E03E8">
        <w:rPr>
          <w:rFonts w:hint="eastAsia"/>
        </w:rPr>
        <w:t>1.64</w:t>
      </w:r>
      <w:r w:rsidR="007443BE">
        <w:rPr>
          <w:rFonts w:hint="eastAsia"/>
        </w:rPr>
        <w:t>ポイントの</w:t>
      </w:r>
      <w:r w:rsidR="007443BE" w:rsidRPr="007443BE">
        <w:rPr>
          <w:rFonts w:hint="eastAsia"/>
        </w:rPr>
        <w:t>1.66</w:t>
      </w:r>
      <w:r w:rsidR="007443BE" w:rsidRPr="007443BE">
        <w:rPr>
          <w:rFonts w:hint="eastAsia"/>
        </w:rPr>
        <w:t>％</w:t>
      </w:r>
      <w:r w:rsidR="007443BE" w:rsidRPr="007443BE">
        <w:rPr>
          <w:rFonts w:hint="eastAsia"/>
        </w:rPr>
        <w:t>)</w:t>
      </w:r>
      <w:r w:rsidR="007443BE">
        <w:rPr>
          <w:rFonts w:hint="eastAsia"/>
        </w:rPr>
        <w:t>、</w:t>
      </w:r>
      <w:r w:rsidR="00BE07FB">
        <w:rPr>
          <w:rFonts w:hint="eastAsia"/>
        </w:rPr>
        <w:t>また</w:t>
      </w:r>
      <w:r w:rsidR="00F548FB">
        <w:rPr>
          <w:rFonts w:hint="eastAsia"/>
        </w:rPr>
        <w:t>各種サービス業</w:t>
      </w:r>
      <w:r w:rsidR="0099524E">
        <w:rPr>
          <w:rFonts w:hint="eastAsia"/>
        </w:rPr>
        <w:t>において</w:t>
      </w:r>
      <w:r w:rsidR="007443BE">
        <w:rPr>
          <w:rFonts w:hint="eastAsia"/>
        </w:rPr>
        <w:t>も</w:t>
      </w:r>
      <w:r w:rsidR="00452DEE">
        <w:rPr>
          <w:rFonts w:hint="eastAsia"/>
        </w:rPr>
        <w:t>安定した</w:t>
      </w:r>
      <w:r w:rsidR="00F548FB">
        <w:rPr>
          <w:rFonts w:hint="eastAsia"/>
        </w:rPr>
        <w:t>成長率</w:t>
      </w:r>
      <w:r w:rsidR="00BE07FB">
        <w:rPr>
          <w:rFonts w:hint="eastAsia"/>
        </w:rPr>
        <w:t>を</w:t>
      </w:r>
      <w:r w:rsidR="00F548FB">
        <w:rPr>
          <w:rFonts w:hint="eastAsia"/>
        </w:rPr>
        <w:t>維持</w:t>
      </w:r>
      <w:r w:rsidR="00BE07FB">
        <w:rPr>
          <w:rFonts w:hint="eastAsia"/>
        </w:rPr>
        <w:t>した</w:t>
      </w:r>
      <w:r w:rsidR="007443BE">
        <w:rPr>
          <w:rFonts w:hint="eastAsia"/>
        </w:rPr>
        <w:t>。</w:t>
      </w:r>
      <w:r w:rsidR="00CD39AB">
        <w:rPr>
          <w:rFonts w:hint="eastAsia"/>
        </w:rPr>
        <w:t>特に金融仲介</w:t>
      </w:r>
      <w:r w:rsidR="0099524E">
        <w:rPr>
          <w:rFonts w:hint="eastAsia"/>
        </w:rPr>
        <w:t>サービスにおいて</w:t>
      </w:r>
      <w:r w:rsidR="00334600">
        <w:rPr>
          <w:rFonts w:hint="eastAsia"/>
        </w:rPr>
        <w:t>成長</w:t>
      </w:r>
      <w:r w:rsidR="0099524E">
        <w:rPr>
          <w:rFonts w:hint="eastAsia"/>
        </w:rPr>
        <w:t>が堅調であり、</w:t>
      </w:r>
      <w:r w:rsidR="0099524E">
        <w:rPr>
          <w:rFonts w:hint="eastAsia"/>
        </w:rPr>
        <w:t>2</w:t>
      </w:r>
      <w:r w:rsidR="0099524E">
        <w:rPr>
          <w:rFonts w:hint="eastAsia"/>
        </w:rPr>
        <w:t>月には前年同期比約</w:t>
      </w:r>
      <w:r w:rsidR="0099524E">
        <w:rPr>
          <w:rFonts w:hint="eastAsia"/>
        </w:rPr>
        <w:t>12</w:t>
      </w:r>
      <w:r w:rsidR="0099524E">
        <w:rPr>
          <w:rFonts w:hint="eastAsia"/>
        </w:rPr>
        <w:t>％の成長を見せた。</w:t>
      </w:r>
      <w:r w:rsidR="007443BE">
        <w:rPr>
          <w:rFonts w:hint="eastAsia"/>
        </w:rPr>
        <w:t>また</w:t>
      </w:r>
      <w:r w:rsidR="00F548FB">
        <w:rPr>
          <w:rFonts w:hint="eastAsia"/>
        </w:rPr>
        <w:t>、</w:t>
      </w:r>
      <w:r w:rsidR="00FD6F40">
        <w:rPr>
          <w:rFonts w:hint="eastAsia"/>
        </w:rPr>
        <w:t>農林漁業</w:t>
      </w:r>
      <w:r w:rsidR="00150F9C">
        <w:rPr>
          <w:rFonts w:hint="eastAsia"/>
        </w:rPr>
        <w:t>(0.7</w:t>
      </w:r>
      <w:r w:rsidR="00150F9C">
        <w:rPr>
          <w:rFonts w:hint="eastAsia"/>
        </w:rPr>
        <w:t>ポイント上昇し</w:t>
      </w:r>
      <w:r w:rsidR="00F548FB">
        <w:rPr>
          <w:rFonts w:hint="eastAsia"/>
        </w:rPr>
        <w:t>プラス</w:t>
      </w:r>
      <w:r w:rsidR="00150F9C">
        <w:rPr>
          <w:rFonts w:hint="eastAsia"/>
        </w:rPr>
        <w:t>2.81</w:t>
      </w:r>
      <w:r w:rsidR="00150F9C">
        <w:rPr>
          <w:rFonts w:hint="eastAsia"/>
        </w:rPr>
        <w:t>％</w:t>
      </w:r>
      <w:r w:rsidR="00150F9C">
        <w:rPr>
          <w:rFonts w:hint="eastAsia"/>
        </w:rPr>
        <w:t>)</w:t>
      </w:r>
      <w:r w:rsidR="00930B28">
        <w:rPr>
          <w:rFonts w:hint="eastAsia"/>
        </w:rPr>
        <w:t>、</w:t>
      </w:r>
      <w:r w:rsidR="00FD6F40">
        <w:rPr>
          <w:rFonts w:hint="eastAsia"/>
        </w:rPr>
        <w:t>建設業</w:t>
      </w:r>
      <w:r w:rsidR="00150F9C">
        <w:rPr>
          <w:rFonts w:hint="eastAsia"/>
        </w:rPr>
        <w:t>(1.9</w:t>
      </w:r>
      <w:r w:rsidR="00150F9C">
        <w:rPr>
          <w:rFonts w:hint="eastAsia"/>
        </w:rPr>
        <w:t>ポイント上昇し</w:t>
      </w:r>
      <w:r w:rsidR="00F548FB">
        <w:rPr>
          <w:rFonts w:hint="eastAsia"/>
        </w:rPr>
        <w:t>プラス</w:t>
      </w:r>
      <w:r w:rsidR="00150F9C">
        <w:rPr>
          <w:rFonts w:hint="eastAsia"/>
        </w:rPr>
        <w:t>3.97</w:t>
      </w:r>
      <w:r w:rsidR="00150F9C">
        <w:rPr>
          <w:rFonts w:hint="eastAsia"/>
        </w:rPr>
        <w:t>％</w:t>
      </w:r>
      <w:r w:rsidR="00150F9C">
        <w:rPr>
          <w:rFonts w:hint="eastAsia"/>
        </w:rPr>
        <w:t>)</w:t>
      </w:r>
      <w:r w:rsidR="00930B28">
        <w:rPr>
          <w:rFonts w:hint="eastAsia"/>
        </w:rPr>
        <w:t>など</w:t>
      </w:r>
      <w:r w:rsidR="0009484D">
        <w:rPr>
          <w:rFonts w:hint="eastAsia"/>
        </w:rPr>
        <w:t>で</w:t>
      </w:r>
      <w:r w:rsidR="000436B0">
        <w:rPr>
          <w:rFonts w:hint="eastAsia"/>
          <w:lang w:val="es-ES"/>
        </w:rPr>
        <w:t>も</w:t>
      </w:r>
      <w:r w:rsidR="002A173A">
        <w:rPr>
          <w:rFonts w:hint="eastAsia"/>
        </w:rPr>
        <w:t>成長</w:t>
      </w:r>
      <w:r w:rsidR="00FD6F40">
        <w:rPr>
          <w:rFonts w:hint="eastAsia"/>
        </w:rPr>
        <w:t>が見られた。農業に</w:t>
      </w:r>
      <w:r w:rsidR="002A173A">
        <w:rPr>
          <w:rFonts w:hint="eastAsia"/>
        </w:rPr>
        <w:t>関しては</w:t>
      </w:r>
      <w:r w:rsidR="00930B28">
        <w:rPr>
          <w:rFonts w:hint="eastAsia"/>
        </w:rPr>
        <w:t>、欧米</w:t>
      </w:r>
      <w:r w:rsidR="00B83E30">
        <w:rPr>
          <w:rFonts w:hint="eastAsia"/>
        </w:rPr>
        <w:t>がこの冬に</w:t>
      </w:r>
      <w:r w:rsidR="00362E07">
        <w:rPr>
          <w:rFonts w:hint="eastAsia"/>
        </w:rPr>
        <w:t>大</w:t>
      </w:r>
      <w:r w:rsidR="00930B28">
        <w:rPr>
          <w:rFonts w:hint="eastAsia"/>
        </w:rPr>
        <w:t>寒波</w:t>
      </w:r>
      <w:r w:rsidR="00B83E30">
        <w:rPr>
          <w:rFonts w:hint="eastAsia"/>
        </w:rPr>
        <w:t>にみまわれたことから</w:t>
      </w:r>
      <w:r w:rsidR="00D94F62">
        <w:rPr>
          <w:rFonts w:hint="eastAsia"/>
        </w:rPr>
        <w:t>、</w:t>
      </w:r>
      <w:r w:rsidR="00B83E30">
        <w:rPr>
          <w:rFonts w:hint="eastAsia"/>
        </w:rPr>
        <w:t>同</w:t>
      </w:r>
      <w:r w:rsidR="002A173A">
        <w:rPr>
          <w:rFonts w:hint="eastAsia"/>
        </w:rPr>
        <w:t>地域</w:t>
      </w:r>
      <w:r w:rsidR="00B83E30">
        <w:rPr>
          <w:rFonts w:hint="eastAsia"/>
        </w:rPr>
        <w:t>で輸入</w:t>
      </w:r>
      <w:r w:rsidR="00842832">
        <w:rPr>
          <w:rFonts w:hint="eastAsia"/>
        </w:rPr>
        <w:t>果物や</w:t>
      </w:r>
      <w:r w:rsidR="00585BE2">
        <w:rPr>
          <w:rFonts w:hint="eastAsia"/>
        </w:rPr>
        <w:t>花卉</w:t>
      </w:r>
      <w:r w:rsidR="00FD6F40">
        <w:rPr>
          <w:rFonts w:hint="eastAsia"/>
        </w:rPr>
        <w:t>の需要</w:t>
      </w:r>
      <w:r w:rsidR="00D94F62">
        <w:rPr>
          <w:rFonts w:hint="eastAsia"/>
        </w:rPr>
        <w:t>が</w:t>
      </w:r>
      <w:r w:rsidR="00FD6F40">
        <w:rPr>
          <w:rFonts w:hint="eastAsia"/>
        </w:rPr>
        <w:t>拡大</w:t>
      </w:r>
      <w:r w:rsidR="00B83E30">
        <w:rPr>
          <w:rFonts w:hint="eastAsia"/>
        </w:rPr>
        <w:t>し、</w:t>
      </w:r>
      <w:r w:rsidR="00FF4866">
        <w:rPr>
          <w:rFonts w:hint="eastAsia"/>
        </w:rPr>
        <w:t>前年からの</w:t>
      </w:r>
      <w:r w:rsidR="002A173A">
        <w:rPr>
          <w:rFonts w:hint="eastAsia"/>
        </w:rPr>
        <w:t>数値改善</w:t>
      </w:r>
      <w:r w:rsidR="00B83E30">
        <w:rPr>
          <w:rFonts w:hint="eastAsia"/>
        </w:rPr>
        <w:t>につながった。</w:t>
      </w:r>
    </w:p>
    <w:p w:rsidR="00B42FAC" w:rsidRDefault="003B6D42">
      <w:r>
        <w:rPr>
          <w:noProof/>
        </w:rPr>
        <w:drawing>
          <wp:inline distT="0" distB="0" distL="0" distR="0">
            <wp:extent cx="5638800" cy="3848100"/>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55DF2" w:rsidRDefault="00455DF2"/>
    <w:p w:rsidR="00415CD9" w:rsidRDefault="00415CD9"/>
    <w:p w:rsidR="00415CD9" w:rsidRDefault="00415CD9"/>
    <w:p w:rsidR="00415CD9" w:rsidRDefault="00415CD9"/>
    <w:p w:rsidR="00B42FAC" w:rsidRDefault="00DB321B">
      <w:r>
        <w:rPr>
          <w:rFonts w:hint="eastAsia"/>
        </w:rPr>
        <w:t>2</w:t>
      </w:r>
      <w:r>
        <w:rPr>
          <w:rFonts w:hint="eastAsia"/>
        </w:rPr>
        <w:t xml:space="preserve">　貿易</w:t>
      </w:r>
    </w:p>
    <w:p w:rsidR="00EA7E9D" w:rsidRDefault="004C1CAB" w:rsidP="00EA7E9D">
      <w:r>
        <w:rPr>
          <w:rFonts w:hint="eastAsia"/>
        </w:rPr>
        <w:t>●</w:t>
      </w:r>
      <w:r w:rsidR="00EA7E9D">
        <w:rPr>
          <w:rFonts w:hint="eastAsia"/>
        </w:rPr>
        <w:t>貿易額</w:t>
      </w:r>
      <w:r w:rsidR="00CE314D">
        <w:rPr>
          <w:rFonts w:hint="eastAsia"/>
        </w:rPr>
        <w:t>(</w:t>
      </w:r>
      <w:r w:rsidR="00CE314D">
        <w:rPr>
          <w:rFonts w:hint="eastAsia"/>
        </w:rPr>
        <w:t>表</w:t>
      </w:r>
      <w:r w:rsidR="00CE314D">
        <w:rPr>
          <w:rFonts w:hint="eastAsia"/>
        </w:rPr>
        <w:t>2)</w:t>
      </w:r>
      <w:r w:rsidR="00C96F4F">
        <w:rPr>
          <w:rFonts w:hint="eastAsia"/>
        </w:rPr>
        <w:t>に関し</w:t>
      </w:r>
      <w:r w:rsidR="00EA7E9D">
        <w:rPr>
          <w:rFonts w:hint="eastAsia"/>
        </w:rPr>
        <w:t>、輸入</w:t>
      </w:r>
      <w:r w:rsidR="00CE314D">
        <w:rPr>
          <w:rFonts w:hint="eastAsia"/>
        </w:rPr>
        <w:t>額</w:t>
      </w:r>
      <w:r w:rsidR="00C96F4F">
        <w:rPr>
          <w:rFonts w:hint="eastAsia"/>
        </w:rPr>
        <w:t>は</w:t>
      </w:r>
      <w:r w:rsidR="00C96F4F">
        <w:rPr>
          <w:rFonts w:hint="eastAsia"/>
        </w:rPr>
        <w:t>1</w:t>
      </w:r>
      <w:r w:rsidR="00C96F4F">
        <w:rPr>
          <w:rFonts w:hint="eastAsia"/>
        </w:rPr>
        <w:t>月が</w:t>
      </w:r>
      <w:r w:rsidR="00CE314D">
        <w:rPr>
          <w:rFonts w:hint="eastAsia"/>
        </w:rPr>
        <w:t>15</w:t>
      </w:r>
      <w:r w:rsidR="00622165">
        <w:rPr>
          <w:rFonts w:hint="eastAsia"/>
        </w:rPr>
        <w:t>18.3</w:t>
      </w:r>
      <w:r w:rsidR="00CE314D">
        <w:rPr>
          <w:rFonts w:hint="eastAsia"/>
        </w:rPr>
        <w:t>百万ドル</w:t>
      </w:r>
      <w:r w:rsidR="00CE314D">
        <w:rPr>
          <w:rFonts w:hint="eastAsia"/>
        </w:rPr>
        <w:t>(</w:t>
      </w:r>
      <w:r w:rsidR="00EA7E9D">
        <w:rPr>
          <w:rFonts w:hint="eastAsia"/>
        </w:rPr>
        <w:t>前年比▲</w:t>
      </w:r>
      <w:r w:rsidR="00566196">
        <w:rPr>
          <w:rFonts w:hint="eastAsia"/>
        </w:rPr>
        <w:t>2.9</w:t>
      </w:r>
      <w:r w:rsidR="00EA7E9D">
        <w:rPr>
          <w:rFonts w:hint="eastAsia"/>
        </w:rPr>
        <w:t>%</w:t>
      </w:r>
      <w:r w:rsidR="00CE314D">
        <w:rPr>
          <w:rFonts w:hint="eastAsia"/>
        </w:rPr>
        <w:t>)</w:t>
      </w:r>
      <w:r w:rsidR="00EA7E9D">
        <w:rPr>
          <w:rFonts w:hint="eastAsia"/>
        </w:rPr>
        <w:t>、</w:t>
      </w:r>
      <w:r w:rsidR="00C96F4F">
        <w:rPr>
          <w:rFonts w:hint="eastAsia"/>
        </w:rPr>
        <w:t>2</w:t>
      </w:r>
      <w:r w:rsidR="00C96F4F">
        <w:rPr>
          <w:rFonts w:hint="eastAsia"/>
        </w:rPr>
        <w:t>月が</w:t>
      </w:r>
      <w:r w:rsidR="00622165">
        <w:rPr>
          <w:rFonts w:hint="eastAsia"/>
        </w:rPr>
        <w:t>1371.8</w:t>
      </w:r>
      <w:r w:rsidR="00C96F4F">
        <w:rPr>
          <w:rFonts w:hint="eastAsia"/>
        </w:rPr>
        <w:t>百万ドル</w:t>
      </w:r>
      <w:r w:rsidR="00C96F4F">
        <w:rPr>
          <w:rFonts w:hint="eastAsia"/>
        </w:rPr>
        <w:t>(</w:t>
      </w:r>
      <w:r w:rsidR="004F1F7E">
        <w:rPr>
          <w:rFonts w:hint="eastAsia"/>
        </w:rPr>
        <w:t>前年</w:t>
      </w:r>
      <w:r w:rsidR="001C37D4">
        <w:rPr>
          <w:rFonts w:hint="eastAsia"/>
        </w:rPr>
        <w:t>比</w:t>
      </w:r>
      <w:r w:rsidR="000A21E4">
        <w:rPr>
          <w:rFonts w:hint="eastAsia"/>
        </w:rPr>
        <w:t>プラス</w:t>
      </w:r>
      <w:r w:rsidR="000A21E4">
        <w:rPr>
          <w:rFonts w:hint="eastAsia"/>
        </w:rPr>
        <w:t>1</w:t>
      </w:r>
      <w:r w:rsidR="000C23A1">
        <w:rPr>
          <w:rFonts w:hint="eastAsia"/>
        </w:rPr>
        <w:t>.</w:t>
      </w:r>
      <w:r w:rsidR="004F0419">
        <w:rPr>
          <w:rFonts w:hint="eastAsia"/>
        </w:rPr>
        <w:t>3</w:t>
      </w:r>
      <w:r w:rsidR="00566196">
        <w:rPr>
          <w:rFonts w:hint="eastAsia"/>
        </w:rPr>
        <w:t>％</w:t>
      </w:r>
      <w:r w:rsidR="00C96F4F">
        <w:rPr>
          <w:rFonts w:hint="eastAsia"/>
        </w:rPr>
        <w:t>)</w:t>
      </w:r>
      <w:r w:rsidR="004F1F7E">
        <w:rPr>
          <w:rFonts w:hint="eastAsia"/>
        </w:rPr>
        <w:t>となった。</w:t>
      </w:r>
      <w:r w:rsidR="00EA7E9D">
        <w:rPr>
          <w:rFonts w:hint="eastAsia"/>
        </w:rPr>
        <w:t>輸出</w:t>
      </w:r>
      <w:r w:rsidR="001C37D4">
        <w:rPr>
          <w:rFonts w:hint="eastAsia"/>
        </w:rPr>
        <w:t>額は</w:t>
      </w:r>
      <w:r w:rsidR="001C37D4">
        <w:rPr>
          <w:rFonts w:hint="eastAsia"/>
        </w:rPr>
        <w:t>1</w:t>
      </w:r>
      <w:r w:rsidR="001C37D4">
        <w:rPr>
          <w:rFonts w:hint="eastAsia"/>
        </w:rPr>
        <w:t>月が</w:t>
      </w:r>
      <w:r w:rsidR="001C37D4">
        <w:rPr>
          <w:rFonts w:hint="eastAsia"/>
        </w:rPr>
        <w:t>856.9</w:t>
      </w:r>
      <w:r w:rsidR="001C37D4">
        <w:rPr>
          <w:rFonts w:hint="eastAsia"/>
        </w:rPr>
        <w:t>百万ドル</w:t>
      </w:r>
      <w:r w:rsidR="001C37D4">
        <w:rPr>
          <w:rFonts w:hint="eastAsia"/>
        </w:rPr>
        <w:t>(</w:t>
      </w:r>
      <w:r w:rsidR="00EA7E9D">
        <w:rPr>
          <w:rFonts w:hint="eastAsia"/>
        </w:rPr>
        <w:t>前年比▲</w:t>
      </w:r>
      <w:r w:rsidR="00430239">
        <w:rPr>
          <w:rFonts w:hint="eastAsia"/>
        </w:rPr>
        <w:t>5.9</w:t>
      </w:r>
      <w:r w:rsidR="00EA7E9D">
        <w:rPr>
          <w:rFonts w:hint="eastAsia"/>
        </w:rPr>
        <w:t>%</w:t>
      </w:r>
      <w:r w:rsidR="001C37D4">
        <w:rPr>
          <w:rFonts w:hint="eastAsia"/>
        </w:rPr>
        <w:t>)</w:t>
      </w:r>
      <w:r w:rsidR="000A21E4">
        <w:rPr>
          <w:rFonts w:hint="eastAsia"/>
        </w:rPr>
        <w:t>、</w:t>
      </w:r>
      <w:r w:rsidR="001C37D4">
        <w:rPr>
          <w:rFonts w:hint="eastAsia"/>
        </w:rPr>
        <w:t>2</w:t>
      </w:r>
      <w:r w:rsidR="001C37D4">
        <w:rPr>
          <w:rFonts w:hint="eastAsia"/>
        </w:rPr>
        <w:t>月が</w:t>
      </w:r>
      <w:r w:rsidR="001C37D4">
        <w:rPr>
          <w:rFonts w:hint="eastAsia"/>
        </w:rPr>
        <w:t>960.2</w:t>
      </w:r>
      <w:r w:rsidR="001C37D4">
        <w:rPr>
          <w:rFonts w:hint="eastAsia"/>
        </w:rPr>
        <w:t>百万ドル</w:t>
      </w:r>
      <w:r w:rsidR="001C37D4">
        <w:rPr>
          <w:rFonts w:hint="eastAsia"/>
        </w:rPr>
        <w:t>(</w:t>
      </w:r>
      <w:r w:rsidR="001C37D4">
        <w:rPr>
          <w:rFonts w:hint="eastAsia"/>
        </w:rPr>
        <w:t>前年比</w:t>
      </w:r>
      <w:r w:rsidR="000A21E4">
        <w:rPr>
          <w:rFonts w:hint="eastAsia"/>
        </w:rPr>
        <w:t>プラス</w:t>
      </w:r>
      <w:r w:rsidR="004E0947">
        <w:rPr>
          <w:rFonts w:hint="eastAsia"/>
        </w:rPr>
        <w:t>3.0</w:t>
      </w:r>
      <w:r w:rsidR="00566196">
        <w:rPr>
          <w:rFonts w:hint="eastAsia"/>
        </w:rPr>
        <w:t>％</w:t>
      </w:r>
      <w:r w:rsidR="001C37D4">
        <w:rPr>
          <w:rFonts w:hint="eastAsia"/>
        </w:rPr>
        <w:t>)</w:t>
      </w:r>
      <w:r w:rsidR="001D3D42">
        <w:rPr>
          <w:rFonts w:hint="eastAsia"/>
        </w:rPr>
        <w:t>と</w:t>
      </w:r>
      <w:r w:rsidR="0031492A">
        <w:rPr>
          <w:rFonts w:hint="eastAsia"/>
        </w:rPr>
        <w:t>なった。</w:t>
      </w:r>
      <w:r w:rsidR="000C23A1">
        <w:rPr>
          <w:rFonts w:hint="eastAsia"/>
        </w:rPr>
        <w:t>結果</w:t>
      </w:r>
      <w:r w:rsidR="00A96855">
        <w:rPr>
          <w:rFonts w:hint="eastAsia"/>
        </w:rPr>
        <w:t>、</w:t>
      </w:r>
      <w:r w:rsidR="000C23A1">
        <w:rPr>
          <w:rFonts w:hint="eastAsia"/>
        </w:rPr>
        <w:t>2</w:t>
      </w:r>
      <w:r w:rsidR="000C23A1">
        <w:rPr>
          <w:rFonts w:hint="eastAsia"/>
        </w:rPr>
        <w:t>月時点で</w:t>
      </w:r>
      <w:r w:rsidR="00A96855">
        <w:rPr>
          <w:rFonts w:hint="eastAsia"/>
        </w:rPr>
        <w:t>の累積</w:t>
      </w:r>
      <w:r w:rsidR="00C7266D">
        <w:rPr>
          <w:rFonts w:hint="eastAsia"/>
        </w:rPr>
        <w:t>輸入</w:t>
      </w:r>
      <w:r w:rsidR="00C03218">
        <w:rPr>
          <w:rFonts w:hint="eastAsia"/>
        </w:rPr>
        <w:t>及び輸出</w:t>
      </w:r>
      <w:r w:rsidR="00A96855">
        <w:rPr>
          <w:rFonts w:hint="eastAsia"/>
        </w:rPr>
        <w:lastRenderedPageBreak/>
        <w:t>額</w:t>
      </w:r>
      <w:r w:rsidR="00F508BE">
        <w:rPr>
          <w:rFonts w:hint="eastAsia"/>
        </w:rPr>
        <w:t>(</w:t>
      </w:r>
      <w:r w:rsidR="00F508BE">
        <w:rPr>
          <w:rFonts w:hint="eastAsia"/>
        </w:rPr>
        <w:t>表</w:t>
      </w:r>
      <w:r w:rsidR="00F508BE">
        <w:rPr>
          <w:rFonts w:hint="eastAsia"/>
        </w:rPr>
        <w:t>4)</w:t>
      </w:r>
      <w:r w:rsidR="00C7266D">
        <w:rPr>
          <w:rFonts w:hint="eastAsia"/>
        </w:rPr>
        <w:t>は</w:t>
      </w:r>
      <w:r w:rsidR="00C03218">
        <w:rPr>
          <w:rFonts w:hint="eastAsia"/>
        </w:rPr>
        <w:t>各</w:t>
      </w:r>
      <w:r w:rsidR="00A96855">
        <w:rPr>
          <w:rFonts w:hint="eastAsia"/>
        </w:rPr>
        <w:t>2890.1</w:t>
      </w:r>
      <w:r w:rsidR="00A96855">
        <w:rPr>
          <w:rFonts w:hint="eastAsia"/>
        </w:rPr>
        <w:t>百万ドル、</w:t>
      </w:r>
      <w:r w:rsidR="00A96855">
        <w:rPr>
          <w:rFonts w:hint="eastAsia"/>
        </w:rPr>
        <w:t>18</w:t>
      </w:r>
      <w:r w:rsidR="00C20D70">
        <w:rPr>
          <w:rFonts w:hint="eastAsia"/>
        </w:rPr>
        <w:t>17.1</w:t>
      </w:r>
      <w:r w:rsidR="00A96855">
        <w:rPr>
          <w:rFonts w:hint="eastAsia"/>
        </w:rPr>
        <w:t>百万ドルとなった。</w:t>
      </w:r>
      <w:r w:rsidR="00CA5AB0" w:rsidRPr="00CA5AB0">
        <w:rPr>
          <w:rFonts w:hint="eastAsia"/>
        </w:rPr>
        <w:t>貿易収支</w:t>
      </w:r>
      <w:r w:rsidR="000B1948">
        <w:rPr>
          <w:rFonts w:hint="eastAsia"/>
        </w:rPr>
        <w:t>(</w:t>
      </w:r>
      <w:r w:rsidR="000B1948">
        <w:rPr>
          <w:rFonts w:hint="eastAsia"/>
        </w:rPr>
        <w:t>表</w:t>
      </w:r>
      <w:r w:rsidR="000B1948">
        <w:rPr>
          <w:rFonts w:hint="eastAsia"/>
        </w:rPr>
        <w:t>3</w:t>
      </w:r>
      <w:r w:rsidR="000B1948">
        <w:rPr>
          <w:rFonts w:hint="eastAsia"/>
        </w:rPr>
        <w:t>及び表</w:t>
      </w:r>
      <w:r w:rsidR="000B1948">
        <w:rPr>
          <w:rFonts w:hint="eastAsia"/>
        </w:rPr>
        <w:t>4)</w:t>
      </w:r>
      <w:r w:rsidR="00CA5AB0" w:rsidRPr="00CA5AB0">
        <w:rPr>
          <w:rFonts w:hint="eastAsia"/>
        </w:rPr>
        <w:t>は</w:t>
      </w:r>
      <w:r w:rsidR="00BF07F9">
        <w:rPr>
          <w:rFonts w:hint="eastAsia"/>
        </w:rPr>
        <w:t>、</w:t>
      </w:r>
      <w:r w:rsidR="00CA5AB0" w:rsidRPr="00CA5AB0">
        <w:rPr>
          <w:rFonts w:hint="eastAsia"/>
        </w:rPr>
        <w:t>1</w:t>
      </w:r>
      <w:r w:rsidR="00CA5AB0" w:rsidRPr="00CA5AB0">
        <w:rPr>
          <w:rFonts w:hint="eastAsia"/>
        </w:rPr>
        <w:t>月に前年比約▲</w:t>
      </w:r>
      <w:r w:rsidR="00CA5AB0" w:rsidRPr="00CA5AB0">
        <w:rPr>
          <w:rFonts w:hint="eastAsia"/>
        </w:rPr>
        <w:t>10</w:t>
      </w:r>
      <w:r w:rsidR="00CA5AB0" w:rsidRPr="00CA5AB0">
        <w:rPr>
          <w:rFonts w:hint="eastAsia"/>
        </w:rPr>
        <w:t>百万ドルとなったが、</w:t>
      </w:r>
      <w:r w:rsidR="00CA5AB0" w:rsidRPr="00CA5AB0">
        <w:rPr>
          <w:rFonts w:hint="eastAsia"/>
        </w:rPr>
        <w:t>2</w:t>
      </w:r>
      <w:r w:rsidR="00CA5AB0" w:rsidRPr="00CA5AB0">
        <w:rPr>
          <w:rFonts w:hint="eastAsia"/>
        </w:rPr>
        <w:t>月の輸出額の改善</w:t>
      </w:r>
      <w:r w:rsidR="00BC15BC">
        <w:rPr>
          <w:rFonts w:hint="eastAsia"/>
        </w:rPr>
        <w:t>(</w:t>
      </w:r>
      <w:r w:rsidR="00BC15BC">
        <w:rPr>
          <w:rFonts w:hint="eastAsia"/>
        </w:rPr>
        <w:t>前年比約プラス</w:t>
      </w:r>
      <w:r w:rsidR="00BC15BC">
        <w:rPr>
          <w:rFonts w:hint="eastAsia"/>
        </w:rPr>
        <w:t>27.8</w:t>
      </w:r>
      <w:r w:rsidR="00BC15BC">
        <w:rPr>
          <w:rFonts w:hint="eastAsia"/>
        </w:rPr>
        <w:t>百万ドル</w:t>
      </w:r>
      <w:r w:rsidR="00BC15BC">
        <w:rPr>
          <w:rFonts w:hint="eastAsia"/>
        </w:rPr>
        <w:t>)</w:t>
      </w:r>
      <w:r w:rsidR="00CA5AB0" w:rsidRPr="00CA5AB0">
        <w:rPr>
          <w:rFonts w:hint="eastAsia"/>
        </w:rPr>
        <w:t>により、</w:t>
      </w:r>
      <w:r w:rsidR="00CA5AB0" w:rsidRPr="00CA5AB0">
        <w:rPr>
          <w:rFonts w:hint="eastAsia"/>
        </w:rPr>
        <w:t>2</w:t>
      </w:r>
      <w:r w:rsidR="00CA5AB0" w:rsidRPr="00CA5AB0">
        <w:rPr>
          <w:rFonts w:hint="eastAsia"/>
        </w:rPr>
        <w:t>月時点では前年とほぼ同値まで持ち直している。</w:t>
      </w:r>
      <w:r w:rsidR="00EA7E9D">
        <w:rPr>
          <w:rFonts w:hint="eastAsia"/>
        </w:rPr>
        <w:t>輸出に</w:t>
      </w:r>
      <w:r w:rsidR="00727E03">
        <w:rPr>
          <w:rFonts w:hint="eastAsia"/>
        </w:rPr>
        <w:t>関しては</w:t>
      </w:r>
      <w:r w:rsidR="00EA7E9D">
        <w:rPr>
          <w:rFonts w:hint="eastAsia"/>
        </w:rPr>
        <w:t>、</w:t>
      </w:r>
      <w:r w:rsidR="00243DE4">
        <w:rPr>
          <w:rFonts w:hint="eastAsia"/>
        </w:rPr>
        <w:t>2</w:t>
      </w:r>
      <w:r w:rsidR="00243DE4">
        <w:rPr>
          <w:rFonts w:hint="eastAsia"/>
        </w:rPr>
        <w:t>月に</w:t>
      </w:r>
      <w:r w:rsidR="00587FA4">
        <w:rPr>
          <w:rFonts w:hint="eastAsia"/>
        </w:rPr>
        <w:t>主要品目である</w:t>
      </w:r>
      <w:r w:rsidR="00EA7E9D">
        <w:rPr>
          <w:rFonts w:hint="eastAsia"/>
        </w:rPr>
        <w:t>電子関連製品</w:t>
      </w:r>
      <w:r w:rsidR="00727E03">
        <w:rPr>
          <w:rFonts w:hint="eastAsia"/>
        </w:rPr>
        <w:t>輸出額</w:t>
      </w:r>
      <w:r w:rsidR="00E05F5C">
        <w:rPr>
          <w:rFonts w:hint="eastAsia"/>
        </w:rPr>
        <w:t>が前年比</w:t>
      </w:r>
      <w:r w:rsidR="00EA7E9D">
        <w:rPr>
          <w:rFonts w:hint="eastAsia"/>
        </w:rPr>
        <w:t>5.2%</w:t>
      </w:r>
      <w:r w:rsidR="00E05F5C">
        <w:rPr>
          <w:rFonts w:hint="eastAsia"/>
        </w:rPr>
        <w:t>増</w:t>
      </w:r>
      <w:r w:rsidR="00587FA4">
        <w:rPr>
          <w:rFonts w:hint="eastAsia"/>
        </w:rPr>
        <w:t>となったこと</w:t>
      </w:r>
      <w:r w:rsidR="001C37D4">
        <w:rPr>
          <w:rFonts w:hint="eastAsia"/>
        </w:rPr>
        <w:t>が</w:t>
      </w:r>
      <w:r w:rsidR="00C1044E">
        <w:rPr>
          <w:rFonts w:hint="eastAsia"/>
        </w:rPr>
        <w:t>全体</w:t>
      </w:r>
      <w:r w:rsidR="00587FA4">
        <w:rPr>
          <w:rFonts w:hint="eastAsia"/>
        </w:rPr>
        <w:t>数値</w:t>
      </w:r>
      <w:r w:rsidR="00C1044E">
        <w:rPr>
          <w:rFonts w:hint="eastAsia"/>
        </w:rPr>
        <w:t>の</w:t>
      </w:r>
      <w:r w:rsidR="00587FA4">
        <w:rPr>
          <w:rFonts w:hint="eastAsia"/>
        </w:rPr>
        <w:t>改善につながった</w:t>
      </w:r>
      <w:r w:rsidR="00E2570F">
        <w:rPr>
          <w:rFonts w:hint="eastAsia"/>
        </w:rPr>
        <w:t>。</w:t>
      </w:r>
      <w:r w:rsidR="007C0487">
        <w:rPr>
          <w:rFonts w:hint="eastAsia"/>
        </w:rPr>
        <w:t>しかし、累積</w:t>
      </w:r>
      <w:r w:rsidR="006F40B2">
        <w:rPr>
          <w:rFonts w:hint="eastAsia"/>
        </w:rPr>
        <w:t>貿易額の</w:t>
      </w:r>
      <w:r w:rsidR="007C0487">
        <w:rPr>
          <w:rFonts w:hint="eastAsia"/>
        </w:rPr>
        <w:t>成長率</w:t>
      </w:r>
      <w:r w:rsidR="006F40B2">
        <w:rPr>
          <w:rFonts w:hint="eastAsia"/>
        </w:rPr>
        <w:t>推移</w:t>
      </w:r>
      <w:r w:rsidR="001C37D4">
        <w:rPr>
          <w:rFonts w:hint="eastAsia"/>
        </w:rPr>
        <w:t>(</w:t>
      </w:r>
      <w:r w:rsidR="001C37D4">
        <w:rPr>
          <w:rFonts w:hint="eastAsia"/>
        </w:rPr>
        <w:t>表</w:t>
      </w:r>
      <w:r w:rsidR="00BF07F9">
        <w:rPr>
          <w:rFonts w:hint="eastAsia"/>
        </w:rPr>
        <w:t>5</w:t>
      </w:r>
      <w:r w:rsidR="001C37D4">
        <w:rPr>
          <w:rFonts w:hint="eastAsia"/>
        </w:rPr>
        <w:t>)</w:t>
      </w:r>
      <w:r w:rsidR="006F40B2">
        <w:rPr>
          <w:rFonts w:hint="eastAsia"/>
        </w:rPr>
        <w:t>では</w:t>
      </w:r>
      <w:r w:rsidR="00B83E30">
        <w:rPr>
          <w:rFonts w:hint="eastAsia"/>
        </w:rPr>
        <w:t>2</w:t>
      </w:r>
      <w:r w:rsidR="00B83E30">
        <w:rPr>
          <w:rFonts w:hint="eastAsia"/>
        </w:rPr>
        <w:t>月時点で</w:t>
      </w:r>
      <w:r w:rsidR="00E02C8C">
        <w:rPr>
          <w:rFonts w:hint="eastAsia"/>
        </w:rPr>
        <w:t>輸出、輸入額とも前年比マイナス</w:t>
      </w:r>
      <w:r w:rsidR="00E05F5C">
        <w:rPr>
          <w:rFonts w:hint="eastAsia"/>
        </w:rPr>
        <w:t>成長</w:t>
      </w:r>
      <w:r w:rsidR="00E02C8C">
        <w:rPr>
          <w:rFonts w:hint="eastAsia"/>
        </w:rPr>
        <w:t>となっ</w:t>
      </w:r>
      <w:r w:rsidR="00F41B3D">
        <w:rPr>
          <w:rFonts w:hint="eastAsia"/>
        </w:rPr>
        <w:t>ている</w:t>
      </w:r>
      <w:r w:rsidR="006F40B2">
        <w:rPr>
          <w:rFonts w:hint="eastAsia"/>
        </w:rPr>
        <w:t>。</w:t>
      </w:r>
    </w:p>
    <w:p w:rsidR="00EA7E9D" w:rsidRDefault="00EA7E9D" w:rsidP="00EA7E9D">
      <w:r>
        <w:rPr>
          <w:rFonts w:hint="eastAsia"/>
        </w:rPr>
        <w:t>●</w:t>
      </w:r>
      <w:r w:rsidR="00B207F6">
        <w:rPr>
          <w:rFonts w:hint="eastAsia"/>
        </w:rPr>
        <w:t>1</w:t>
      </w:r>
      <w:r w:rsidR="00B207F6">
        <w:rPr>
          <w:rFonts w:hint="eastAsia"/>
        </w:rPr>
        <w:t>月の</w:t>
      </w:r>
      <w:r w:rsidR="00E02C8C">
        <w:rPr>
          <w:rFonts w:hint="eastAsia"/>
        </w:rPr>
        <w:t>輸入額</w:t>
      </w:r>
      <w:r w:rsidR="00C0732C">
        <w:rPr>
          <w:rFonts w:hint="eastAsia"/>
        </w:rPr>
        <w:t>が</w:t>
      </w:r>
      <w:r w:rsidR="00405795">
        <w:rPr>
          <w:rFonts w:hint="eastAsia"/>
        </w:rPr>
        <w:t>前年同期比からの減少となった</w:t>
      </w:r>
      <w:r w:rsidR="00B207F6">
        <w:rPr>
          <w:rFonts w:hint="eastAsia"/>
        </w:rPr>
        <w:t>要因として</w:t>
      </w:r>
      <w:r w:rsidR="00334600">
        <w:rPr>
          <w:rFonts w:hint="eastAsia"/>
        </w:rPr>
        <w:t>は</w:t>
      </w:r>
      <w:r w:rsidR="00B207F6">
        <w:rPr>
          <w:rFonts w:hint="eastAsia"/>
        </w:rPr>
        <w:t>、</w:t>
      </w:r>
      <w:r w:rsidR="00AE215D">
        <w:rPr>
          <w:rFonts w:hint="eastAsia"/>
        </w:rPr>
        <w:t>1</w:t>
      </w:r>
      <w:r w:rsidR="00AE215D">
        <w:rPr>
          <w:rFonts w:hint="eastAsia"/>
        </w:rPr>
        <w:t>月以降の急激なドル高傾向</w:t>
      </w:r>
      <w:r w:rsidR="00405795">
        <w:rPr>
          <w:rFonts w:hint="eastAsia"/>
        </w:rPr>
        <w:t>や</w:t>
      </w:r>
      <w:r w:rsidR="00334600">
        <w:rPr>
          <w:rFonts w:hint="eastAsia"/>
        </w:rPr>
        <w:t>、</w:t>
      </w:r>
      <w:r w:rsidR="00AE215D">
        <w:rPr>
          <w:rFonts w:hint="eastAsia"/>
        </w:rPr>
        <w:t>大統領選挙中</w:t>
      </w:r>
      <w:r w:rsidR="000330E4">
        <w:rPr>
          <w:rFonts w:hint="eastAsia"/>
        </w:rPr>
        <w:t>による</w:t>
      </w:r>
      <w:r w:rsidR="00AE215D">
        <w:rPr>
          <w:rFonts w:hint="eastAsia"/>
        </w:rPr>
        <w:t>今後の経済政策</w:t>
      </w:r>
      <w:r w:rsidR="000330E4">
        <w:rPr>
          <w:rFonts w:hint="eastAsia"/>
        </w:rPr>
        <w:t>の</w:t>
      </w:r>
      <w:r w:rsidR="00AE215D">
        <w:rPr>
          <w:rFonts w:hint="eastAsia"/>
        </w:rPr>
        <w:t>不透明</w:t>
      </w:r>
      <w:r w:rsidR="000330E4">
        <w:rPr>
          <w:rFonts w:hint="eastAsia"/>
        </w:rPr>
        <w:t>さなどが</w:t>
      </w:r>
      <w:r w:rsidR="00587FA4">
        <w:rPr>
          <w:rFonts w:hint="eastAsia"/>
        </w:rPr>
        <w:t>消費者の買い控えを招き、</w:t>
      </w:r>
      <w:r w:rsidR="00AE215D">
        <w:rPr>
          <w:rFonts w:hint="eastAsia"/>
        </w:rPr>
        <w:t>輸入品の需要を停滞させた</w:t>
      </w:r>
      <w:r w:rsidR="00334600">
        <w:rPr>
          <w:rFonts w:hint="eastAsia"/>
        </w:rPr>
        <w:t>こ</w:t>
      </w:r>
      <w:r w:rsidR="00B207F6">
        <w:rPr>
          <w:rFonts w:hint="eastAsia"/>
        </w:rPr>
        <w:t>と</w:t>
      </w:r>
      <w:r w:rsidR="00334600">
        <w:rPr>
          <w:rFonts w:hint="eastAsia"/>
        </w:rPr>
        <w:t>が</w:t>
      </w:r>
      <w:r w:rsidR="00AE215D">
        <w:rPr>
          <w:rFonts w:hint="eastAsia"/>
        </w:rPr>
        <w:t>考えられ</w:t>
      </w:r>
      <w:r w:rsidR="00B83E30">
        <w:rPr>
          <w:rFonts w:hint="eastAsia"/>
        </w:rPr>
        <w:t>てい</w:t>
      </w:r>
      <w:r w:rsidR="00AE215D">
        <w:rPr>
          <w:rFonts w:hint="eastAsia"/>
        </w:rPr>
        <w:t>る。</w:t>
      </w:r>
    </w:p>
    <w:p w:rsidR="00EA7E9D" w:rsidRDefault="00EA7E9D" w:rsidP="00EA7E9D">
      <w:r>
        <w:rPr>
          <w:rFonts w:hint="eastAsia"/>
        </w:rPr>
        <w:t>●</w:t>
      </w:r>
      <w:r w:rsidR="00ED18C6">
        <w:rPr>
          <w:rFonts w:hint="eastAsia"/>
        </w:rPr>
        <w:t>コスタリカ</w:t>
      </w:r>
      <w:r w:rsidR="00E04F59">
        <w:rPr>
          <w:rFonts w:hint="eastAsia"/>
        </w:rPr>
        <w:t>の主要輸出品目であるコーヒーに関しては、</w:t>
      </w:r>
      <w:r w:rsidR="00C05AF7">
        <w:rPr>
          <w:rFonts w:hint="eastAsia"/>
        </w:rPr>
        <w:t>中米地域のさび病</w:t>
      </w:r>
      <w:r w:rsidR="00ED18C6">
        <w:rPr>
          <w:rFonts w:hint="eastAsia"/>
        </w:rPr>
        <w:t>やブラジルの旱魃により</w:t>
      </w:r>
      <w:r w:rsidR="00C05AF7">
        <w:rPr>
          <w:rFonts w:hint="eastAsia"/>
        </w:rPr>
        <w:t>世</w:t>
      </w:r>
      <w:r w:rsidR="00E04F59">
        <w:rPr>
          <w:rFonts w:hint="eastAsia"/>
        </w:rPr>
        <w:t>界市場での取扱量が減少したことにより</w:t>
      </w:r>
      <w:r w:rsidR="00ED18C6">
        <w:rPr>
          <w:rFonts w:hint="eastAsia"/>
        </w:rPr>
        <w:t>、年始から</w:t>
      </w:r>
      <w:r w:rsidR="00E04F59">
        <w:rPr>
          <w:rFonts w:hint="eastAsia"/>
        </w:rPr>
        <w:t>価格が</w:t>
      </w:r>
      <w:r w:rsidR="00451B0E">
        <w:rPr>
          <w:rFonts w:hint="eastAsia"/>
        </w:rPr>
        <w:t>上昇し続けている。コスタリカは</w:t>
      </w:r>
      <w:r w:rsidR="00384E5B">
        <w:rPr>
          <w:rFonts w:hint="eastAsia"/>
        </w:rPr>
        <w:t>さび病</w:t>
      </w:r>
      <w:r w:rsidR="00C1044E">
        <w:rPr>
          <w:rFonts w:hint="eastAsia"/>
        </w:rPr>
        <w:t>の</w:t>
      </w:r>
      <w:r w:rsidR="00ED18C6">
        <w:rPr>
          <w:rFonts w:hint="eastAsia"/>
        </w:rPr>
        <w:t>影響</w:t>
      </w:r>
      <w:r w:rsidR="00C1044E">
        <w:rPr>
          <w:rFonts w:hint="eastAsia"/>
        </w:rPr>
        <w:t>から</w:t>
      </w:r>
      <w:r w:rsidR="00C05AF7">
        <w:rPr>
          <w:rFonts w:hint="eastAsia"/>
        </w:rPr>
        <w:t>比較的回復傾向にある</w:t>
      </w:r>
      <w:r w:rsidR="00670E81">
        <w:rPr>
          <w:rFonts w:hint="eastAsia"/>
        </w:rPr>
        <w:t>ため、今期</w:t>
      </w:r>
      <w:r w:rsidR="00384E5B">
        <w:rPr>
          <w:rFonts w:hint="eastAsia"/>
        </w:rPr>
        <w:t>の収穫後も高値傾向が維持されれば</w:t>
      </w:r>
      <w:r w:rsidR="00300DC3">
        <w:rPr>
          <w:rFonts w:hint="eastAsia"/>
        </w:rPr>
        <w:t>、コーヒー</w:t>
      </w:r>
      <w:r w:rsidR="00D84476">
        <w:rPr>
          <w:rFonts w:hint="eastAsia"/>
        </w:rPr>
        <w:t>輸出額が</w:t>
      </w:r>
      <w:r w:rsidR="00C05AF7">
        <w:rPr>
          <w:rFonts w:hint="eastAsia"/>
        </w:rPr>
        <w:t>急増する可能性がある。</w:t>
      </w:r>
    </w:p>
    <w:p w:rsidR="00BF07F9" w:rsidRDefault="00BF07F9" w:rsidP="00EA7E9D"/>
    <w:p w:rsidR="00B42FAC" w:rsidRDefault="004E06D5" w:rsidP="00835B1A">
      <w:pPr>
        <w:jc w:val="center"/>
      </w:pPr>
      <w:r>
        <w:rPr>
          <w:noProof/>
        </w:rPr>
        <w:drawing>
          <wp:inline distT="0" distB="0" distL="0" distR="0">
            <wp:extent cx="5353050" cy="3781425"/>
            <wp:effectExtent l="0" t="0" r="0" b="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42FAC" w:rsidRDefault="00B42FAC"/>
    <w:p w:rsidR="00DB321B" w:rsidRDefault="00DB321B" w:rsidP="00835B1A">
      <w:pPr>
        <w:jc w:val="center"/>
      </w:pPr>
    </w:p>
    <w:p w:rsidR="000C0FFA" w:rsidRDefault="00D55CAB">
      <w:r>
        <w:rPr>
          <w:noProof/>
        </w:rPr>
        <w:lastRenderedPageBreak/>
        <w:drawing>
          <wp:anchor distT="0" distB="0" distL="114300" distR="114300" simplePos="0" relativeHeight="251665408" behindDoc="0" locked="0" layoutInCell="1" allowOverlap="1">
            <wp:simplePos x="3762375" y="1333500"/>
            <wp:positionH relativeFrom="margin">
              <wp:align>right</wp:align>
            </wp:positionH>
            <wp:positionV relativeFrom="margin">
              <wp:align>top</wp:align>
            </wp:positionV>
            <wp:extent cx="2686050" cy="2600325"/>
            <wp:effectExtent l="0" t="0" r="0" b="0"/>
            <wp:wrapSquare wrapText="bothSides"/>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7C25EA">
        <w:rPr>
          <w:noProof/>
        </w:rPr>
        <w:drawing>
          <wp:anchor distT="0" distB="0" distL="114300" distR="114300" simplePos="0" relativeHeight="251664384" behindDoc="0" locked="0" layoutInCell="1" allowOverlap="1">
            <wp:simplePos x="1076325" y="1495425"/>
            <wp:positionH relativeFrom="margin">
              <wp:align>left</wp:align>
            </wp:positionH>
            <wp:positionV relativeFrom="margin">
              <wp:align>top</wp:align>
            </wp:positionV>
            <wp:extent cx="2571750" cy="2600325"/>
            <wp:effectExtent l="0" t="0" r="0" b="0"/>
            <wp:wrapSquare wrapText="bothSides"/>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DB3BCD" w:rsidRDefault="00DB3BCD">
      <w:r w:rsidRPr="00DB321B">
        <w:rPr>
          <w:noProof/>
        </w:rPr>
        <w:drawing>
          <wp:anchor distT="0" distB="0" distL="114300" distR="114300" simplePos="0" relativeHeight="251661312" behindDoc="0" locked="0" layoutInCell="1" allowOverlap="1">
            <wp:simplePos x="0" y="0"/>
            <wp:positionH relativeFrom="margin">
              <wp:posOffset>385445</wp:posOffset>
            </wp:positionH>
            <wp:positionV relativeFrom="margin">
              <wp:posOffset>3070860</wp:posOffset>
            </wp:positionV>
            <wp:extent cx="4762500" cy="2724150"/>
            <wp:effectExtent l="0" t="0" r="0" b="0"/>
            <wp:wrapSquare wrapText="bothSides"/>
            <wp:docPr id="13"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DB3BCD" w:rsidRDefault="00DB3BCD"/>
    <w:p w:rsidR="00DB3BCD" w:rsidRDefault="00DB3BCD"/>
    <w:p w:rsidR="00DB3BCD" w:rsidRDefault="00DB3BCD"/>
    <w:p w:rsidR="00DB3BCD" w:rsidRDefault="00DB3BCD"/>
    <w:p w:rsidR="00DB3BCD" w:rsidRDefault="00DB3BCD"/>
    <w:p w:rsidR="00DB3BCD" w:rsidRDefault="00DB3BCD"/>
    <w:p w:rsidR="00DB3BCD" w:rsidRDefault="00DB3BCD"/>
    <w:p w:rsidR="00DB3BCD" w:rsidRDefault="00DB3BCD"/>
    <w:p w:rsidR="00DB3BCD" w:rsidRDefault="00DB3BCD"/>
    <w:p w:rsidR="00DB3BCD" w:rsidRDefault="00DB3BCD"/>
    <w:p w:rsidR="00DB3BCD" w:rsidRDefault="00DB3BCD"/>
    <w:p w:rsidR="00BF07F9" w:rsidRDefault="00BF07F9"/>
    <w:p w:rsidR="00BF07F9" w:rsidRDefault="00BF07F9"/>
    <w:p w:rsidR="00BF07F9" w:rsidRDefault="00BF07F9"/>
    <w:p w:rsidR="00BF07F9" w:rsidRDefault="00BF07F9"/>
    <w:p w:rsidR="00BF07F9" w:rsidRDefault="00BF07F9"/>
    <w:p w:rsidR="00BF07F9" w:rsidRDefault="00BF07F9"/>
    <w:p w:rsidR="00DB3BCD" w:rsidRDefault="00DB3BCD"/>
    <w:p w:rsidR="00DB3BCD" w:rsidRDefault="00DB3BCD">
      <w:pPr>
        <w:rPr>
          <w:rFonts w:hint="eastAsia"/>
        </w:rPr>
      </w:pPr>
    </w:p>
    <w:p w:rsidR="0083559D" w:rsidRDefault="0083559D"/>
    <w:p w:rsidR="00BF07F9" w:rsidRDefault="00BF07F9"/>
    <w:p w:rsidR="00BF07F9" w:rsidRDefault="00BF07F9"/>
    <w:p w:rsidR="00BF07F9" w:rsidRDefault="00BF07F9"/>
    <w:p w:rsidR="006A3184" w:rsidRDefault="006A3184">
      <w:r>
        <w:rPr>
          <w:rFonts w:hint="eastAsia"/>
        </w:rPr>
        <w:lastRenderedPageBreak/>
        <w:t>３．財政収支</w:t>
      </w:r>
    </w:p>
    <w:p w:rsidR="006A3184" w:rsidRDefault="00465686">
      <w:r>
        <w:rPr>
          <w:rFonts w:hint="eastAsia"/>
        </w:rPr>
        <w:t>●</w:t>
      </w:r>
      <w:r w:rsidR="00A44AC6">
        <w:rPr>
          <w:rFonts w:hint="eastAsia"/>
        </w:rPr>
        <w:t>1</w:t>
      </w:r>
      <w:r w:rsidR="00A44AC6">
        <w:rPr>
          <w:rFonts w:hint="eastAsia"/>
        </w:rPr>
        <w:t>月までの財政収支</w:t>
      </w:r>
      <w:r w:rsidR="007314BE">
        <w:rPr>
          <w:rFonts w:hint="eastAsia"/>
        </w:rPr>
        <w:t>(</w:t>
      </w:r>
      <w:r w:rsidR="007314BE">
        <w:rPr>
          <w:rFonts w:hint="eastAsia"/>
        </w:rPr>
        <w:t>表</w:t>
      </w:r>
      <w:r w:rsidR="007314BE">
        <w:rPr>
          <w:rFonts w:hint="eastAsia"/>
        </w:rPr>
        <w:t>6)</w:t>
      </w:r>
      <w:r w:rsidR="00A44AC6">
        <w:rPr>
          <w:rFonts w:hint="eastAsia"/>
        </w:rPr>
        <w:t>は、歳入が前年比</w:t>
      </w:r>
      <w:r w:rsidR="009C2C2B">
        <w:rPr>
          <w:rFonts w:hint="eastAsia"/>
        </w:rPr>
        <w:t>約</w:t>
      </w:r>
      <w:r w:rsidR="00E70DBC">
        <w:rPr>
          <w:rFonts w:hint="eastAsia"/>
        </w:rPr>
        <w:t>9.1</w:t>
      </w:r>
      <w:r w:rsidR="00606D79">
        <w:rPr>
          <w:rFonts w:hint="eastAsia"/>
        </w:rPr>
        <w:t>％増</w:t>
      </w:r>
      <w:r w:rsidR="00A44AC6">
        <w:rPr>
          <w:rFonts w:hint="eastAsia"/>
        </w:rPr>
        <w:t>(</w:t>
      </w:r>
      <w:r w:rsidR="00B4264A">
        <w:rPr>
          <w:rFonts w:hint="eastAsia"/>
        </w:rPr>
        <w:t>前年同値</w:t>
      </w:r>
      <w:r w:rsidR="006C5FD6">
        <w:rPr>
          <w:rFonts w:hint="eastAsia"/>
        </w:rPr>
        <w:t>10</w:t>
      </w:r>
      <w:r w:rsidR="00A44AC6">
        <w:rPr>
          <w:rFonts w:hint="eastAsia"/>
        </w:rPr>
        <w:t>％</w:t>
      </w:r>
      <w:r w:rsidR="00A44AC6">
        <w:rPr>
          <w:rFonts w:hint="eastAsia"/>
        </w:rPr>
        <w:t>)</w:t>
      </w:r>
      <w:r w:rsidR="00A44AC6">
        <w:rPr>
          <w:rFonts w:hint="eastAsia"/>
        </w:rPr>
        <w:t>、歳出が前年比</w:t>
      </w:r>
      <w:r w:rsidR="009C2C2B">
        <w:rPr>
          <w:rFonts w:hint="eastAsia"/>
        </w:rPr>
        <w:t>約</w:t>
      </w:r>
      <w:r w:rsidR="00E70DBC">
        <w:rPr>
          <w:rFonts w:hint="eastAsia"/>
        </w:rPr>
        <w:t>1</w:t>
      </w:r>
      <w:r w:rsidR="00A44AC6">
        <w:rPr>
          <w:rFonts w:hint="eastAsia"/>
        </w:rPr>
        <w:t>.</w:t>
      </w:r>
      <w:r w:rsidR="00E70DBC">
        <w:rPr>
          <w:rFonts w:hint="eastAsia"/>
        </w:rPr>
        <w:t>3</w:t>
      </w:r>
      <w:r w:rsidR="00A44AC6">
        <w:rPr>
          <w:rFonts w:hint="eastAsia"/>
        </w:rPr>
        <w:t>％増</w:t>
      </w:r>
      <w:r w:rsidR="00A44AC6" w:rsidRPr="00A44AC6">
        <w:rPr>
          <w:rFonts w:hint="eastAsia"/>
        </w:rPr>
        <w:t>(</w:t>
      </w:r>
      <w:r w:rsidR="00E40292">
        <w:rPr>
          <w:rFonts w:hint="eastAsia"/>
        </w:rPr>
        <w:t>前年同値</w:t>
      </w:r>
      <w:r w:rsidR="00E70DBC">
        <w:rPr>
          <w:rFonts w:hint="eastAsia"/>
        </w:rPr>
        <w:t>16</w:t>
      </w:r>
      <w:r w:rsidR="00E40292">
        <w:rPr>
          <w:rFonts w:hint="eastAsia"/>
        </w:rPr>
        <w:t>.</w:t>
      </w:r>
      <w:r w:rsidR="00E70DBC">
        <w:rPr>
          <w:rFonts w:hint="eastAsia"/>
        </w:rPr>
        <w:t>2</w:t>
      </w:r>
      <w:r w:rsidR="00A44AC6" w:rsidRPr="00A44AC6">
        <w:rPr>
          <w:rFonts w:hint="eastAsia"/>
        </w:rPr>
        <w:t>％</w:t>
      </w:r>
      <w:r w:rsidR="00A44AC6" w:rsidRPr="00A44AC6">
        <w:rPr>
          <w:rFonts w:hint="eastAsia"/>
        </w:rPr>
        <w:t>)</w:t>
      </w:r>
      <w:r w:rsidR="00A44AC6">
        <w:rPr>
          <w:rFonts w:hint="eastAsia"/>
        </w:rPr>
        <w:t>となり、財政赤字は前年比約</w:t>
      </w:r>
      <w:r w:rsidR="00606D79">
        <w:rPr>
          <w:rFonts w:hint="eastAsia"/>
        </w:rPr>
        <w:t>▲</w:t>
      </w:r>
      <w:r w:rsidR="009F1689">
        <w:rPr>
          <w:rFonts w:hint="eastAsia"/>
        </w:rPr>
        <w:t>6.7</w:t>
      </w:r>
      <w:r w:rsidR="009F1689">
        <w:rPr>
          <w:rFonts w:hint="eastAsia"/>
        </w:rPr>
        <w:t>％</w:t>
      </w:r>
      <w:r w:rsidR="00606D79">
        <w:rPr>
          <w:rFonts w:hint="eastAsia"/>
        </w:rPr>
        <w:t>となった</w:t>
      </w:r>
      <w:r w:rsidR="00A44AC6">
        <w:rPr>
          <w:rFonts w:hint="eastAsia"/>
        </w:rPr>
        <w:t>。</w:t>
      </w:r>
      <w:r w:rsidR="00C92ECE">
        <w:rPr>
          <w:rFonts w:hint="eastAsia"/>
        </w:rPr>
        <w:t>財政赤字の</w:t>
      </w:r>
      <w:r w:rsidR="00A44AC6">
        <w:rPr>
          <w:rFonts w:hint="eastAsia"/>
        </w:rPr>
        <w:t>対</w:t>
      </w:r>
      <w:r w:rsidR="00A44AC6">
        <w:rPr>
          <w:rFonts w:hint="eastAsia"/>
        </w:rPr>
        <w:t>GDP</w:t>
      </w:r>
      <w:r w:rsidR="009F1689">
        <w:rPr>
          <w:rFonts w:hint="eastAsia"/>
        </w:rPr>
        <w:t>比では</w:t>
      </w:r>
      <w:r w:rsidR="00925181">
        <w:rPr>
          <w:rFonts w:hint="eastAsia"/>
        </w:rPr>
        <w:t>前</w:t>
      </w:r>
      <w:r w:rsidR="009F1689">
        <w:rPr>
          <w:rFonts w:hint="eastAsia"/>
        </w:rPr>
        <w:t>年よりも</w:t>
      </w:r>
      <w:r w:rsidR="009F1689">
        <w:rPr>
          <w:rFonts w:hint="eastAsia"/>
        </w:rPr>
        <w:t>0.1</w:t>
      </w:r>
      <w:r w:rsidR="009F1689">
        <w:rPr>
          <w:rFonts w:hint="eastAsia"/>
        </w:rPr>
        <w:t>ポイント低い</w:t>
      </w:r>
      <w:r w:rsidR="009F1689">
        <w:rPr>
          <w:rFonts w:hint="eastAsia"/>
        </w:rPr>
        <w:t>0.8</w:t>
      </w:r>
      <w:r w:rsidR="009F1689">
        <w:rPr>
          <w:rFonts w:hint="eastAsia"/>
        </w:rPr>
        <w:t>％となっている</w:t>
      </w:r>
      <w:r w:rsidR="00A44AC6">
        <w:rPr>
          <w:rFonts w:hint="eastAsia"/>
        </w:rPr>
        <w:t>。</w:t>
      </w:r>
    </w:p>
    <w:p w:rsidR="00EE4FC3" w:rsidRDefault="00465686">
      <w:r>
        <w:rPr>
          <w:rFonts w:hint="eastAsia"/>
        </w:rPr>
        <w:t>●</w:t>
      </w:r>
      <w:r w:rsidR="00EE4FC3">
        <w:rPr>
          <w:rFonts w:hint="eastAsia"/>
        </w:rPr>
        <w:t>2</w:t>
      </w:r>
      <w:r w:rsidR="00EE4FC3" w:rsidRPr="00EE4FC3">
        <w:rPr>
          <w:rFonts w:hint="eastAsia"/>
        </w:rPr>
        <w:t>月までの財政収支</w:t>
      </w:r>
      <w:r w:rsidR="007314BE">
        <w:rPr>
          <w:rFonts w:hint="eastAsia"/>
        </w:rPr>
        <w:t>(</w:t>
      </w:r>
      <w:r w:rsidR="007314BE">
        <w:rPr>
          <w:rFonts w:hint="eastAsia"/>
        </w:rPr>
        <w:t>表</w:t>
      </w:r>
      <w:r w:rsidR="007314BE">
        <w:rPr>
          <w:rFonts w:hint="eastAsia"/>
        </w:rPr>
        <w:t>7)</w:t>
      </w:r>
      <w:r w:rsidR="00EE4FC3" w:rsidRPr="00EE4FC3">
        <w:rPr>
          <w:rFonts w:hint="eastAsia"/>
        </w:rPr>
        <w:t>は、歳入が前年比</w:t>
      </w:r>
      <w:r w:rsidR="009C2C2B">
        <w:rPr>
          <w:rFonts w:hint="eastAsia"/>
        </w:rPr>
        <w:t>約</w:t>
      </w:r>
      <w:r w:rsidR="00E70DBC">
        <w:rPr>
          <w:rFonts w:hint="eastAsia"/>
        </w:rPr>
        <w:t>5</w:t>
      </w:r>
      <w:r w:rsidR="009C2C2B">
        <w:rPr>
          <w:rFonts w:hint="eastAsia"/>
        </w:rPr>
        <w:t>.4</w:t>
      </w:r>
      <w:r w:rsidR="00606D79">
        <w:rPr>
          <w:rFonts w:hint="eastAsia"/>
        </w:rPr>
        <w:t>％増</w:t>
      </w:r>
      <w:r w:rsidR="00EE4FC3" w:rsidRPr="00EE4FC3">
        <w:rPr>
          <w:rFonts w:hint="eastAsia"/>
        </w:rPr>
        <w:t>(</w:t>
      </w:r>
      <w:r w:rsidR="00E40292">
        <w:rPr>
          <w:rFonts w:hint="eastAsia"/>
        </w:rPr>
        <w:t>前年同値</w:t>
      </w:r>
      <w:r w:rsidR="00E70DBC">
        <w:rPr>
          <w:rFonts w:hint="eastAsia"/>
        </w:rPr>
        <w:t>17</w:t>
      </w:r>
      <w:r w:rsidR="00EE4FC3" w:rsidRPr="00EE4FC3">
        <w:rPr>
          <w:rFonts w:hint="eastAsia"/>
        </w:rPr>
        <w:t>％</w:t>
      </w:r>
      <w:r w:rsidR="00EE4FC3" w:rsidRPr="00EE4FC3">
        <w:rPr>
          <w:rFonts w:hint="eastAsia"/>
        </w:rPr>
        <w:t>)</w:t>
      </w:r>
      <w:r w:rsidR="00EE4FC3" w:rsidRPr="00EE4FC3">
        <w:rPr>
          <w:rFonts w:hint="eastAsia"/>
        </w:rPr>
        <w:t>、歳出が前年比</w:t>
      </w:r>
      <w:r w:rsidR="009C2C2B">
        <w:rPr>
          <w:rFonts w:hint="eastAsia"/>
        </w:rPr>
        <w:t>約</w:t>
      </w:r>
      <w:r w:rsidR="00E70DBC">
        <w:rPr>
          <w:rFonts w:hint="eastAsia"/>
        </w:rPr>
        <w:t>6.7</w:t>
      </w:r>
      <w:r w:rsidR="00606D79">
        <w:rPr>
          <w:rFonts w:hint="eastAsia"/>
        </w:rPr>
        <w:t>％増</w:t>
      </w:r>
      <w:r w:rsidR="00EE4FC3" w:rsidRPr="00EE4FC3">
        <w:rPr>
          <w:rFonts w:hint="eastAsia"/>
        </w:rPr>
        <w:t>(</w:t>
      </w:r>
      <w:r w:rsidR="00E70DBC">
        <w:rPr>
          <w:rFonts w:hint="eastAsia"/>
        </w:rPr>
        <w:t>前年同値</w:t>
      </w:r>
      <w:r w:rsidR="00E70DBC">
        <w:rPr>
          <w:rFonts w:hint="eastAsia"/>
        </w:rPr>
        <w:t>14.3</w:t>
      </w:r>
      <w:r w:rsidR="00EE4FC3" w:rsidRPr="00EE4FC3">
        <w:rPr>
          <w:rFonts w:hint="eastAsia"/>
        </w:rPr>
        <w:t>％</w:t>
      </w:r>
      <w:r w:rsidR="00EE4FC3" w:rsidRPr="00EE4FC3">
        <w:rPr>
          <w:rFonts w:hint="eastAsia"/>
        </w:rPr>
        <w:t>)</w:t>
      </w:r>
      <w:r w:rsidR="00EE4FC3" w:rsidRPr="00EE4FC3">
        <w:rPr>
          <w:rFonts w:hint="eastAsia"/>
        </w:rPr>
        <w:t>となり、財政赤字は前年比約</w:t>
      </w:r>
      <w:r w:rsidR="009F1689">
        <w:rPr>
          <w:rFonts w:hint="eastAsia"/>
        </w:rPr>
        <w:t>8.8</w:t>
      </w:r>
      <w:r w:rsidR="00EE4FC3" w:rsidRPr="00EE4FC3">
        <w:rPr>
          <w:rFonts w:hint="eastAsia"/>
        </w:rPr>
        <w:t>％増</w:t>
      </w:r>
      <w:r w:rsidR="00606D79">
        <w:rPr>
          <w:rFonts w:hint="eastAsia"/>
        </w:rPr>
        <w:t>となった</w:t>
      </w:r>
      <w:r w:rsidR="00EE4FC3" w:rsidRPr="00EE4FC3">
        <w:rPr>
          <w:rFonts w:hint="eastAsia"/>
        </w:rPr>
        <w:t>。</w:t>
      </w:r>
      <w:r w:rsidR="00C92ECE">
        <w:rPr>
          <w:rFonts w:hint="eastAsia"/>
        </w:rPr>
        <w:t>財政赤字の</w:t>
      </w:r>
      <w:r w:rsidR="00EE4FC3" w:rsidRPr="00EE4FC3">
        <w:rPr>
          <w:rFonts w:hint="eastAsia"/>
        </w:rPr>
        <w:t>対</w:t>
      </w:r>
      <w:r w:rsidR="00EE4FC3" w:rsidRPr="00EE4FC3">
        <w:rPr>
          <w:rFonts w:hint="eastAsia"/>
        </w:rPr>
        <w:t>GDP</w:t>
      </w:r>
      <w:r w:rsidR="00C92ECE">
        <w:rPr>
          <w:rFonts w:hint="eastAsia"/>
        </w:rPr>
        <w:t>比は</w:t>
      </w:r>
      <w:r w:rsidR="000C0FFA">
        <w:rPr>
          <w:rFonts w:hint="eastAsia"/>
        </w:rPr>
        <w:t>、</w:t>
      </w:r>
      <w:r w:rsidR="00925181">
        <w:rPr>
          <w:rFonts w:hint="eastAsia"/>
        </w:rPr>
        <w:t>1</w:t>
      </w:r>
      <w:r w:rsidR="00925181">
        <w:rPr>
          <w:rFonts w:hint="eastAsia"/>
        </w:rPr>
        <w:t>月に前年より</w:t>
      </w:r>
      <w:r w:rsidR="00925181">
        <w:rPr>
          <w:rFonts w:hint="eastAsia"/>
        </w:rPr>
        <w:t>0.1</w:t>
      </w:r>
      <w:r w:rsidR="00925181">
        <w:rPr>
          <w:rFonts w:hint="eastAsia"/>
        </w:rPr>
        <w:t>ポイント減少したが、</w:t>
      </w:r>
      <w:r w:rsidR="00925181">
        <w:rPr>
          <w:rFonts w:hint="eastAsia"/>
        </w:rPr>
        <w:t>2</w:t>
      </w:r>
      <w:r w:rsidR="00925181">
        <w:rPr>
          <w:rFonts w:hint="eastAsia"/>
        </w:rPr>
        <w:t>月は</w:t>
      </w:r>
      <w:r w:rsidR="000C0FFA">
        <w:rPr>
          <w:rFonts w:hint="eastAsia"/>
        </w:rPr>
        <w:t>逆に</w:t>
      </w:r>
      <w:r w:rsidR="00925181">
        <w:rPr>
          <w:rFonts w:hint="eastAsia"/>
        </w:rPr>
        <w:t>前年より</w:t>
      </w:r>
      <w:r w:rsidR="00C92ECE">
        <w:rPr>
          <w:rFonts w:hint="eastAsia"/>
        </w:rPr>
        <w:t>0.2</w:t>
      </w:r>
      <w:r w:rsidR="00C92ECE">
        <w:rPr>
          <w:rFonts w:hint="eastAsia"/>
        </w:rPr>
        <w:t>ポイント高い</w:t>
      </w:r>
      <w:r w:rsidR="00C92ECE">
        <w:rPr>
          <w:rFonts w:hint="eastAsia"/>
        </w:rPr>
        <w:t>1.4</w:t>
      </w:r>
      <w:r w:rsidR="00C92ECE">
        <w:rPr>
          <w:rFonts w:hint="eastAsia"/>
        </w:rPr>
        <w:t>％となっ</w:t>
      </w:r>
      <w:r w:rsidR="00925181">
        <w:rPr>
          <w:rFonts w:hint="eastAsia"/>
        </w:rPr>
        <w:t>た</w:t>
      </w:r>
      <w:r w:rsidR="00C92ECE">
        <w:rPr>
          <w:rFonts w:hint="eastAsia"/>
        </w:rPr>
        <w:t>。</w:t>
      </w:r>
    </w:p>
    <w:p w:rsidR="001D1E58" w:rsidRDefault="00D57C92">
      <w:r>
        <w:rPr>
          <w:rFonts w:hint="eastAsia"/>
        </w:rPr>
        <w:t>●財務省は、現在の</w:t>
      </w:r>
      <w:r w:rsidR="00930774">
        <w:rPr>
          <w:rFonts w:hint="eastAsia"/>
        </w:rPr>
        <w:t>財政赤字</w:t>
      </w:r>
      <w:r w:rsidR="00B83E30">
        <w:rPr>
          <w:rFonts w:hint="eastAsia"/>
        </w:rPr>
        <w:t>状況</w:t>
      </w:r>
      <w:r>
        <w:rPr>
          <w:rFonts w:hint="eastAsia"/>
        </w:rPr>
        <w:t>が維持されれば、本年中に</w:t>
      </w:r>
      <w:r w:rsidR="001D1E58">
        <w:rPr>
          <w:rFonts w:hint="eastAsia"/>
        </w:rPr>
        <w:t>対</w:t>
      </w:r>
      <w:r w:rsidR="001D1E58">
        <w:rPr>
          <w:rFonts w:hint="eastAsia"/>
        </w:rPr>
        <w:t>GDP</w:t>
      </w:r>
      <w:r w:rsidR="001D1E58">
        <w:rPr>
          <w:rFonts w:hint="eastAsia"/>
        </w:rPr>
        <w:t>比</w:t>
      </w:r>
      <w:r w:rsidR="001D1E58">
        <w:rPr>
          <w:rFonts w:hint="eastAsia"/>
        </w:rPr>
        <w:t>6</w:t>
      </w:r>
      <w:r w:rsidR="001D1E58">
        <w:rPr>
          <w:rFonts w:hint="eastAsia"/>
        </w:rPr>
        <w:t>％</w:t>
      </w:r>
      <w:r>
        <w:rPr>
          <w:rFonts w:hint="eastAsia"/>
        </w:rPr>
        <w:t>(</w:t>
      </w:r>
      <w:r>
        <w:rPr>
          <w:rFonts w:hint="eastAsia"/>
        </w:rPr>
        <w:t>昨年</w:t>
      </w:r>
      <w:r>
        <w:rPr>
          <w:rFonts w:hint="eastAsia"/>
        </w:rPr>
        <w:t>5.4</w:t>
      </w:r>
      <w:r>
        <w:rPr>
          <w:rFonts w:hint="eastAsia"/>
        </w:rPr>
        <w:t>％</w:t>
      </w:r>
      <w:r>
        <w:rPr>
          <w:rFonts w:hint="eastAsia"/>
        </w:rPr>
        <w:t>)</w:t>
      </w:r>
      <w:r w:rsidR="001D1E58">
        <w:rPr>
          <w:rFonts w:hint="eastAsia"/>
        </w:rPr>
        <w:t>に到達すると</w:t>
      </w:r>
      <w:r w:rsidR="00BB7864">
        <w:rPr>
          <w:rFonts w:hint="eastAsia"/>
        </w:rPr>
        <w:t>の見通しを立てて</w:t>
      </w:r>
      <w:r w:rsidR="00A018B9">
        <w:rPr>
          <w:rFonts w:hint="eastAsia"/>
        </w:rPr>
        <w:t>いる</w:t>
      </w:r>
      <w:r w:rsidR="00BB7864">
        <w:rPr>
          <w:rFonts w:hint="eastAsia"/>
        </w:rPr>
        <w:t>。</w:t>
      </w:r>
    </w:p>
    <w:p w:rsidR="00EF5150" w:rsidRDefault="00BA4F2A" w:rsidP="007C09B0">
      <w:pPr>
        <w:jc w:val="center"/>
      </w:pPr>
      <w:r>
        <w:rPr>
          <w:rFonts w:hint="eastAsia"/>
          <w:noProof/>
        </w:rPr>
        <w:drawing>
          <wp:anchor distT="0" distB="0" distL="114300" distR="114300" simplePos="0" relativeHeight="251659264" behindDoc="0" locked="0" layoutInCell="1" allowOverlap="1">
            <wp:simplePos x="0" y="0"/>
            <wp:positionH relativeFrom="margin">
              <wp:align>left</wp:align>
            </wp:positionH>
            <wp:positionV relativeFrom="margin">
              <wp:align>center</wp:align>
            </wp:positionV>
            <wp:extent cx="2438400" cy="2819400"/>
            <wp:effectExtent l="0" t="0" r="0" b="0"/>
            <wp:wrapSquare wrapText="bothSides"/>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7C09B0">
        <w:rPr>
          <w:rFonts w:hint="eastAsia"/>
        </w:rPr>
        <w:t xml:space="preserve">　　</w:t>
      </w:r>
    </w:p>
    <w:p w:rsidR="00BA4F2A" w:rsidRDefault="007C09B0" w:rsidP="007C09B0">
      <w:pPr>
        <w:jc w:val="center"/>
      </w:pPr>
      <w:r>
        <w:rPr>
          <w:rFonts w:hint="eastAsia"/>
          <w:noProof/>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2476500" cy="2819400"/>
            <wp:effectExtent l="0" t="0" r="0" b="0"/>
            <wp:wrapSquare wrapText="bothSides"/>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BA4F2A" w:rsidRDefault="00BA4F2A" w:rsidP="007C09B0">
      <w:pPr>
        <w:jc w:val="center"/>
      </w:pPr>
    </w:p>
    <w:p w:rsidR="00BA4F2A" w:rsidRDefault="00BA4F2A" w:rsidP="007C09B0">
      <w:pPr>
        <w:jc w:val="center"/>
      </w:pPr>
    </w:p>
    <w:p w:rsidR="00BA4F2A" w:rsidRDefault="00BA4F2A" w:rsidP="007C09B0">
      <w:pPr>
        <w:jc w:val="center"/>
      </w:pPr>
    </w:p>
    <w:p w:rsidR="00BA4F2A" w:rsidRDefault="00BA4F2A" w:rsidP="007C09B0">
      <w:pPr>
        <w:jc w:val="center"/>
      </w:pPr>
    </w:p>
    <w:p w:rsidR="00BA4F2A" w:rsidRDefault="007C09B0" w:rsidP="007C09B0">
      <w:pPr>
        <w:jc w:val="center"/>
      </w:pPr>
      <w:r>
        <w:rPr>
          <w:rFonts w:hint="eastAsia"/>
        </w:rPr>
        <w:t xml:space="preserve">　　</w:t>
      </w:r>
    </w:p>
    <w:p w:rsidR="00BA4F2A" w:rsidRDefault="00BA4F2A" w:rsidP="007C09B0">
      <w:pPr>
        <w:jc w:val="center"/>
      </w:pPr>
    </w:p>
    <w:p w:rsidR="00BA4F2A" w:rsidRDefault="00BA4F2A" w:rsidP="007C09B0">
      <w:pPr>
        <w:jc w:val="center"/>
      </w:pPr>
    </w:p>
    <w:p w:rsidR="00BA4F2A" w:rsidRDefault="00BA4F2A" w:rsidP="007C09B0">
      <w:pPr>
        <w:jc w:val="center"/>
      </w:pPr>
    </w:p>
    <w:p w:rsidR="00BF07F9" w:rsidRDefault="00BF07F9" w:rsidP="007C09B0">
      <w:pPr>
        <w:jc w:val="center"/>
      </w:pPr>
    </w:p>
    <w:p w:rsidR="00BF07F9" w:rsidRDefault="00BF07F9" w:rsidP="007C09B0">
      <w:pPr>
        <w:jc w:val="center"/>
      </w:pPr>
    </w:p>
    <w:p w:rsidR="00BF07F9" w:rsidRDefault="00BF07F9" w:rsidP="007C09B0">
      <w:pPr>
        <w:jc w:val="center"/>
      </w:pPr>
    </w:p>
    <w:p w:rsidR="00BF07F9" w:rsidRDefault="00BF07F9" w:rsidP="007C09B0">
      <w:pPr>
        <w:jc w:val="center"/>
      </w:pPr>
    </w:p>
    <w:p w:rsidR="00BF07F9" w:rsidRDefault="00BF07F9" w:rsidP="007C09B0">
      <w:pPr>
        <w:jc w:val="center"/>
      </w:pPr>
    </w:p>
    <w:p w:rsidR="00BF07F9" w:rsidRDefault="00BF07F9" w:rsidP="007C09B0">
      <w:pPr>
        <w:jc w:val="center"/>
      </w:pPr>
    </w:p>
    <w:p w:rsidR="00BF07F9" w:rsidRDefault="00BF07F9" w:rsidP="007C09B0">
      <w:pPr>
        <w:jc w:val="center"/>
      </w:pPr>
    </w:p>
    <w:p w:rsidR="00BF07F9" w:rsidRDefault="00BF07F9" w:rsidP="007C09B0">
      <w:pPr>
        <w:jc w:val="center"/>
      </w:pPr>
    </w:p>
    <w:p w:rsidR="00BF07F9" w:rsidRDefault="00BF07F9" w:rsidP="007C09B0">
      <w:pPr>
        <w:jc w:val="center"/>
      </w:pPr>
    </w:p>
    <w:p w:rsidR="00BF07F9" w:rsidRDefault="00BF07F9" w:rsidP="007C09B0">
      <w:pPr>
        <w:jc w:val="center"/>
      </w:pPr>
    </w:p>
    <w:p w:rsidR="00BF07F9" w:rsidRDefault="00BF07F9" w:rsidP="007C09B0">
      <w:pPr>
        <w:jc w:val="center"/>
      </w:pPr>
    </w:p>
    <w:p w:rsidR="00BF07F9" w:rsidRDefault="00BF07F9" w:rsidP="007C09B0">
      <w:pPr>
        <w:jc w:val="center"/>
      </w:pPr>
    </w:p>
    <w:p w:rsidR="00BF07F9" w:rsidRDefault="00BF07F9" w:rsidP="007C09B0">
      <w:pPr>
        <w:jc w:val="center"/>
      </w:pPr>
    </w:p>
    <w:p w:rsidR="00BF07F9" w:rsidRDefault="00BF07F9" w:rsidP="007C09B0">
      <w:pPr>
        <w:jc w:val="center"/>
      </w:pPr>
    </w:p>
    <w:p w:rsidR="00BF07F9" w:rsidRDefault="00BF07F9" w:rsidP="007C09B0">
      <w:pPr>
        <w:jc w:val="center"/>
      </w:pPr>
    </w:p>
    <w:p w:rsidR="00BF07F9" w:rsidRDefault="00BF07F9" w:rsidP="007C09B0">
      <w:pPr>
        <w:jc w:val="center"/>
      </w:pPr>
    </w:p>
    <w:p w:rsidR="00225F38" w:rsidRDefault="00F742FE">
      <w:r>
        <w:rPr>
          <w:rFonts w:hint="eastAsia"/>
        </w:rPr>
        <w:lastRenderedPageBreak/>
        <w:t>４．物価上昇率</w:t>
      </w:r>
    </w:p>
    <w:p w:rsidR="00A05083" w:rsidRDefault="002063CF">
      <w:r>
        <w:rPr>
          <w:rFonts w:hint="eastAsia"/>
        </w:rPr>
        <w:t>●</w:t>
      </w:r>
      <w:r w:rsidR="00A05083">
        <w:rPr>
          <w:rFonts w:hint="eastAsia"/>
        </w:rPr>
        <w:t>1</w:t>
      </w:r>
      <w:r w:rsidR="00A05083">
        <w:rPr>
          <w:rFonts w:hint="eastAsia"/>
        </w:rPr>
        <w:t>月の物価上昇率</w:t>
      </w:r>
      <w:r w:rsidR="00A028B5">
        <w:rPr>
          <w:rFonts w:hint="eastAsia"/>
        </w:rPr>
        <w:t>(</w:t>
      </w:r>
      <w:r w:rsidR="00A028B5">
        <w:rPr>
          <w:rFonts w:hint="eastAsia"/>
        </w:rPr>
        <w:t>表</w:t>
      </w:r>
      <w:r w:rsidR="00A028B5">
        <w:rPr>
          <w:rFonts w:hint="eastAsia"/>
        </w:rPr>
        <w:t>8)</w:t>
      </w:r>
      <w:r w:rsidR="00A05083">
        <w:rPr>
          <w:rFonts w:hint="eastAsia"/>
        </w:rPr>
        <w:t>は前年同月</w:t>
      </w:r>
      <w:r w:rsidR="00A05083">
        <w:rPr>
          <w:rFonts w:hint="eastAsia"/>
        </w:rPr>
        <w:t>(1.31%)</w:t>
      </w:r>
      <w:r w:rsidR="00A05083">
        <w:rPr>
          <w:rFonts w:hint="eastAsia"/>
        </w:rPr>
        <w:t>を下回る</w:t>
      </w:r>
      <w:r w:rsidR="00A05083">
        <w:rPr>
          <w:rFonts w:hint="eastAsia"/>
        </w:rPr>
        <w:t>0.75</w:t>
      </w:r>
      <w:r w:rsidR="00A05083">
        <w:rPr>
          <w:rFonts w:hint="eastAsia"/>
        </w:rPr>
        <w:t>％となった。また、</w:t>
      </w:r>
      <w:r w:rsidR="00A05083">
        <w:rPr>
          <w:rFonts w:hint="eastAsia"/>
        </w:rPr>
        <w:t>2</w:t>
      </w:r>
      <w:r w:rsidR="00A05083">
        <w:rPr>
          <w:rFonts w:hint="eastAsia"/>
        </w:rPr>
        <w:t>月も前年同月</w:t>
      </w:r>
      <w:r w:rsidR="00CB70E5">
        <w:rPr>
          <w:rFonts w:hint="eastAsia"/>
        </w:rPr>
        <w:t>(1.03</w:t>
      </w:r>
      <w:r w:rsidR="00A05083">
        <w:rPr>
          <w:rFonts w:hint="eastAsia"/>
        </w:rPr>
        <w:t>％</w:t>
      </w:r>
      <w:r w:rsidR="00A05083">
        <w:rPr>
          <w:rFonts w:hint="eastAsia"/>
        </w:rPr>
        <w:t>)</w:t>
      </w:r>
      <w:r w:rsidR="00A05083">
        <w:rPr>
          <w:rFonts w:hint="eastAsia"/>
        </w:rPr>
        <w:t>を下回る</w:t>
      </w:r>
      <w:r w:rsidR="00CB70E5">
        <w:rPr>
          <w:rFonts w:hint="eastAsia"/>
        </w:rPr>
        <w:t>0.67</w:t>
      </w:r>
      <w:r w:rsidR="00A05083">
        <w:rPr>
          <w:rFonts w:hint="eastAsia"/>
        </w:rPr>
        <w:t>％となった。</w:t>
      </w:r>
      <w:r w:rsidR="001A1FC1">
        <w:rPr>
          <w:rFonts w:hint="eastAsia"/>
        </w:rPr>
        <w:t>年率</w:t>
      </w:r>
      <w:r w:rsidR="0000411E">
        <w:rPr>
          <w:rFonts w:hint="eastAsia"/>
        </w:rPr>
        <w:t>換算値</w:t>
      </w:r>
      <w:r w:rsidR="001A1FC1">
        <w:rPr>
          <w:rFonts w:hint="eastAsia"/>
        </w:rPr>
        <w:t>(</w:t>
      </w:r>
      <w:r w:rsidR="001A1FC1">
        <w:rPr>
          <w:rFonts w:hint="eastAsia"/>
        </w:rPr>
        <w:t>表</w:t>
      </w:r>
      <w:r w:rsidR="001A1FC1">
        <w:rPr>
          <w:rFonts w:hint="eastAsia"/>
        </w:rPr>
        <w:t>9)</w:t>
      </w:r>
      <w:r w:rsidR="0000411E">
        <w:rPr>
          <w:rFonts w:hint="eastAsia"/>
        </w:rPr>
        <w:t>ではそれぞれ</w:t>
      </w:r>
      <w:r w:rsidR="009426A6">
        <w:rPr>
          <w:rFonts w:hint="eastAsia"/>
        </w:rPr>
        <w:t>3.10</w:t>
      </w:r>
      <w:r w:rsidR="009426A6">
        <w:rPr>
          <w:rFonts w:hint="eastAsia"/>
        </w:rPr>
        <w:t>％、</w:t>
      </w:r>
      <w:r w:rsidR="009426A6">
        <w:rPr>
          <w:rFonts w:hint="eastAsia"/>
        </w:rPr>
        <w:t>2.74</w:t>
      </w:r>
      <w:r w:rsidR="009426A6">
        <w:rPr>
          <w:rFonts w:hint="eastAsia"/>
        </w:rPr>
        <w:t>％</w:t>
      </w:r>
      <w:r w:rsidR="0025793F">
        <w:rPr>
          <w:rFonts w:hint="eastAsia"/>
        </w:rPr>
        <w:t>となり、昨年</w:t>
      </w:r>
      <w:r w:rsidR="00A1735F">
        <w:rPr>
          <w:rFonts w:hint="eastAsia"/>
        </w:rPr>
        <w:t>11</w:t>
      </w:r>
      <w:r w:rsidR="00A1735F">
        <w:rPr>
          <w:rFonts w:hint="eastAsia"/>
        </w:rPr>
        <w:t>月以降の歴史的な低インフレ状態が維持されている。</w:t>
      </w:r>
    </w:p>
    <w:p w:rsidR="001361ED" w:rsidRDefault="001361ED">
      <w:r>
        <w:rPr>
          <w:rFonts w:hint="eastAsia"/>
        </w:rPr>
        <w:t>●現在のドル高が</w:t>
      </w:r>
      <w:r w:rsidR="001E272C">
        <w:rPr>
          <w:rFonts w:hint="eastAsia"/>
        </w:rPr>
        <w:t>電気、燃料、</w:t>
      </w:r>
      <w:r>
        <w:rPr>
          <w:rFonts w:hint="eastAsia"/>
        </w:rPr>
        <w:t>高速道路</w:t>
      </w:r>
      <w:r w:rsidR="001E272C">
        <w:rPr>
          <w:rFonts w:hint="eastAsia"/>
        </w:rPr>
        <w:t>料金</w:t>
      </w:r>
      <w:r w:rsidR="00C96FFC">
        <w:rPr>
          <w:rFonts w:hint="eastAsia"/>
        </w:rPr>
        <w:t>など</w:t>
      </w:r>
      <w:r w:rsidR="00166D12">
        <w:rPr>
          <w:rFonts w:hint="eastAsia"/>
        </w:rPr>
        <w:t>コモデティ</w:t>
      </w:r>
      <w:r w:rsidR="001E272C">
        <w:rPr>
          <w:rFonts w:hint="eastAsia"/>
        </w:rPr>
        <w:t>に反映</w:t>
      </w:r>
      <w:r w:rsidR="00FB7F3B">
        <w:rPr>
          <w:rFonts w:hint="eastAsia"/>
        </w:rPr>
        <w:t>され</w:t>
      </w:r>
      <w:r w:rsidR="005151FF">
        <w:rPr>
          <w:rFonts w:hint="eastAsia"/>
        </w:rPr>
        <w:t>れ</w:t>
      </w:r>
      <w:r w:rsidR="00C96FFC">
        <w:rPr>
          <w:rFonts w:hint="eastAsia"/>
        </w:rPr>
        <w:t>ば</w:t>
      </w:r>
      <w:r w:rsidR="00F06C08">
        <w:rPr>
          <w:rFonts w:hint="eastAsia"/>
        </w:rPr>
        <w:t>、</w:t>
      </w:r>
      <w:r w:rsidR="005E5C8A">
        <w:rPr>
          <w:rFonts w:hint="eastAsia"/>
        </w:rPr>
        <w:t>今後数値の</w:t>
      </w:r>
      <w:r w:rsidR="00F06C08">
        <w:rPr>
          <w:rFonts w:hint="eastAsia"/>
        </w:rPr>
        <w:t>上昇</w:t>
      </w:r>
      <w:r w:rsidR="005E5C8A">
        <w:rPr>
          <w:rFonts w:hint="eastAsia"/>
        </w:rPr>
        <w:t>が見られる</w:t>
      </w:r>
      <w:r>
        <w:rPr>
          <w:rFonts w:hint="eastAsia"/>
        </w:rPr>
        <w:t>可能性がある。</w:t>
      </w:r>
    </w:p>
    <w:p w:rsidR="00BF07F9" w:rsidRDefault="00BF07F9"/>
    <w:p w:rsidR="00225F38" w:rsidRDefault="00225F38" w:rsidP="009606F7">
      <w:pPr>
        <w:jc w:val="center"/>
      </w:pPr>
      <w:r>
        <w:rPr>
          <w:noProof/>
        </w:rPr>
        <w:drawing>
          <wp:inline distT="0" distB="0" distL="0" distR="0">
            <wp:extent cx="4295775" cy="2476500"/>
            <wp:effectExtent l="19050" t="0" r="9525" b="0"/>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25F38" w:rsidRDefault="00225F38"/>
    <w:p w:rsidR="00BF07F9" w:rsidRDefault="00BF07F9"/>
    <w:p w:rsidR="00225F38" w:rsidRDefault="00225F38" w:rsidP="009606F7">
      <w:pPr>
        <w:jc w:val="center"/>
      </w:pPr>
      <w:r>
        <w:rPr>
          <w:noProof/>
        </w:rPr>
        <w:drawing>
          <wp:inline distT="0" distB="0" distL="0" distR="0">
            <wp:extent cx="4219575" cy="2857500"/>
            <wp:effectExtent l="19050" t="0" r="9525"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41740" w:rsidRDefault="00741740"/>
    <w:p w:rsidR="00803DF1" w:rsidRDefault="00803DF1"/>
    <w:p w:rsidR="00D84DC5" w:rsidRDefault="00D84DC5"/>
    <w:p w:rsidR="00174CEF" w:rsidRDefault="00695FB0">
      <w:r>
        <w:rPr>
          <w:rFonts w:hint="eastAsia"/>
        </w:rPr>
        <w:lastRenderedPageBreak/>
        <w:t>５．為替・金利</w:t>
      </w:r>
    </w:p>
    <w:p w:rsidR="00695FB0" w:rsidRDefault="00695FB0">
      <w:r>
        <w:rPr>
          <w:rFonts w:hint="eastAsia"/>
        </w:rPr>
        <w:t>(</w:t>
      </w:r>
      <w:r>
        <w:rPr>
          <w:rFonts w:hint="eastAsia"/>
        </w:rPr>
        <w:t>１</w:t>
      </w:r>
      <w:r>
        <w:rPr>
          <w:rFonts w:hint="eastAsia"/>
        </w:rPr>
        <w:t>)</w:t>
      </w:r>
      <w:r>
        <w:rPr>
          <w:rFonts w:hint="eastAsia"/>
        </w:rPr>
        <w:t>為替レート</w:t>
      </w:r>
    </w:p>
    <w:p w:rsidR="00674ECD" w:rsidRDefault="00465686">
      <w:r>
        <w:rPr>
          <w:rFonts w:hint="eastAsia"/>
        </w:rPr>
        <w:t>●</w:t>
      </w:r>
      <w:r w:rsidR="009548A2">
        <w:rPr>
          <w:rFonts w:hint="eastAsia"/>
        </w:rPr>
        <w:t>対</w:t>
      </w:r>
      <w:r w:rsidR="000F2ECF">
        <w:rPr>
          <w:rFonts w:hint="eastAsia"/>
        </w:rPr>
        <w:t>米ドル</w:t>
      </w:r>
      <w:r w:rsidR="00674ECD">
        <w:rPr>
          <w:rFonts w:hint="eastAsia"/>
        </w:rPr>
        <w:t>為替レート</w:t>
      </w:r>
      <w:r w:rsidR="00930674">
        <w:rPr>
          <w:rFonts w:hint="eastAsia"/>
        </w:rPr>
        <w:t>(</w:t>
      </w:r>
      <w:r w:rsidR="00930674">
        <w:rPr>
          <w:rFonts w:hint="eastAsia"/>
        </w:rPr>
        <w:t>表</w:t>
      </w:r>
      <w:r w:rsidR="00930674">
        <w:rPr>
          <w:rFonts w:hint="eastAsia"/>
        </w:rPr>
        <w:t>10)</w:t>
      </w:r>
      <w:r w:rsidR="00674ECD">
        <w:rPr>
          <w:rFonts w:hint="eastAsia"/>
        </w:rPr>
        <w:t>が年明けから</w:t>
      </w:r>
      <w:r w:rsidR="002335B0">
        <w:rPr>
          <w:rFonts w:hint="eastAsia"/>
        </w:rPr>
        <w:t>急変し</w:t>
      </w:r>
      <w:r w:rsidR="00674ECD">
        <w:rPr>
          <w:rFonts w:hint="eastAsia"/>
        </w:rPr>
        <w:t>、</w:t>
      </w:r>
      <w:r w:rsidR="00674ECD">
        <w:rPr>
          <w:rFonts w:hint="eastAsia"/>
        </w:rPr>
        <w:t>12</w:t>
      </w:r>
      <w:r w:rsidR="00674ECD">
        <w:rPr>
          <w:rFonts w:hint="eastAsia"/>
        </w:rPr>
        <w:t>月末から</w:t>
      </w:r>
      <w:r w:rsidR="00674ECD">
        <w:rPr>
          <w:rFonts w:hint="eastAsia"/>
        </w:rPr>
        <w:t>2</w:t>
      </w:r>
      <w:r w:rsidR="00674ECD">
        <w:rPr>
          <w:rFonts w:hint="eastAsia"/>
        </w:rPr>
        <w:t>月末まで</w:t>
      </w:r>
      <w:r w:rsidR="002D5E13">
        <w:rPr>
          <w:rFonts w:hint="eastAsia"/>
        </w:rPr>
        <w:t>に</w:t>
      </w:r>
      <w:r w:rsidR="00674ECD">
        <w:rPr>
          <w:rFonts w:hint="eastAsia"/>
        </w:rPr>
        <w:t>1</w:t>
      </w:r>
      <w:r w:rsidR="00D84DC5">
        <w:rPr>
          <w:rFonts w:hint="eastAsia"/>
        </w:rPr>
        <w:t>米</w:t>
      </w:r>
      <w:r w:rsidR="002335B0">
        <w:rPr>
          <w:rFonts w:hint="eastAsia"/>
        </w:rPr>
        <w:t>ドル</w:t>
      </w:r>
      <w:r w:rsidR="00674ECD">
        <w:rPr>
          <w:rFonts w:hint="eastAsia"/>
        </w:rPr>
        <w:t>約</w:t>
      </w:r>
      <w:r w:rsidR="00674ECD">
        <w:rPr>
          <w:rFonts w:hint="eastAsia"/>
        </w:rPr>
        <w:t>500</w:t>
      </w:r>
      <w:r w:rsidR="00674ECD">
        <w:rPr>
          <w:rFonts w:hint="eastAsia"/>
        </w:rPr>
        <w:t>コロンから約</w:t>
      </w:r>
      <w:r w:rsidR="00674ECD">
        <w:rPr>
          <w:rFonts w:hint="eastAsia"/>
        </w:rPr>
        <w:t>550</w:t>
      </w:r>
      <w:r w:rsidR="00EE7007">
        <w:rPr>
          <w:rFonts w:hint="eastAsia"/>
        </w:rPr>
        <w:t>コロンまで上昇した</w:t>
      </w:r>
      <w:r w:rsidR="00674ECD">
        <w:rPr>
          <w:rFonts w:hint="eastAsia"/>
        </w:rPr>
        <w:t>。</w:t>
      </w:r>
      <w:r w:rsidR="00D13F4B">
        <w:rPr>
          <w:rFonts w:hint="eastAsia"/>
        </w:rPr>
        <w:t>主な要因としては</w:t>
      </w:r>
      <w:r w:rsidR="002546D9">
        <w:rPr>
          <w:rFonts w:hint="eastAsia"/>
        </w:rPr>
        <w:t>さび</w:t>
      </w:r>
      <w:r w:rsidR="00D13F4B">
        <w:rPr>
          <w:rFonts w:hint="eastAsia"/>
        </w:rPr>
        <w:t>病によるコーヒーの輸出量低下に伴う</w:t>
      </w:r>
      <w:r w:rsidR="000F2ECF">
        <w:rPr>
          <w:rFonts w:hint="eastAsia"/>
        </w:rPr>
        <w:t>外貨収入の減少</w:t>
      </w:r>
      <w:r w:rsidR="0048127C">
        <w:rPr>
          <w:rFonts w:hint="eastAsia"/>
        </w:rPr>
        <w:t>、コロンの低金利による</w:t>
      </w:r>
      <w:r w:rsidR="00C204CB">
        <w:rPr>
          <w:rFonts w:hint="eastAsia"/>
        </w:rPr>
        <w:t>外為市場における</w:t>
      </w:r>
      <w:r w:rsidR="002D4B18">
        <w:rPr>
          <w:rFonts w:hint="eastAsia"/>
        </w:rPr>
        <w:t>米ドル</w:t>
      </w:r>
      <w:r w:rsidR="0048127C">
        <w:rPr>
          <w:rFonts w:hint="eastAsia"/>
        </w:rPr>
        <w:t>志向、</w:t>
      </w:r>
      <w:r w:rsidR="00331296">
        <w:rPr>
          <w:rFonts w:hint="eastAsia"/>
        </w:rPr>
        <w:t>公的機関</w:t>
      </w:r>
      <w:r w:rsidR="00C204CB">
        <w:rPr>
          <w:rFonts w:hint="eastAsia"/>
        </w:rPr>
        <w:t>によるドルの大量買付け</w:t>
      </w:r>
      <w:r w:rsidR="00990D8C">
        <w:rPr>
          <w:rFonts w:hint="eastAsia"/>
        </w:rPr>
        <w:t>などに</w:t>
      </w:r>
      <w:r w:rsidR="00C204CB">
        <w:rPr>
          <w:rFonts w:hint="eastAsia"/>
        </w:rPr>
        <w:t>起因</w:t>
      </w:r>
      <w:r w:rsidR="0048127C">
        <w:rPr>
          <w:rFonts w:hint="eastAsia"/>
        </w:rPr>
        <w:t>する</w:t>
      </w:r>
      <w:r w:rsidR="002D4B18">
        <w:rPr>
          <w:rFonts w:hint="eastAsia"/>
        </w:rPr>
        <w:t>外為市場</w:t>
      </w:r>
      <w:r w:rsidR="00990D8C">
        <w:rPr>
          <w:rFonts w:hint="eastAsia"/>
        </w:rPr>
        <w:t>での</w:t>
      </w:r>
      <w:r w:rsidR="00C204CB">
        <w:rPr>
          <w:rFonts w:hint="eastAsia"/>
        </w:rPr>
        <w:t>米ドル</w:t>
      </w:r>
      <w:r w:rsidR="0048127C">
        <w:rPr>
          <w:rFonts w:hint="eastAsia"/>
        </w:rPr>
        <w:t>不足</w:t>
      </w:r>
      <w:r w:rsidR="00C27AB0">
        <w:rPr>
          <w:rFonts w:hint="eastAsia"/>
        </w:rPr>
        <w:t>など</w:t>
      </w:r>
      <w:r w:rsidR="0048127C">
        <w:rPr>
          <w:rFonts w:hint="eastAsia"/>
        </w:rPr>
        <w:t>があげられている。</w:t>
      </w:r>
      <w:r w:rsidR="002F6F0D">
        <w:rPr>
          <w:rFonts w:hint="eastAsia"/>
        </w:rPr>
        <w:t>3</w:t>
      </w:r>
      <w:r w:rsidR="002F6F0D">
        <w:rPr>
          <w:rFonts w:hint="eastAsia"/>
        </w:rPr>
        <w:t>月以降に予定されている政府のユーロ債の発行</w:t>
      </w:r>
      <w:r w:rsidR="001F4D5B">
        <w:rPr>
          <w:rFonts w:hint="eastAsia"/>
        </w:rPr>
        <w:t>(10</w:t>
      </w:r>
      <w:r w:rsidR="001F4D5B">
        <w:rPr>
          <w:rFonts w:hint="eastAsia"/>
        </w:rPr>
        <w:t>億ドル規模</w:t>
      </w:r>
      <w:r w:rsidR="001F4D5B">
        <w:rPr>
          <w:rFonts w:hint="eastAsia"/>
        </w:rPr>
        <w:t>)</w:t>
      </w:r>
      <w:r w:rsidR="00B02F67">
        <w:rPr>
          <w:rFonts w:hint="eastAsia"/>
        </w:rPr>
        <w:t>により、外為市場への米ドルの流入</w:t>
      </w:r>
      <w:r w:rsidR="009548A2">
        <w:rPr>
          <w:rFonts w:hint="eastAsia"/>
        </w:rPr>
        <w:t>及び</w:t>
      </w:r>
      <w:r w:rsidR="00B02F67">
        <w:rPr>
          <w:rFonts w:hint="eastAsia"/>
        </w:rPr>
        <w:t>4</w:t>
      </w:r>
      <w:r w:rsidR="00B02F67">
        <w:rPr>
          <w:rFonts w:hint="eastAsia"/>
        </w:rPr>
        <w:t>月に予定されている</w:t>
      </w:r>
      <w:r w:rsidR="001F4D5B">
        <w:rPr>
          <w:rFonts w:hint="eastAsia"/>
        </w:rPr>
        <w:t>次期政権の金融政策方針</w:t>
      </w:r>
      <w:r w:rsidR="002D5E13">
        <w:rPr>
          <w:rFonts w:hint="eastAsia"/>
        </w:rPr>
        <w:t>の</w:t>
      </w:r>
      <w:r w:rsidR="001F4D5B">
        <w:rPr>
          <w:rFonts w:hint="eastAsia"/>
        </w:rPr>
        <w:t>発表</w:t>
      </w:r>
      <w:r w:rsidR="00B02F67">
        <w:rPr>
          <w:rFonts w:hint="eastAsia"/>
        </w:rPr>
        <w:t>以降は、</w:t>
      </w:r>
      <w:r w:rsidR="00EE7007">
        <w:rPr>
          <w:rFonts w:hint="eastAsia"/>
        </w:rPr>
        <w:t>現在のドル高傾向</w:t>
      </w:r>
      <w:r w:rsidR="00B02F67">
        <w:rPr>
          <w:rFonts w:hint="eastAsia"/>
        </w:rPr>
        <w:t>に一定の</w:t>
      </w:r>
      <w:r w:rsidR="00EE7007">
        <w:rPr>
          <w:rFonts w:hint="eastAsia"/>
        </w:rPr>
        <w:t>収束</w:t>
      </w:r>
      <w:r w:rsidR="00D84DC5">
        <w:rPr>
          <w:rFonts w:hint="eastAsia"/>
        </w:rPr>
        <w:t>が見られる</w:t>
      </w:r>
      <w:r w:rsidR="00B02F67">
        <w:rPr>
          <w:rFonts w:hint="eastAsia"/>
        </w:rPr>
        <w:t>可能性がある。</w:t>
      </w:r>
    </w:p>
    <w:p w:rsidR="00803DF1" w:rsidRDefault="00803DF1"/>
    <w:p w:rsidR="00695FB0" w:rsidRDefault="00695FB0" w:rsidP="00B02F67">
      <w:pPr>
        <w:jc w:val="center"/>
      </w:pPr>
      <w:r w:rsidRPr="00695FB0">
        <w:rPr>
          <w:noProof/>
        </w:rPr>
        <w:drawing>
          <wp:inline distT="0" distB="0" distL="0" distR="0">
            <wp:extent cx="3876675" cy="2771775"/>
            <wp:effectExtent l="19050" t="0" r="9525" b="0"/>
            <wp:docPr id="3"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F7EB0" w:rsidRDefault="00FF7EB0">
      <w:pPr>
        <w:rPr>
          <w:lang w:val="es-ES"/>
        </w:rPr>
      </w:pPr>
    </w:p>
    <w:p w:rsidR="00102E08" w:rsidRPr="00102E08" w:rsidRDefault="00102E08">
      <w:pPr>
        <w:rPr>
          <w:lang w:val="es-ES"/>
        </w:rPr>
      </w:pPr>
    </w:p>
    <w:p w:rsidR="00DB1B81" w:rsidRDefault="00DB1B81">
      <w:r>
        <w:rPr>
          <w:rFonts w:hint="eastAsia"/>
        </w:rPr>
        <w:t>(2)</w:t>
      </w:r>
      <w:r>
        <w:rPr>
          <w:rFonts w:hint="eastAsia"/>
        </w:rPr>
        <w:t>金利</w:t>
      </w:r>
    </w:p>
    <w:p w:rsidR="00C5189B" w:rsidRDefault="00E20A7F">
      <w:r>
        <w:rPr>
          <w:rFonts w:hint="eastAsia"/>
        </w:rPr>
        <w:t>●</w:t>
      </w:r>
      <w:r w:rsidR="00C5189B">
        <w:rPr>
          <w:rFonts w:hint="eastAsia"/>
        </w:rPr>
        <w:t>1</w:t>
      </w:r>
      <w:r w:rsidR="00C5189B">
        <w:rPr>
          <w:rFonts w:hint="eastAsia"/>
        </w:rPr>
        <w:t>月・</w:t>
      </w:r>
      <w:r w:rsidR="00C5189B">
        <w:rPr>
          <w:rFonts w:hint="eastAsia"/>
        </w:rPr>
        <w:t>2</w:t>
      </w:r>
      <w:r w:rsidR="00C5189B">
        <w:rPr>
          <w:rFonts w:hint="eastAsia"/>
        </w:rPr>
        <w:t>月の基本金利</w:t>
      </w:r>
      <w:r w:rsidR="000E267A">
        <w:rPr>
          <w:rFonts w:hint="eastAsia"/>
        </w:rPr>
        <w:t>(</w:t>
      </w:r>
      <w:r w:rsidR="000E267A">
        <w:rPr>
          <w:rFonts w:hint="eastAsia"/>
        </w:rPr>
        <w:t>表</w:t>
      </w:r>
      <w:r w:rsidR="000E267A">
        <w:rPr>
          <w:rFonts w:hint="eastAsia"/>
        </w:rPr>
        <w:t>11)</w:t>
      </w:r>
      <w:r w:rsidR="00C5189B">
        <w:rPr>
          <w:rFonts w:hint="eastAsia"/>
        </w:rPr>
        <w:t>は前月に引き続き</w:t>
      </w:r>
      <w:r w:rsidR="00C5189B">
        <w:rPr>
          <w:rFonts w:hint="eastAsia"/>
        </w:rPr>
        <w:t>6.00</w:t>
      </w:r>
      <w:r w:rsidR="00C5189B">
        <w:rPr>
          <w:rFonts w:hint="eastAsia"/>
        </w:rPr>
        <w:t>～</w:t>
      </w:r>
      <w:r w:rsidR="00C5189B">
        <w:rPr>
          <w:rFonts w:hint="eastAsia"/>
        </w:rPr>
        <w:t>6.55</w:t>
      </w:r>
      <w:r w:rsidR="00C5189B">
        <w:rPr>
          <w:rFonts w:hint="eastAsia"/>
        </w:rPr>
        <w:t>と低い値で推移した。</w:t>
      </w:r>
    </w:p>
    <w:p w:rsidR="00796030" w:rsidRPr="00D50498" w:rsidRDefault="00E20A7F">
      <w:pPr>
        <w:rPr>
          <w:b/>
          <w:i/>
        </w:rPr>
      </w:pPr>
      <w:r>
        <w:rPr>
          <w:rFonts w:hint="eastAsia"/>
        </w:rPr>
        <w:t>●</w:t>
      </w:r>
      <w:r w:rsidR="00FC2B31">
        <w:rPr>
          <w:rFonts w:hint="eastAsia"/>
        </w:rPr>
        <w:t>貸付金利の推移</w:t>
      </w:r>
      <w:r w:rsidR="00FC2B31">
        <w:rPr>
          <w:rFonts w:hint="eastAsia"/>
        </w:rPr>
        <w:t>(</w:t>
      </w:r>
      <w:r w:rsidR="00FC2B31">
        <w:rPr>
          <w:rFonts w:hint="eastAsia"/>
        </w:rPr>
        <w:t>製造業向け</w:t>
      </w:r>
      <w:r w:rsidR="000E267A">
        <w:rPr>
          <w:rFonts w:hint="eastAsia"/>
        </w:rPr>
        <w:t>表</w:t>
      </w:r>
      <w:r w:rsidR="000E267A">
        <w:rPr>
          <w:rFonts w:hint="eastAsia"/>
        </w:rPr>
        <w:t>11</w:t>
      </w:r>
      <w:r w:rsidR="00FC2B31">
        <w:rPr>
          <w:rFonts w:hint="eastAsia"/>
        </w:rPr>
        <w:t>)</w:t>
      </w:r>
      <w:r w:rsidR="00FC2B31">
        <w:rPr>
          <w:rFonts w:hint="eastAsia"/>
        </w:rPr>
        <w:t>を見ると、昨年</w:t>
      </w:r>
      <w:r w:rsidR="00FC2B31">
        <w:rPr>
          <w:rFonts w:hint="eastAsia"/>
        </w:rPr>
        <w:t>9</w:t>
      </w:r>
      <w:r w:rsidR="00FC2B31">
        <w:rPr>
          <w:rFonts w:hint="eastAsia"/>
        </w:rPr>
        <w:t>月から上昇傾向にあった国立および民間銀行の</w:t>
      </w:r>
      <w:r w:rsidR="00DB1B81" w:rsidRPr="00EB1B11">
        <w:rPr>
          <w:rFonts w:hint="eastAsia"/>
        </w:rPr>
        <w:t>コロン建て金利は</w:t>
      </w:r>
      <w:r w:rsidR="00FC2B31" w:rsidRPr="00EB1B11">
        <w:rPr>
          <w:rFonts w:hint="eastAsia"/>
        </w:rPr>
        <w:t>、</w:t>
      </w:r>
      <w:r w:rsidR="00DB1B81" w:rsidRPr="00EB1B11">
        <w:rPr>
          <w:rFonts w:hint="eastAsia"/>
        </w:rPr>
        <w:t>1</w:t>
      </w:r>
      <w:r w:rsidR="00DB1B81" w:rsidRPr="00EB1B11">
        <w:rPr>
          <w:rFonts w:hint="eastAsia"/>
        </w:rPr>
        <w:t>月に高止まりし、以降は</w:t>
      </w:r>
      <w:r w:rsidR="00052CE3" w:rsidRPr="00EB1B11">
        <w:rPr>
          <w:rFonts w:hint="eastAsia"/>
        </w:rPr>
        <w:t>微減の</w:t>
      </w:r>
      <w:r w:rsidR="00DB1B81" w:rsidRPr="00EB1B11">
        <w:rPr>
          <w:rFonts w:hint="eastAsia"/>
        </w:rPr>
        <w:t>傾向を見せている。他方でドル建て金利は</w:t>
      </w:r>
      <w:r w:rsidR="002546D9" w:rsidRPr="00EB1B11">
        <w:rPr>
          <w:rFonts w:hint="eastAsia"/>
        </w:rPr>
        <w:t>、</w:t>
      </w:r>
      <w:r w:rsidR="00DB1B81" w:rsidRPr="00EB1B11">
        <w:rPr>
          <w:rFonts w:hint="eastAsia"/>
        </w:rPr>
        <w:t>国立・民間銀行双方で昨年</w:t>
      </w:r>
      <w:r w:rsidR="00FC2B31" w:rsidRPr="00EB1B11">
        <w:rPr>
          <w:rFonts w:hint="eastAsia"/>
        </w:rPr>
        <w:t>9</w:t>
      </w:r>
      <w:r w:rsidR="00FC2B31" w:rsidRPr="00EB1B11">
        <w:rPr>
          <w:rFonts w:hint="eastAsia"/>
        </w:rPr>
        <w:t>月以降の</w:t>
      </w:r>
      <w:r w:rsidR="00DB1B81" w:rsidRPr="00EB1B11">
        <w:rPr>
          <w:rFonts w:hint="eastAsia"/>
        </w:rPr>
        <w:t>微増傾向を維持している。</w:t>
      </w:r>
      <w:r w:rsidR="009548A2">
        <w:rPr>
          <w:rFonts w:hint="eastAsia"/>
        </w:rPr>
        <w:t>現在までのところ</w:t>
      </w:r>
      <w:r w:rsidR="008F54AD">
        <w:rPr>
          <w:rFonts w:hint="eastAsia"/>
        </w:rPr>
        <w:t>、</w:t>
      </w:r>
      <w:r w:rsidR="009548A2">
        <w:rPr>
          <w:rFonts w:hint="eastAsia"/>
        </w:rPr>
        <w:t>年明け以降の急速なドル高コロン安の傾向は、</w:t>
      </w:r>
      <w:r w:rsidR="00414F35">
        <w:rPr>
          <w:rFonts w:hint="eastAsia"/>
        </w:rPr>
        <w:t>2</w:t>
      </w:r>
      <w:r w:rsidR="00414F35">
        <w:rPr>
          <w:rFonts w:hint="eastAsia"/>
        </w:rPr>
        <w:t>月時点では</w:t>
      </w:r>
      <w:r w:rsidR="009548A2">
        <w:rPr>
          <w:rFonts w:hint="eastAsia"/>
        </w:rPr>
        <w:t>金利に大きな影響を与えていない</w:t>
      </w:r>
      <w:r w:rsidR="0057446F">
        <w:rPr>
          <w:rFonts w:hint="eastAsia"/>
        </w:rPr>
        <w:t>。</w:t>
      </w:r>
    </w:p>
    <w:p w:rsidR="00174CEF" w:rsidRDefault="007D01A6" w:rsidP="001A60AB">
      <w:pPr>
        <w:jc w:val="center"/>
      </w:pPr>
      <w:r w:rsidRPr="007D01A6">
        <w:rPr>
          <w:noProof/>
        </w:rPr>
        <w:lastRenderedPageBreak/>
        <w:drawing>
          <wp:inline distT="0" distB="0" distL="0" distR="0">
            <wp:extent cx="4010024" cy="3371849"/>
            <wp:effectExtent l="19050" t="0" r="9526" b="1"/>
            <wp:docPr id="9"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41740" w:rsidRDefault="00741740"/>
    <w:p w:rsidR="00FF7EB0" w:rsidRDefault="00FF7EB0"/>
    <w:p w:rsidR="00695FB0" w:rsidRDefault="00695FB0">
      <w:r>
        <w:rPr>
          <w:rFonts w:hint="eastAsia"/>
        </w:rPr>
        <w:t>６．</w:t>
      </w:r>
      <w:r w:rsidR="00C467E6">
        <w:rPr>
          <w:rFonts w:hint="eastAsia"/>
        </w:rPr>
        <w:t>外貨</w:t>
      </w:r>
      <w:r>
        <w:rPr>
          <w:rFonts w:hint="eastAsia"/>
        </w:rPr>
        <w:t>準備高</w:t>
      </w:r>
    </w:p>
    <w:p w:rsidR="00796030" w:rsidRDefault="00695FB0">
      <w:r>
        <w:rPr>
          <w:rFonts w:hint="eastAsia"/>
        </w:rPr>
        <w:t>●１月末、</w:t>
      </w:r>
      <w:r>
        <w:rPr>
          <w:rFonts w:hint="eastAsia"/>
        </w:rPr>
        <w:t>2</w:t>
      </w:r>
      <w:r>
        <w:rPr>
          <w:rFonts w:hint="eastAsia"/>
        </w:rPr>
        <w:t>月末時点の</w:t>
      </w:r>
      <w:r w:rsidR="002D4B18">
        <w:rPr>
          <w:rFonts w:hint="eastAsia"/>
        </w:rPr>
        <w:t>米ドル</w:t>
      </w:r>
      <w:r w:rsidR="00771941">
        <w:rPr>
          <w:rFonts w:hint="eastAsia"/>
        </w:rPr>
        <w:t>準備高</w:t>
      </w:r>
      <w:r w:rsidR="000E267A">
        <w:rPr>
          <w:rFonts w:hint="eastAsia"/>
        </w:rPr>
        <w:t>(</w:t>
      </w:r>
      <w:r w:rsidR="000E267A">
        <w:rPr>
          <w:rFonts w:hint="eastAsia"/>
        </w:rPr>
        <w:t>表</w:t>
      </w:r>
      <w:r w:rsidR="000E267A">
        <w:rPr>
          <w:rFonts w:hint="eastAsia"/>
        </w:rPr>
        <w:t>12)</w:t>
      </w:r>
      <w:r w:rsidR="00771941">
        <w:rPr>
          <w:rFonts w:hint="eastAsia"/>
        </w:rPr>
        <w:t>は各</w:t>
      </w:r>
      <w:r w:rsidR="00771941">
        <w:rPr>
          <w:rFonts w:hint="eastAsia"/>
        </w:rPr>
        <w:t>7,258.3</w:t>
      </w:r>
      <w:r w:rsidR="00771941">
        <w:rPr>
          <w:rFonts w:hint="eastAsia"/>
        </w:rPr>
        <w:t>、各</w:t>
      </w:r>
      <w:r w:rsidR="00771941">
        <w:rPr>
          <w:rFonts w:hint="eastAsia"/>
        </w:rPr>
        <w:t>7,275.1</w:t>
      </w:r>
      <w:r>
        <w:rPr>
          <w:rFonts w:hint="eastAsia"/>
        </w:rPr>
        <w:t>百万ドルとなった。</w:t>
      </w:r>
      <w:r w:rsidR="00B1781C">
        <w:rPr>
          <w:rFonts w:hint="eastAsia"/>
        </w:rPr>
        <w:t>昨年</w:t>
      </w:r>
      <w:r w:rsidR="00B1781C">
        <w:rPr>
          <w:rFonts w:hint="eastAsia"/>
        </w:rPr>
        <w:t>3</w:t>
      </w:r>
      <w:r w:rsidR="00B1781C">
        <w:rPr>
          <w:rFonts w:hint="eastAsia"/>
        </w:rPr>
        <w:t>月</w:t>
      </w:r>
      <w:r w:rsidR="00E35387">
        <w:rPr>
          <w:rFonts w:hint="eastAsia"/>
        </w:rPr>
        <w:t>の</w:t>
      </w:r>
      <w:r w:rsidR="00B1781C">
        <w:rPr>
          <w:rFonts w:hint="eastAsia"/>
        </w:rPr>
        <w:t>10</w:t>
      </w:r>
      <w:r w:rsidR="00B1781C">
        <w:rPr>
          <w:rFonts w:hint="eastAsia"/>
        </w:rPr>
        <w:t>億</w:t>
      </w:r>
      <w:r w:rsidR="00E35387">
        <w:rPr>
          <w:rFonts w:hint="eastAsia"/>
        </w:rPr>
        <w:t>米ドル規模のユーロ債発行による</w:t>
      </w:r>
      <w:r w:rsidR="00B1781C">
        <w:rPr>
          <w:rFonts w:hint="eastAsia"/>
        </w:rPr>
        <w:t>外貨</w:t>
      </w:r>
      <w:r w:rsidR="00E35387">
        <w:rPr>
          <w:rFonts w:hint="eastAsia"/>
        </w:rPr>
        <w:t>流入</w:t>
      </w:r>
      <w:r w:rsidR="001D40B1">
        <w:rPr>
          <w:rFonts w:hint="eastAsia"/>
        </w:rPr>
        <w:t>により、昨年</w:t>
      </w:r>
      <w:r w:rsidR="001D40B1">
        <w:rPr>
          <w:rFonts w:hint="eastAsia"/>
        </w:rPr>
        <w:t>4</w:t>
      </w:r>
      <w:r w:rsidR="001D40B1">
        <w:rPr>
          <w:rFonts w:hint="eastAsia"/>
        </w:rPr>
        <w:t>月以降は常に</w:t>
      </w:r>
      <w:r w:rsidR="001D40B1">
        <w:rPr>
          <w:rFonts w:hint="eastAsia"/>
        </w:rPr>
        <w:t>7000</w:t>
      </w:r>
      <w:r w:rsidR="001D40B1">
        <w:rPr>
          <w:rFonts w:hint="eastAsia"/>
        </w:rPr>
        <w:t>百万ドル</w:t>
      </w:r>
      <w:r w:rsidR="00746F9E">
        <w:rPr>
          <w:rFonts w:hint="eastAsia"/>
        </w:rPr>
        <w:t>超える外貨準備高</w:t>
      </w:r>
      <w:r w:rsidR="00EA3C1A">
        <w:rPr>
          <w:rFonts w:hint="eastAsia"/>
        </w:rPr>
        <w:t>を維持しており、</w:t>
      </w:r>
      <w:r w:rsidR="001D40B1">
        <w:rPr>
          <w:rFonts w:hint="eastAsia"/>
        </w:rPr>
        <w:t>1</w:t>
      </w:r>
      <w:r w:rsidR="001D40B1">
        <w:rPr>
          <w:rFonts w:hint="eastAsia"/>
        </w:rPr>
        <w:t>、</w:t>
      </w:r>
      <w:r w:rsidR="001D40B1">
        <w:rPr>
          <w:rFonts w:hint="eastAsia"/>
        </w:rPr>
        <w:t>2</w:t>
      </w:r>
      <w:r w:rsidR="001D40B1">
        <w:rPr>
          <w:rFonts w:hint="eastAsia"/>
        </w:rPr>
        <w:t>月もこの傾向は維持され、</w:t>
      </w:r>
      <w:r w:rsidR="00E35387">
        <w:rPr>
          <w:rFonts w:hint="eastAsia"/>
        </w:rPr>
        <w:t>両月とも前年よりも高い数値を</w:t>
      </w:r>
      <w:r w:rsidR="001D40B1">
        <w:rPr>
          <w:rFonts w:hint="eastAsia"/>
        </w:rPr>
        <w:t>示している</w:t>
      </w:r>
      <w:r w:rsidR="00E35387">
        <w:rPr>
          <w:rFonts w:hint="eastAsia"/>
        </w:rPr>
        <w:t>。</w:t>
      </w:r>
      <w:r w:rsidR="00502788">
        <w:rPr>
          <w:rFonts w:hint="eastAsia"/>
        </w:rPr>
        <w:t>今年</w:t>
      </w:r>
      <w:r w:rsidR="00133716">
        <w:rPr>
          <w:rFonts w:hint="eastAsia"/>
        </w:rPr>
        <w:t>3</w:t>
      </w:r>
      <w:r w:rsidR="00133716">
        <w:rPr>
          <w:rFonts w:hint="eastAsia"/>
        </w:rPr>
        <w:t>月以降に</w:t>
      </w:r>
      <w:r w:rsidR="00B27986">
        <w:rPr>
          <w:rFonts w:hint="eastAsia"/>
        </w:rPr>
        <w:t>同規模の</w:t>
      </w:r>
      <w:r w:rsidR="00D13F4B">
        <w:rPr>
          <w:rFonts w:hint="eastAsia"/>
        </w:rPr>
        <w:t>ユーロ</w:t>
      </w:r>
      <w:r w:rsidR="00983A94">
        <w:rPr>
          <w:rFonts w:hint="eastAsia"/>
        </w:rPr>
        <w:t>債発行</w:t>
      </w:r>
      <w:r w:rsidR="00414F35">
        <w:rPr>
          <w:rFonts w:hint="eastAsia"/>
        </w:rPr>
        <w:t>となれば</w:t>
      </w:r>
      <w:r w:rsidR="00133716">
        <w:rPr>
          <w:rFonts w:hint="eastAsia"/>
        </w:rPr>
        <w:t>、</w:t>
      </w:r>
      <w:r w:rsidR="00D50498">
        <w:rPr>
          <w:rFonts w:hint="eastAsia"/>
        </w:rPr>
        <w:t>急</w:t>
      </w:r>
      <w:r w:rsidR="00623C12">
        <w:rPr>
          <w:rFonts w:hint="eastAsia"/>
        </w:rPr>
        <w:t>激な外貨準備高の増加が予想され、その後は昨年と同様の推移</w:t>
      </w:r>
      <w:r w:rsidR="00EA3C1A">
        <w:rPr>
          <w:rFonts w:hint="eastAsia"/>
        </w:rPr>
        <w:t>となることが予測される</w:t>
      </w:r>
      <w:r w:rsidR="00983A94">
        <w:rPr>
          <w:rFonts w:hint="eastAsia"/>
        </w:rPr>
        <w:t>。</w:t>
      </w:r>
    </w:p>
    <w:p w:rsidR="00771941" w:rsidRDefault="00771941"/>
    <w:p w:rsidR="00174CEF" w:rsidRDefault="00174CEF" w:rsidP="00990DAC">
      <w:pPr>
        <w:jc w:val="center"/>
      </w:pPr>
      <w:r>
        <w:rPr>
          <w:noProof/>
        </w:rPr>
        <w:drawing>
          <wp:inline distT="0" distB="0" distL="0" distR="0">
            <wp:extent cx="4105275" cy="2247900"/>
            <wp:effectExtent l="19050" t="0" r="9525" b="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03DF1" w:rsidRDefault="00E73042">
      <w:r>
        <w:rPr>
          <w:rFonts w:hint="eastAsia"/>
        </w:rPr>
        <w:t xml:space="preserve">　</w:t>
      </w:r>
    </w:p>
    <w:p w:rsidR="00803DF1" w:rsidRDefault="00803DF1"/>
    <w:p w:rsidR="00763BA3" w:rsidRDefault="00E73042">
      <w:r>
        <w:rPr>
          <w:rFonts w:hint="eastAsia"/>
        </w:rPr>
        <w:lastRenderedPageBreak/>
        <w:t>７．主な出来事</w:t>
      </w:r>
      <w:r>
        <w:rPr>
          <w:rFonts w:hint="eastAsia"/>
        </w:rPr>
        <w:t>(1</w:t>
      </w:r>
      <w:r>
        <w:rPr>
          <w:rFonts w:hint="eastAsia"/>
        </w:rPr>
        <w:t>・</w:t>
      </w:r>
      <w:r>
        <w:rPr>
          <w:rFonts w:hint="eastAsia"/>
        </w:rPr>
        <w:t>2</w:t>
      </w:r>
      <w:r>
        <w:rPr>
          <w:rFonts w:hint="eastAsia"/>
        </w:rPr>
        <w:t>月</w:t>
      </w:r>
      <w:r>
        <w:rPr>
          <w:rFonts w:hint="eastAsia"/>
        </w:rPr>
        <w:t>)</w:t>
      </w:r>
    </w:p>
    <w:p w:rsidR="00E73042" w:rsidRDefault="00E73042">
      <w:r>
        <w:rPr>
          <w:rFonts w:hint="eastAsia"/>
        </w:rPr>
        <w:t>(</w:t>
      </w:r>
      <w:r>
        <w:rPr>
          <w:rFonts w:hint="eastAsia"/>
        </w:rPr>
        <w:t>１</w:t>
      </w:r>
      <w:r>
        <w:rPr>
          <w:rFonts w:hint="eastAsia"/>
        </w:rPr>
        <w:t>)</w:t>
      </w:r>
      <w:r>
        <w:rPr>
          <w:rFonts w:hint="eastAsia"/>
        </w:rPr>
        <w:t>国内経済</w:t>
      </w:r>
    </w:p>
    <w:p w:rsidR="00E73042" w:rsidRDefault="00E73042">
      <w:r>
        <w:rPr>
          <w:rFonts w:hint="eastAsia"/>
        </w:rPr>
        <w:t>ア　財政関係</w:t>
      </w:r>
    </w:p>
    <w:p w:rsidR="00D67D32" w:rsidRDefault="00D67D32" w:rsidP="00E73042">
      <w:r w:rsidRPr="00D67D32">
        <w:rPr>
          <w:rFonts w:hint="eastAsia"/>
        </w:rPr>
        <w:t>●</w:t>
      </w:r>
      <w:r w:rsidR="00A90A6A">
        <w:rPr>
          <w:rFonts w:hint="eastAsia"/>
          <w:u w:val="single"/>
        </w:rPr>
        <w:t>財政赤字</w:t>
      </w:r>
      <w:r w:rsidRPr="00D67D32">
        <w:rPr>
          <w:rFonts w:hint="eastAsia"/>
          <w:u w:val="single"/>
        </w:rPr>
        <w:t>対</w:t>
      </w:r>
      <w:r w:rsidRPr="00D67D32">
        <w:rPr>
          <w:rFonts w:hint="eastAsia"/>
          <w:u w:val="single"/>
        </w:rPr>
        <w:t>GDP</w:t>
      </w:r>
      <w:r w:rsidRPr="00D67D32">
        <w:rPr>
          <w:rFonts w:hint="eastAsia"/>
          <w:u w:val="single"/>
        </w:rPr>
        <w:t>比</w:t>
      </w:r>
      <w:r w:rsidRPr="00D67D32">
        <w:rPr>
          <w:rFonts w:hint="eastAsia"/>
          <w:u w:val="single"/>
        </w:rPr>
        <w:t>5.4</w:t>
      </w:r>
      <w:r w:rsidR="00AC3217">
        <w:rPr>
          <w:rFonts w:hint="eastAsia"/>
          <w:u w:val="single"/>
        </w:rPr>
        <w:t>％まで上昇、金利に打撃</w:t>
      </w:r>
      <w:r>
        <w:rPr>
          <w:rFonts w:hint="eastAsia"/>
          <w:u w:val="single"/>
        </w:rPr>
        <w:t>(</w:t>
      </w:r>
      <w:r>
        <w:rPr>
          <w:u w:val="single"/>
        </w:rPr>
        <w:t>1/23</w:t>
      </w:r>
      <w:r>
        <w:rPr>
          <w:rFonts w:hint="eastAsia"/>
          <w:u w:val="single"/>
        </w:rPr>
        <w:t>)</w:t>
      </w:r>
      <w:r w:rsidRPr="00D67D32">
        <w:rPr>
          <w:rFonts w:hint="eastAsia"/>
        </w:rPr>
        <w:tab/>
      </w:r>
    </w:p>
    <w:p w:rsidR="00B7034E" w:rsidRDefault="00231448" w:rsidP="00E73042">
      <w:r>
        <w:rPr>
          <w:rFonts w:hint="eastAsia"/>
        </w:rPr>
        <w:t>前日、</w:t>
      </w:r>
      <w:r w:rsidR="00D67D32">
        <w:rPr>
          <w:rFonts w:hint="eastAsia"/>
        </w:rPr>
        <w:t>財務省は</w:t>
      </w:r>
      <w:r w:rsidR="00D67D32">
        <w:rPr>
          <w:rFonts w:hint="eastAsia"/>
        </w:rPr>
        <w:t>2013</w:t>
      </w:r>
      <w:r w:rsidR="00D67D32">
        <w:rPr>
          <w:rFonts w:hint="eastAsia"/>
        </w:rPr>
        <w:t>年の</w:t>
      </w:r>
      <w:r w:rsidR="00995858">
        <w:rPr>
          <w:rFonts w:hint="eastAsia"/>
        </w:rPr>
        <w:t>政府の</w:t>
      </w:r>
      <w:r w:rsidR="00D67D32">
        <w:rPr>
          <w:rFonts w:hint="eastAsia"/>
        </w:rPr>
        <w:t>財政赤字</w:t>
      </w:r>
      <w:r w:rsidR="00B53D99">
        <w:rPr>
          <w:rFonts w:hint="eastAsia"/>
        </w:rPr>
        <w:t>が</w:t>
      </w:r>
      <w:r w:rsidR="00B53D99">
        <w:rPr>
          <w:rFonts w:hint="eastAsia"/>
        </w:rPr>
        <w:t>1.3</w:t>
      </w:r>
      <w:r w:rsidR="00B53D99">
        <w:rPr>
          <w:rFonts w:hint="eastAsia"/>
        </w:rPr>
        <w:t>兆コロンとなったことを発表した。これは対</w:t>
      </w:r>
      <w:r w:rsidR="00D67D32">
        <w:rPr>
          <w:rFonts w:hint="eastAsia"/>
        </w:rPr>
        <w:t>GDP</w:t>
      </w:r>
      <w:r w:rsidR="00D67D32">
        <w:rPr>
          <w:rFonts w:hint="eastAsia"/>
        </w:rPr>
        <w:t>比</w:t>
      </w:r>
      <w:r w:rsidR="00B53D99">
        <w:rPr>
          <w:rFonts w:hint="eastAsia"/>
        </w:rPr>
        <w:t>5.4</w:t>
      </w:r>
      <w:r w:rsidR="00B53D99">
        <w:rPr>
          <w:rFonts w:hint="eastAsia"/>
        </w:rPr>
        <w:t>％に相当し</w:t>
      </w:r>
      <w:r w:rsidR="00D67D32">
        <w:rPr>
          <w:rFonts w:hint="eastAsia"/>
        </w:rPr>
        <w:t>、</w:t>
      </w:r>
      <w:r w:rsidR="00B53D99">
        <w:rPr>
          <w:rFonts w:hint="eastAsia"/>
        </w:rPr>
        <w:t>同省の</w:t>
      </w:r>
      <w:r w:rsidR="00D67D32">
        <w:rPr>
          <w:rFonts w:hint="eastAsia"/>
        </w:rPr>
        <w:t>当初の予測値</w:t>
      </w:r>
      <w:r w:rsidR="00D67D32">
        <w:rPr>
          <w:rFonts w:hint="eastAsia"/>
        </w:rPr>
        <w:t>5.0%</w:t>
      </w:r>
      <w:r w:rsidR="00D67D32">
        <w:rPr>
          <w:rFonts w:hint="eastAsia"/>
        </w:rPr>
        <w:t>を上回る。</w:t>
      </w:r>
      <w:r w:rsidR="00B53D99">
        <w:rPr>
          <w:rFonts w:hint="eastAsia"/>
        </w:rPr>
        <w:t>要因として、</w:t>
      </w:r>
      <w:r w:rsidR="00995858">
        <w:rPr>
          <w:rFonts w:hint="eastAsia"/>
        </w:rPr>
        <w:t>政府歳出額が前年から</w:t>
      </w:r>
      <w:r w:rsidR="00D67D32">
        <w:rPr>
          <w:rFonts w:hint="eastAsia"/>
        </w:rPr>
        <w:t>14</w:t>
      </w:r>
      <w:r w:rsidR="00995858">
        <w:rPr>
          <w:rFonts w:hint="eastAsia"/>
        </w:rPr>
        <w:t>％増加した一方で、歳入額</w:t>
      </w:r>
      <w:r w:rsidR="00773D5C">
        <w:rPr>
          <w:rFonts w:hint="eastAsia"/>
        </w:rPr>
        <w:t>が</w:t>
      </w:r>
      <w:r w:rsidR="00D67D32">
        <w:rPr>
          <w:rFonts w:hint="eastAsia"/>
        </w:rPr>
        <w:t>9</w:t>
      </w:r>
      <w:r w:rsidR="00773D5C">
        <w:rPr>
          <w:rFonts w:hint="eastAsia"/>
        </w:rPr>
        <w:t>％の増加</w:t>
      </w:r>
      <w:r w:rsidR="00D67D32">
        <w:rPr>
          <w:rFonts w:hint="eastAsia"/>
        </w:rPr>
        <w:t>にとどまったことが</w:t>
      </w:r>
      <w:r w:rsidR="00B53D99">
        <w:rPr>
          <w:rFonts w:hint="eastAsia"/>
        </w:rPr>
        <w:t>あげられている</w:t>
      </w:r>
      <w:r w:rsidR="00D67D32">
        <w:rPr>
          <w:rFonts w:hint="eastAsia"/>
        </w:rPr>
        <w:t>。</w:t>
      </w:r>
      <w:r w:rsidR="00F35C5E">
        <w:rPr>
          <w:rFonts w:hint="eastAsia"/>
        </w:rPr>
        <w:t>この結果は銀行の金利に反映され、一般市民の生活に</w:t>
      </w:r>
      <w:r w:rsidR="0052295B">
        <w:rPr>
          <w:rFonts w:hint="eastAsia"/>
        </w:rPr>
        <w:t>影響を及ぼす可能性がある。</w:t>
      </w:r>
      <w:r w:rsidR="00784D2A">
        <w:rPr>
          <w:rFonts w:hint="eastAsia"/>
        </w:rPr>
        <w:t>財政赤字は、公務員手当や</w:t>
      </w:r>
      <w:r w:rsidR="005E11DE">
        <w:rPr>
          <w:rFonts w:hint="eastAsia"/>
        </w:rPr>
        <w:t>税制</w:t>
      </w:r>
      <w:r w:rsidR="00784D2A">
        <w:rPr>
          <w:rFonts w:hint="eastAsia"/>
        </w:rPr>
        <w:t>の</w:t>
      </w:r>
      <w:r w:rsidR="005E11DE">
        <w:rPr>
          <w:rFonts w:hint="eastAsia"/>
        </w:rPr>
        <w:t>改革などによって早急に対処すべき</w:t>
      </w:r>
      <w:r w:rsidR="00E4179C">
        <w:rPr>
          <w:rFonts w:hint="eastAsia"/>
        </w:rPr>
        <w:t>問題</w:t>
      </w:r>
      <w:r w:rsidR="00084973">
        <w:rPr>
          <w:rFonts w:hint="eastAsia"/>
        </w:rPr>
        <w:t>だが、これまでのところ大統領選挙</w:t>
      </w:r>
      <w:r w:rsidR="005E11DE">
        <w:rPr>
          <w:rFonts w:hint="eastAsia"/>
        </w:rPr>
        <w:t>における</w:t>
      </w:r>
      <w:r w:rsidR="00D67D32">
        <w:rPr>
          <w:rFonts w:hint="eastAsia"/>
        </w:rPr>
        <w:t>中心テーマとなっていない。</w:t>
      </w:r>
      <w:r w:rsidR="005E11DE">
        <w:rPr>
          <w:rFonts w:hint="eastAsia"/>
        </w:rPr>
        <w:t>財務省</w:t>
      </w:r>
      <w:r w:rsidR="00762D3F">
        <w:rPr>
          <w:rFonts w:hint="eastAsia"/>
        </w:rPr>
        <w:t>は</w:t>
      </w:r>
      <w:r w:rsidR="00B7034E">
        <w:rPr>
          <w:rFonts w:hint="eastAsia"/>
        </w:rPr>
        <w:t>、</w:t>
      </w:r>
      <w:r w:rsidR="00D67D32">
        <w:rPr>
          <w:rFonts w:hint="eastAsia"/>
        </w:rPr>
        <w:t>現在の状況が継続すれば</w:t>
      </w:r>
      <w:r w:rsidR="00B7034E">
        <w:rPr>
          <w:rFonts w:hint="eastAsia"/>
        </w:rPr>
        <w:t>、</w:t>
      </w:r>
      <w:r w:rsidR="00D67D32">
        <w:rPr>
          <w:rFonts w:hint="eastAsia"/>
        </w:rPr>
        <w:t>2014</w:t>
      </w:r>
      <w:r w:rsidR="00D67D32">
        <w:rPr>
          <w:rFonts w:hint="eastAsia"/>
        </w:rPr>
        <w:t>年中に</w:t>
      </w:r>
      <w:r w:rsidR="00B7034E">
        <w:rPr>
          <w:rFonts w:hint="eastAsia"/>
        </w:rPr>
        <w:t>財政</w:t>
      </w:r>
      <w:r w:rsidR="00D67D32">
        <w:rPr>
          <w:rFonts w:hint="eastAsia"/>
        </w:rPr>
        <w:t>赤字は対</w:t>
      </w:r>
      <w:r w:rsidR="00D67D32">
        <w:rPr>
          <w:rFonts w:hint="eastAsia"/>
        </w:rPr>
        <w:t>GDP</w:t>
      </w:r>
      <w:r w:rsidR="00D67D32">
        <w:rPr>
          <w:rFonts w:hint="eastAsia"/>
        </w:rPr>
        <w:t>比</w:t>
      </w:r>
      <w:r w:rsidR="00D67D32">
        <w:rPr>
          <w:rFonts w:hint="eastAsia"/>
        </w:rPr>
        <w:t>6.0</w:t>
      </w:r>
      <w:r w:rsidR="00D67D32">
        <w:rPr>
          <w:rFonts w:hint="eastAsia"/>
        </w:rPr>
        <w:t>％に</w:t>
      </w:r>
      <w:r w:rsidR="00623C12">
        <w:rPr>
          <w:rFonts w:hint="eastAsia"/>
        </w:rPr>
        <w:t>達する</w:t>
      </w:r>
      <w:r w:rsidR="00762D3F">
        <w:rPr>
          <w:rFonts w:hint="eastAsia"/>
        </w:rPr>
        <w:t>と見込んでいる</w:t>
      </w:r>
      <w:r w:rsidR="00B7034E">
        <w:rPr>
          <w:rFonts w:hint="eastAsia"/>
        </w:rPr>
        <w:t>。</w:t>
      </w:r>
    </w:p>
    <w:p w:rsidR="00762D3F" w:rsidRPr="00762D3F" w:rsidRDefault="00762D3F" w:rsidP="00E73042"/>
    <w:p w:rsidR="00072B28" w:rsidRDefault="00072B28" w:rsidP="00E73042">
      <w:pPr>
        <w:rPr>
          <w:u w:val="single"/>
        </w:rPr>
      </w:pPr>
      <w:r w:rsidRPr="00072B28">
        <w:rPr>
          <w:rFonts w:hint="eastAsia"/>
        </w:rPr>
        <w:t>●</w:t>
      </w:r>
      <w:r>
        <w:rPr>
          <w:rFonts w:hint="eastAsia"/>
          <w:u w:val="single"/>
        </w:rPr>
        <w:t>コスタリカの対外債務額がさらに増加</w:t>
      </w:r>
      <w:r>
        <w:rPr>
          <w:rFonts w:hint="eastAsia"/>
          <w:u w:val="single"/>
        </w:rPr>
        <w:t>(2/3)</w:t>
      </w:r>
    </w:p>
    <w:p w:rsidR="00F33C1B" w:rsidRDefault="0090527B" w:rsidP="00E73042">
      <w:r>
        <w:rPr>
          <w:rFonts w:hint="eastAsia"/>
        </w:rPr>
        <w:t>コスタリカの</w:t>
      </w:r>
      <w:r w:rsidR="009B31AF" w:rsidRPr="006537F6">
        <w:rPr>
          <w:rFonts w:hint="eastAsia"/>
        </w:rPr>
        <w:t>対外</w:t>
      </w:r>
      <w:r>
        <w:rPr>
          <w:rFonts w:hint="eastAsia"/>
        </w:rPr>
        <w:t>米ドル</w:t>
      </w:r>
      <w:r w:rsidR="009B31AF" w:rsidRPr="006537F6">
        <w:rPr>
          <w:rFonts w:hint="eastAsia"/>
        </w:rPr>
        <w:t>債務額が急増している。近年</w:t>
      </w:r>
      <w:r w:rsidR="00A6131E">
        <w:rPr>
          <w:rFonts w:hint="eastAsia"/>
        </w:rPr>
        <w:t>、</w:t>
      </w:r>
      <w:r w:rsidR="009B31AF" w:rsidRPr="006537F6">
        <w:rPr>
          <w:rFonts w:hint="eastAsia"/>
        </w:rPr>
        <w:t>特に</w:t>
      </w:r>
      <w:r w:rsidR="00F35C5E">
        <w:rPr>
          <w:rFonts w:hint="eastAsia"/>
        </w:rPr>
        <w:t>公的機関</w:t>
      </w:r>
      <w:r w:rsidR="00D01141">
        <w:rPr>
          <w:rFonts w:hint="eastAsia"/>
        </w:rPr>
        <w:t>の</w:t>
      </w:r>
      <w:r>
        <w:rPr>
          <w:rFonts w:hint="eastAsia"/>
        </w:rPr>
        <w:t>対外</w:t>
      </w:r>
      <w:r w:rsidR="00623C12">
        <w:rPr>
          <w:rFonts w:hint="eastAsia"/>
        </w:rPr>
        <w:t>債務</w:t>
      </w:r>
      <w:r w:rsidR="009B31AF" w:rsidRPr="006537F6">
        <w:rPr>
          <w:rFonts w:hint="eastAsia"/>
        </w:rPr>
        <w:t>は年率</w:t>
      </w:r>
      <w:r w:rsidR="009B31AF" w:rsidRPr="006537F6">
        <w:rPr>
          <w:rFonts w:hint="eastAsia"/>
        </w:rPr>
        <w:t>20</w:t>
      </w:r>
      <w:r w:rsidR="009B31AF" w:rsidRPr="006537F6">
        <w:rPr>
          <w:rFonts w:hint="eastAsia"/>
        </w:rPr>
        <w:t>％を超える</w:t>
      </w:r>
      <w:r w:rsidR="00623C12">
        <w:rPr>
          <w:rFonts w:hint="eastAsia"/>
        </w:rPr>
        <w:t>ペースで</w:t>
      </w:r>
      <w:r w:rsidR="009B31AF" w:rsidRPr="006537F6">
        <w:rPr>
          <w:rFonts w:hint="eastAsia"/>
        </w:rPr>
        <w:t>増加</w:t>
      </w:r>
      <w:r w:rsidR="00A6131E">
        <w:rPr>
          <w:rFonts w:hint="eastAsia"/>
        </w:rPr>
        <w:t>している</w:t>
      </w:r>
      <w:r>
        <w:rPr>
          <w:rFonts w:hint="eastAsia"/>
        </w:rPr>
        <w:t>。現在、</w:t>
      </w:r>
      <w:r w:rsidR="00F35C5E">
        <w:rPr>
          <w:rFonts w:hint="eastAsia"/>
        </w:rPr>
        <w:t>公的機関</w:t>
      </w:r>
      <w:r>
        <w:rPr>
          <w:rFonts w:hint="eastAsia"/>
        </w:rPr>
        <w:t>の国内外での</w:t>
      </w:r>
      <w:r w:rsidR="009B31AF" w:rsidRPr="006537F6">
        <w:rPr>
          <w:rFonts w:hint="eastAsia"/>
        </w:rPr>
        <w:t>負債額は</w:t>
      </w:r>
      <w:r w:rsidR="009B31AF" w:rsidRPr="006537F6">
        <w:rPr>
          <w:rFonts w:hint="eastAsia"/>
        </w:rPr>
        <w:t>13.5</w:t>
      </w:r>
      <w:r w:rsidR="009B31AF" w:rsidRPr="006537F6">
        <w:rPr>
          <w:rFonts w:hint="eastAsia"/>
        </w:rPr>
        <w:t>兆コロンに</w:t>
      </w:r>
      <w:r w:rsidR="00A6131E">
        <w:rPr>
          <w:rFonts w:hint="eastAsia"/>
        </w:rPr>
        <w:t>上り</w:t>
      </w:r>
      <w:r w:rsidR="009B31AF" w:rsidRPr="006537F6">
        <w:rPr>
          <w:rFonts w:hint="eastAsia"/>
        </w:rPr>
        <w:t>、</w:t>
      </w:r>
      <w:r>
        <w:rPr>
          <w:rFonts w:hint="eastAsia"/>
        </w:rPr>
        <w:t>対</w:t>
      </w:r>
      <w:r w:rsidR="009B31AF" w:rsidRPr="006537F6">
        <w:rPr>
          <w:rFonts w:hint="eastAsia"/>
        </w:rPr>
        <w:t>GDP</w:t>
      </w:r>
      <w:r>
        <w:rPr>
          <w:rFonts w:hint="eastAsia"/>
        </w:rPr>
        <w:t>比約</w:t>
      </w:r>
      <w:r w:rsidR="009B31AF" w:rsidRPr="006537F6">
        <w:rPr>
          <w:rFonts w:hint="eastAsia"/>
        </w:rPr>
        <w:t>54.7%</w:t>
      </w:r>
      <w:r>
        <w:rPr>
          <w:rFonts w:hint="eastAsia"/>
        </w:rPr>
        <w:t>に相当する</w:t>
      </w:r>
      <w:r w:rsidR="009B31AF" w:rsidRPr="006537F6">
        <w:rPr>
          <w:rFonts w:hint="eastAsia"/>
        </w:rPr>
        <w:t>。</w:t>
      </w:r>
      <w:r w:rsidR="00F35C5E">
        <w:rPr>
          <w:rFonts w:hint="eastAsia"/>
        </w:rPr>
        <w:t>そして、</w:t>
      </w:r>
      <w:r w:rsidR="009B31AF" w:rsidRPr="006537F6">
        <w:rPr>
          <w:rFonts w:hint="eastAsia"/>
        </w:rPr>
        <w:t>その約</w:t>
      </w:r>
      <w:r w:rsidR="009B31AF" w:rsidRPr="006537F6">
        <w:rPr>
          <w:rFonts w:hint="eastAsia"/>
        </w:rPr>
        <w:t>4</w:t>
      </w:r>
      <w:r w:rsidR="009B31AF" w:rsidRPr="006537F6">
        <w:rPr>
          <w:rFonts w:hint="eastAsia"/>
        </w:rPr>
        <w:t>分の</w:t>
      </w:r>
      <w:r w:rsidR="009B31AF" w:rsidRPr="006537F6">
        <w:rPr>
          <w:rFonts w:hint="eastAsia"/>
        </w:rPr>
        <w:t>3</w:t>
      </w:r>
      <w:r>
        <w:rPr>
          <w:rFonts w:hint="eastAsia"/>
        </w:rPr>
        <w:t>を</w:t>
      </w:r>
      <w:r w:rsidR="009B31AF" w:rsidRPr="006537F6">
        <w:rPr>
          <w:rFonts w:hint="eastAsia"/>
        </w:rPr>
        <w:t>政</w:t>
      </w:r>
      <w:r w:rsidR="00360362">
        <w:rPr>
          <w:rFonts w:hint="eastAsia"/>
        </w:rPr>
        <w:t>府が負っている。ユーロ債の発行や、電力・通信公社</w:t>
      </w:r>
      <w:r w:rsidR="00813BB5">
        <w:rPr>
          <w:rFonts w:hint="eastAsia"/>
        </w:rPr>
        <w:t>(ICE)</w:t>
      </w:r>
      <w:r w:rsidR="00360362">
        <w:rPr>
          <w:rFonts w:hint="eastAsia"/>
        </w:rPr>
        <w:t>や石油精製公社</w:t>
      </w:r>
      <w:r w:rsidR="00813BB5">
        <w:rPr>
          <w:rFonts w:hint="eastAsia"/>
        </w:rPr>
        <w:t>(RECOPE)</w:t>
      </w:r>
      <w:r w:rsidR="00360362">
        <w:rPr>
          <w:rFonts w:hint="eastAsia"/>
        </w:rPr>
        <w:t>によ</w:t>
      </w:r>
      <w:r w:rsidR="009B31AF" w:rsidRPr="006537F6">
        <w:rPr>
          <w:rFonts w:hint="eastAsia"/>
        </w:rPr>
        <w:t>る債券発行やローン導入が事態に拍車をかけている。</w:t>
      </w:r>
      <w:r w:rsidR="006537F6" w:rsidRPr="006537F6">
        <w:rPr>
          <w:rFonts w:hint="eastAsia"/>
        </w:rPr>
        <w:t>また、</w:t>
      </w:r>
      <w:r w:rsidR="00D20696">
        <w:rPr>
          <w:rFonts w:hint="eastAsia"/>
        </w:rPr>
        <w:t>米国</w:t>
      </w:r>
      <w:r w:rsidR="009B31AF" w:rsidRPr="006537F6">
        <w:rPr>
          <w:rFonts w:hint="eastAsia"/>
        </w:rPr>
        <w:t>連邦</w:t>
      </w:r>
      <w:r w:rsidR="006537F6" w:rsidRPr="006537F6">
        <w:rPr>
          <w:rFonts w:hint="eastAsia"/>
        </w:rPr>
        <w:t>準備制度</w:t>
      </w:r>
      <w:r w:rsidR="00360362">
        <w:rPr>
          <w:rFonts w:hint="eastAsia"/>
        </w:rPr>
        <w:t>(FRB)</w:t>
      </w:r>
      <w:r w:rsidR="006537F6" w:rsidRPr="006537F6">
        <w:rPr>
          <w:rFonts w:hint="eastAsia"/>
        </w:rPr>
        <w:t>が金融</w:t>
      </w:r>
      <w:r w:rsidR="00935D84">
        <w:rPr>
          <w:rFonts w:hint="eastAsia"/>
        </w:rPr>
        <w:t>引き締めに政策転換したことで、これまで抑えられていた米ドル債</w:t>
      </w:r>
      <w:r w:rsidR="004464F1">
        <w:rPr>
          <w:rFonts w:hint="eastAsia"/>
        </w:rPr>
        <w:t>の金利上昇</w:t>
      </w:r>
      <w:r w:rsidR="006537F6" w:rsidRPr="006537F6">
        <w:rPr>
          <w:rFonts w:hint="eastAsia"/>
        </w:rPr>
        <w:t>も懸念されている。</w:t>
      </w:r>
      <w:r w:rsidR="00016B7C">
        <w:rPr>
          <w:rFonts w:hint="eastAsia"/>
        </w:rPr>
        <w:t>専門家</w:t>
      </w:r>
      <w:r w:rsidR="00F74FF4">
        <w:rPr>
          <w:rFonts w:hint="eastAsia"/>
        </w:rPr>
        <w:t>から</w:t>
      </w:r>
      <w:r w:rsidR="00016B7C">
        <w:rPr>
          <w:rFonts w:hint="eastAsia"/>
        </w:rPr>
        <w:t>は</w:t>
      </w:r>
      <w:r w:rsidR="00F74FF4">
        <w:rPr>
          <w:rFonts w:hint="eastAsia"/>
        </w:rPr>
        <w:t>、</w:t>
      </w:r>
      <w:r w:rsidR="00016B7C">
        <w:rPr>
          <w:rFonts w:hint="eastAsia"/>
        </w:rPr>
        <w:t>ドル金利がコスタリカにとって有利な内に素早くユーロ債を発行すべきだと</w:t>
      </w:r>
      <w:r w:rsidR="00E83BD6">
        <w:rPr>
          <w:rFonts w:hint="eastAsia"/>
        </w:rPr>
        <w:t>の意見があ</w:t>
      </w:r>
      <w:r w:rsidR="00016B7C">
        <w:rPr>
          <w:rFonts w:hint="eastAsia"/>
        </w:rPr>
        <w:t>る</w:t>
      </w:r>
      <w:r w:rsidR="00487D85">
        <w:rPr>
          <w:rFonts w:hint="eastAsia"/>
        </w:rPr>
        <w:t>一方で、財務省関係者は</w:t>
      </w:r>
      <w:r w:rsidR="00554140">
        <w:rPr>
          <w:rFonts w:hint="eastAsia"/>
        </w:rPr>
        <w:t>、米ドルの金利上昇が見られたとしても、依然として歴史的に低い数値を維持している</w:t>
      </w:r>
      <w:r w:rsidR="00F74FF4">
        <w:rPr>
          <w:rFonts w:hint="eastAsia"/>
        </w:rPr>
        <w:t>ため大きな問題</w:t>
      </w:r>
      <w:r w:rsidR="006206F2">
        <w:rPr>
          <w:rFonts w:hint="eastAsia"/>
        </w:rPr>
        <w:t>で</w:t>
      </w:r>
      <w:r w:rsidR="00F74FF4">
        <w:rPr>
          <w:rFonts w:hint="eastAsia"/>
        </w:rPr>
        <w:t>はない</w:t>
      </w:r>
      <w:r w:rsidR="00487D85">
        <w:rPr>
          <w:rFonts w:hint="eastAsia"/>
        </w:rPr>
        <w:t>という見解を</w:t>
      </w:r>
      <w:r w:rsidR="00084973">
        <w:rPr>
          <w:rFonts w:hint="eastAsia"/>
        </w:rPr>
        <w:t>示している</w:t>
      </w:r>
      <w:r w:rsidR="00016B7C">
        <w:rPr>
          <w:rFonts w:hint="eastAsia"/>
        </w:rPr>
        <w:t>。</w:t>
      </w:r>
      <w:r w:rsidR="00D67D32" w:rsidRPr="00D67D32">
        <w:rPr>
          <w:rFonts w:hint="eastAsia"/>
        </w:rPr>
        <w:t xml:space="preserve">　　　　　　　　　　　　　</w:t>
      </w:r>
    </w:p>
    <w:p w:rsidR="00D67D32" w:rsidRDefault="00D67D32" w:rsidP="00E73042">
      <w:r w:rsidRPr="00D67D32">
        <w:rPr>
          <w:rFonts w:hint="eastAsia"/>
        </w:rPr>
        <w:t xml:space="preserve">　</w:t>
      </w:r>
    </w:p>
    <w:p w:rsidR="009430DC" w:rsidRDefault="009430DC" w:rsidP="00E73042">
      <w:r>
        <w:rPr>
          <w:rFonts w:hint="eastAsia"/>
        </w:rPr>
        <w:t>イ　為替</w:t>
      </w:r>
    </w:p>
    <w:p w:rsidR="009430DC" w:rsidRDefault="009430DC" w:rsidP="00E73042">
      <w:pPr>
        <w:rPr>
          <w:u w:val="single"/>
        </w:rPr>
      </w:pPr>
      <w:r>
        <w:rPr>
          <w:rFonts w:hint="eastAsia"/>
        </w:rPr>
        <w:t>●</w:t>
      </w:r>
      <w:r w:rsidRPr="00EF5782">
        <w:rPr>
          <w:rFonts w:hint="eastAsia"/>
          <w:u w:val="single"/>
        </w:rPr>
        <w:t>ドル高</w:t>
      </w:r>
      <w:r w:rsidR="00DC2D9F" w:rsidRPr="00EF5782">
        <w:rPr>
          <w:rFonts w:hint="eastAsia"/>
          <w:u w:val="single"/>
        </w:rPr>
        <w:t>7</w:t>
      </w:r>
      <w:r w:rsidR="00DC2D9F" w:rsidRPr="00EF5782">
        <w:rPr>
          <w:rFonts w:hint="eastAsia"/>
          <w:u w:val="single"/>
        </w:rPr>
        <w:t>つの</w:t>
      </w:r>
      <w:r w:rsidRPr="00EF5782">
        <w:rPr>
          <w:rFonts w:hint="eastAsia"/>
          <w:u w:val="single"/>
        </w:rPr>
        <w:t>要因</w:t>
      </w:r>
      <w:r w:rsidRPr="00EF5782">
        <w:rPr>
          <w:rFonts w:hint="eastAsia"/>
          <w:u w:val="single"/>
        </w:rPr>
        <w:t>(2/24)</w:t>
      </w:r>
    </w:p>
    <w:p w:rsidR="00FA1967" w:rsidRDefault="0054151E" w:rsidP="00EF5782">
      <w:r>
        <w:rPr>
          <w:rFonts w:hint="eastAsia"/>
        </w:rPr>
        <w:t>①</w:t>
      </w:r>
      <w:r w:rsidR="00EF5782">
        <w:rPr>
          <w:rFonts w:hint="eastAsia"/>
        </w:rPr>
        <w:t>ローカル産業</w:t>
      </w:r>
      <w:r w:rsidR="00EF5782">
        <w:rPr>
          <w:rFonts w:hint="eastAsia"/>
        </w:rPr>
        <w:t>(</w:t>
      </w:r>
      <w:r w:rsidR="00EF5782">
        <w:rPr>
          <w:rFonts w:hint="eastAsia"/>
        </w:rPr>
        <w:t>コーヒー産業など</w:t>
      </w:r>
      <w:r w:rsidR="00EF5782">
        <w:rPr>
          <w:rFonts w:hint="eastAsia"/>
        </w:rPr>
        <w:t>)</w:t>
      </w:r>
      <w:r w:rsidR="00F35C5E">
        <w:rPr>
          <w:rFonts w:hint="eastAsia"/>
        </w:rPr>
        <w:t>の</w:t>
      </w:r>
      <w:r w:rsidR="00FA1967">
        <w:rPr>
          <w:rFonts w:hint="eastAsia"/>
        </w:rPr>
        <w:t>輸出</w:t>
      </w:r>
      <w:r>
        <w:rPr>
          <w:rFonts w:hint="eastAsia"/>
        </w:rPr>
        <w:t>不振</w:t>
      </w:r>
      <w:r w:rsidR="0038271E">
        <w:rPr>
          <w:rFonts w:hint="eastAsia"/>
        </w:rPr>
        <w:t>。</w:t>
      </w:r>
    </w:p>
    <w:p w:rsidR="00EF5782" w:rsidRDefault="00EF5782" w:rsidP="00EF5782">
      <w:r>
        <w:rPr>
          <w:rFonts w:hint="eastAsia"/>
        </w:rPr>
        <w:t>②</w:t>
      </w:r>
      <w:r>
        <w:rPr>
          <w:rFonts w:hint="eastAsia"/>
        </w:rPr>
        <w:t>2012</w:t>
      </w:r>
      <w:r w:rsidR="00F62E55">
        <w:rPr>
          <w:rFonts w:hint="eastAsia"/>
        </w:rPr>
        <w:t>年から</w:t>
      </w:r>
      <w:r>
        <w:rPr>
          <w:rFonts w:hint="eastAsia"/>
        </w:rPr>
        <w:t>2013</w:t>
      </w:r>
      <w:r w:rsidR="00F62E55">
        <w:rPr>
          <w:rFonts w:hint="eastAsia"/>
        </w:rPr>
        <w:t>年始めにかけて</w:t>
      </w:r>
      <w:r w:rsidR="003E331D">
        <w:rPr>
          <w:rFonts w:hint="eastAsia"/>
        </w:rPr>
        <w:t>コロンの高金利</w:t>
      </w:r>
      <w:r w:rsidR="00FA1967">
        <w:rPr>
          <w:rFonts w:hint="eastAsia"/>
        </w:rPr>
        <w:t>が呼び込んでいた国外</w:t>
      </w:r>
      <w:r w:rsidR="003E331D">
        <w:rPr>
          <w:rFonts w:hint="eastAsia"/>
        </w:rPr>
        <w:t>の</w:t>
      </w:r>
      <w:r w:rsidR="002D4B18">
        <w:rPr>
          <w:rFonts w:hint="eastAsia"/>
        </w:rPr>
        <w:t>米ドル</w:t>
      </w:r>
      <w:r>
        <w:rPr>
          <w:rFonts w:hint="eastAsia"/>
        </w:rPr>
        <w:t>が、</w:t>
      </w:r>
      <w:r w:rsidR="00F62E55">
        <w:rPr>
          <w:rFonts w:hint="eastAsia"/>
        </w:rPr>
        <w:t>現在</w:t>
      </w:r>
      <w:r w:rsidR="00911B53">
        <w:rPr>
          <w:rFonts w:hint="eastAsia"/>
        </w:rPr>
        <w:t>コロン金利が下がっていることで</w:t>
      </w:r>
      <w:r>
        <w:rPr>
          <w:rFonts w:hint="eastAsia"/>
        </w:rPr>
        <w:t>流出</w:t>
      </w:r>
      <w:r w:rsidR="003E331D">
        <w:rPr>
          <w:rFonts w:hint="eastAsia"/>
        </w:rPr>
        <w:t>しているため</w:t>
      </w:r>
      <w:r>
        <w:rPr>
          <w:rFonts w:hint="eastAsia"/>
        </w:rPr>
        <w:t>。</w:t>
      </w:r>
    </w:p>
    <w:p w:rsidR="00EF5782" w:rsidRDefault="00FA1967" w:rsidP="00EF5782">
      <w:r>
        <w:rPr>
          <w:rFonts w:hint="eastAsia"/>
        </w:rPr>
        <w:t>③世界同時不況後</w:t>
      </w:r>
      <w:r w:rsidR="00F246CA">
        <w:rPr>
          <w:rFonts w:hint="eastAsia"/>
        </w:rPr>
        <w:t>に</w:t>
      </w:r>
      <w:r>
        <w:rPr>
          <w:rFonts w:hint="eastAsia"/>
        </w:rPr>
        <w:t>ドルを忌避</w:t>
      </w:r>
      <w:r w:rsidR="0038271E">
        <w:rPr>
          <w:rFonts w:hint="eastAsia"/>
        </w:rPr>
        <w:t>しコロンを志向する</w:t>
      </w:r>
      <w:r>
        <w:rPr>
          <w:rFonts w:hint="eastAsia"/>
        </w:rPr>
        <w:t>する動きがあったが</w:t>
      </w:r>
      <w:r w:rsidR="00F246CA">
        <w:rPr>
          <w:rFonts w:hint="eastAsia"/>
        </w:rPr>
        <w:t>、</w:t>
      </w:r>
      <w:r>
        <w:rPr>
          <w:rFonts w:hint="eastAsia"/>
        </w:rPr>
        <w:t>現在</w:t>
      </w:r>
      <w:r w:rsidR="00856617">
        <w:rPr>
          <w:rFonts w:hint="eastAsia"/>
        </w:rPr>
        <w:t>米ドルが</w:t>
      </w:r>
      <w:r w:rsidR="00F246CA">
        <w:rPr>
          <w:rFonts w:hint="eastAsia"/>
        </w:rPr>
        <w:t>安定</w:t>
      </w:r>
      <w:r w:rsidR="00856617">
        <w:rPr>
          <w:rFonts w:hint="eastAsia"/>
        </w:rPr>
        <w:t>傾向にある</w:t>
      </w:r>
      <w:r>
        <w:rPr>
          <w:rFonts w:hint="eastAsia"/>
        </w:rPr>
        <w:t>ことにより、</w:t>
      </w:r>
      <w:r w:rsidR="0038271E">
        <w:rPr>
          <w:rFonts w:hint="eastAsia"/>
        </w:rPr>
        <w:t>再び</w:t>
      </w:r>
      <w:r w:rsidR="002D4B18">
        <w:rPr>
          <w:rFonts w:hint="eastAsia"/>
        </w:rPr>
        <w:t>米ドル</w:t>
      </w:r>
      <w:r w:rsidR="00EF5782">
        <w:rPr>
          <w:rFonts w:hint="eastAsia"/>
        </w:rPr>
        <w:t>志向</w:t>
      </w:r>
      <w:r w:rsidR="00856617">
        <w:rPr>
          <w:rFonts w:hint="eastAsia"/>
        </w:rPr>
        <w:t>が高まっている</w:t>
      </w:r>
      <w:r w:rsidR="003E331D">
        <w:rPr>
          <w:rFonts w:hint="eastAsia"/>
        </w:rPr>
        <w:t>ため</w:t>
      </w:r>
      <w:r w:rsidR="00EF5782">
        <w:rPr>
          <w:rFonts w:hint="eastAsia"/>
        </w:rPr>
        <w:t>。</w:t>
      </w:r>
    </w:p>
    <w:p w:rsidR="00EF5782" w:rsidRDefault="004622FD" w:rsidP="00EF5782">
      <w:r>
        <w:rPr>
          <w:rFonts w:hint="eastAsia"/>
        </w:rPr>
        <w:t>④</w:t>
      </w:r>
      <w:r>
        <w:rPr>
          <w:rFonts w:hint="eastAsia"/>
        </w:rPr>
        <w:t>2012</w:t>
      </w:r>
      <w:r>
        <w:rPr>
          <w:rFonts w:hint="eastAsia"/>
        </w:rPr>
        <w:t>年</w:t>
      </w:r>
      <w:r>
        <w:rPr>
          <w:rFonts w:hint="eastAsia"/>
        </w:rPr>
        <w:t>11</w:t>
      </w:r>
      <w:r>
        <w:rPr>
          <w:rFonts w:hint="eastAsia"/>
        </w:rPr>
        <w:t>月および</w:t>
      </w:r>
      <w:r>
        <w:rPr>
          <w:rFonts w:hint="eastAsia"/>
        </w:rPr>
        <w:t>2013</w:t>
      </w:r>
      <w:r>
        <w:rPr>
          <w:rFonts w:hint="eastAsia"/>
        </w:rPr>
        <w:t>年</w:t>
      </w:r>
      <w:r>
        <w:rPr>
          <w:rFonts w:hint="eastAsia"/>
        </w:rPr>
        <w:t>4</w:t>
      </w:r>
      <w:r>
        <w:rPr>
          <w:rFonts w:hint="eastAsia"/>
        </w:rPr>
        <w:t>月にユーロ債</w:t>
      </w:r>
      <w:r w:rsidR="00FA2DF7">
        <w:rPr>
          <w:rFonts w:hint="eastAsia"/>
        </w:rPr>
        <w:t>発行</w:t>
      </w:r>
      <w:r>
        <w:rPr>
          <w:rFonts w:hint="eastAsia"/>
        </w:rPr>
        <w:t>によって獲得した米ドル</w:t>
      </w:r>
      <w:r>
        <w:rPr>
          <w:rFonts w:hint="eastAsia"/>
        </w:rPr>
        <w:t>(</w:t>
      </w:r>
      <w:r>
        <w:rPr>
          <w:rFonts w:hint="eastAsia"/>
        </w:rPr>
        <w:t>各</w:t>
      </w:r>
      <w:r>
        <w:rPr>
          <w:rFonts w:hint="eastAsia"/>
        </w:rPr>
        <w:t>10</w:t>
      </w:r>
      <w:r>
        <w:rPr>
          <w:rFonts w:hint="eastAsia"/>
        </w:rPr>
        <w:t>億ドル</w:t>
      </w:r>
      <w:r>
        <w:rPr>
          <w:rFonts w:hint="eastAsia"/>
        </w:rPr>
        <w:t>)</w:t>
      </w:r>
      <w:r>
        <w:rPr>
          <w:rFonts w:hint="eastAsia"/>
        </w:rPr>
        <w:t>が</w:t>
      </w:r>
      <w:r w:rsidR="0038271E">
        <w:rPr>
          <w:rFonts w:hint="eastAsia"/>
        </w:rPr>
        <w:t>市場で</w:t>
      </w:r>
      <w:r w:rsidR="003E331D">
        <w:rPr>
          <w:rFonts w:hint="eastAsia"/>
        </w:rPr>
        <w:t>尽き</w:t>
      </w:r>
      <w:r>
        <w:rPr>
          <w:rFonts w:hint="eastAsia"/>
        </w:rPr>
        <w:t>てきた</w:t>
      </w:r>
      <w:r w:rsidR="003E331D">
        <w:rPr>
          <w:rFonts w:hint="eastAsia"/>
        </w:rPr>
        <w:t>ため</w:t>
      </w:r>
      <w:r>
        <w:rPr>
          <w:rFonts w:hint="eastAsia"/>
        </w:rPr>
        <w:t>。</w:t>
      </w:r>
    </w:p>
    <w:p w:rsidR="00462287" w:rsidRPr="00EF401B" w:rsidRDefault="00462287" w:rsidP="00EF5782">
      <w:r w:rsidRPr="00EF401B">
        <w:rPr>
          <w:rFonts w:hint="eastAsia"/>
        </w:rPr>
        <w:t>⑤ドル建てローン</w:t>
      </w:r>
      <w:r w:rsidR="00FA1967">
        <w:rPr>
          <w:rFonts w:hint="eastAsia"/>
        </w:rPr>
        <w:t>利用者が</w:t>
      </w:r>
      <w:r w:rsidRPr="00EF401B">
        <w:rPr>
          <w:rFonts w:hint="eastAsia"/>
        </w:rPr>
        <w:t>増加して</w:t>
      </w:r>
      <w:r w:rsidR="00F62E55">
        <w:rPr>
          <w:rFonts w:hint="eastAsia"/>
        </w:rPr>
        <w:t>おり</w:t>
      </w:r>
      <w:r w:rsidRPr="00EF401B">
        <w:rPr>
          <w:rFonts w:hint="eastAsia"/>
        </w:rPr>
        <w:t>、</w:t>
      </w:r>
      <w:r w:rsidR="005A0EBC" w:rsidRPr="00EF401B">
        <w:rPr>
          <w:rFonts w:hint="eastAsia"/>
        </w:rPr>
        <w:t>その返済のため</w:t>
      </w:r>
      <w:r w:rsidR="00953F9B">
        <w:rPr>
          <w:rFonts w:hint="eastAsia"/>
        </w:rPr>
        <w:t>のドル</w:t>
      </w:r>
      <w:r w:rsidRPr="00EF401B">
        <w:rPr>
          <w:rFonts w:hint="eastAsia"/>
        </w:rPr>
        <w:t>需要が伸びている</w:t>
      </w:r>
      <w:r w:rsidR="003E331D">
        <w:rPr>
          <w:rFonts w:hint="eastAsia"/>
        </w:rPr>
        <w:t>ため</w:t>
      </w:r>
      <w:r w:rsidRPr="00EF401B">
        <w:rPr>
          <w:rFonts w:hint="eastAsia"/>
        </w:rPr>
        <w:t>。</w:t>
      </w:r>
    </w:p>
    <w:p w:rsidR="004622FD" w:rsidRPr="004622FD" w:rsidRDefault="004622FD" w:rsidP="00EF5782">
      <w:r>
        <w:rPr>
          <w:rFonts w:hint="eastAsia"/>
        </w:rPr>
        <w:t>⑥</w:t>
      </w:r>
      <w:r w:rsidR="002D4B18">
        <w:rPr>
          <w:rFonts w:hint="eastAsia"/>
        </w:rPr>
        <w:t>銀行以外の</w:t>
      </w:r>
      <w:r w:rsidR="00F35C5E">
        <w:rPr>
          <w:rFonts w:hint="eastAsia"/>
        </w:rPr>
        <w:t>公的機関</w:t>
      </w:r>
      <w:r w:rsidR="002D4B18">
        <w:rPr>
          <w:rFonts w:hint="eastAsia"/>
        </w:rPr>
        <w:t>で米ドル</w:t>
      </w:r>
      <w:r w:rsidR="000A2CE2">
        <w:rPr>
          <w:rFonts w:hint="eastAsia"/>
        </w:rPr>
        <w:t>の</w:t>
      </w:r>
      <w:r w:rsidR="008E4566">
        <w:rPr>
          <w:rFonts w:hint="eastAsia"/>
        </w:rPr>
        <w:t>大量買い付け</w:t>
      </w:r>
      <w:r w:rsidR="000A2CE2">
        <w:rPr>
          <w:rFonts w:hint="eastAsia"/>
        </w:rPr>
        <w:t>があった</w:t>
      </w:r>
      <w:r w:rsidR="002D4B18">
        <w:rPr>
          <w:rFonts w:hint="eastAsia"/>
        </w:rPr>
        <w:t>ことにより、外為</w:t>
      </w:r>
      <w:r>
        <w:rPr>
          <w:rFonts w:hint="eastAsia"/>
        </w:rPr>
        <w:t>市場での</w:t>
      </w:r>
      <w:r w:rsidR="00462287">
        <w:rPr>
          <w:rFonts w:hint="eastAsia"/>
        </w:rPr>
        <w:t>米</w:t>
      </w:r>
      <w:r w:rsidR="000A2CE2">
        <w:rPr>
          <w:rFonts w:hint="eastAsia"/>
        </w:rPr>
        <w:t>ドル</w:t>
      </w:r>
      <w:r>
        <w:rPr>
          <w:rFonts w:hint="eastAsia"/>
        </w:rPr>
        <w:t>流通量が</w:t>
      </w:r>
      <w:r w:rsidR="00FA2DF7">
        <w:rPr>
          <w:rFonts w:hint="eastAsia"/>
        </w:rPr>
        <w:t>減</w:t>
      </w:r>
      <w:r w:rsidR="008E4566">
        <w:rPr>
          <w:rFonts w:hint="eastAsia"/>
        </w:rPr>
        <w:t>った</w:t>
      </w:r>
      <w:r w:rsidR="003E331D">
        <w:rPr>
          <w:rFonts w:hint="eastAsia"/>
        </w:rPr>
        <w:t>ため</w:t>
      </w:r>
      <w:r>
        <w:rPr>
          <w:rFonts w:hint="eastAsia"/>
        </w:rPr>
        <w:t>。</w:t>
      </w:r>
    </w:p>
    <w:p w:rsidR="00EF5782" w:rsidRDefault="00EF5782" w:rsidP="00EF5782">
      <w:r>
        <w:rPr>
          <w:rFonts w:hint="eastAsia"/>
        </w:rPr>
        <w:t>⑦</w:t>
      </w:r>
      <w:r w:rsidR="00D20696">
        <w:rPr>
          <w:rFonts w:hint="eastAsia"/>
        </w:rPr>
        <w:t>米国</w:t>
      </w:r>
      <w:r w:rsidR="006215D5">
        <w:rPr>
          <w:rFonts w:hint="eastAsia"/>
        </w:rPr>
        <w:t>連邦準備制度</w:t>
      </w:r>
      <w:r w:rsidR="006215D5">
        <w:rPr>
          <w:rFonts w:hint="eastAsia"/>
        </w:rPr>
        <w:t>(FRB)</w:t>
      </w:r>
      <w:r w:rsidR="006215D5">
        <w:rPr>
          <w:rFonts w:hint="eastAsia"/>
        </w:rPr>
        <w:t>の金融引き</w:t>
      </w:r>
      <w:r w:rsidR="008E4566">
        <w:rPr>
          <w:rFonts w:hint="eastAsia"/>
        </w:rPr>
        <w:t>締めへの政策転換</w:t>
      </w:r>
      <w:r w:rsidR="006215D5">
        <w:rPr>
          <w:rFonts w:hint="eastAsia"/>
        </w:rPr>
        <w:t>。</w:t>
      </w:r>
    </w:p>
    <w:p w:rsidR="009430DC" w:rsidRDefault="005D51D0" w:rsidP="00E73042">
      <w:r>
        <w:rPr>
          <w:rFonts w:hint="eastAsia"/>
        </w:rPr>
        <w:lastRenderedPageBreak/>
        <w:t>などがあげられている。</w:t>
      </w:r>
    </w:p>
    <w:p w:rsidR="005D51D0" w:rsidRDefault="005D51D0" w:rsidP="00E73042"/>
    <w:p w:rsidR="00E73042" w:rsidRDefault="009430DC" w:rsidP="00E73042">
      <w:r>
        <w:rPr>
          <w:rFonts w:hint="eastAsia"/>
        </w:rPr>
        <w:t>ウ</w:t>
      </w:r>
      <w:r w:rsidR="00F00399">
        <w:rPr>
          <w:rFonts w:hint="eastAsia"/>
        </w:rPr>
        <w:t xml:space="preserve">　雇用関連</w:t>
      </w:r>
    </w:p>
    <w:p w:rsidR="00E04A07" w:rsidRPr="0071370C" w:rsidRDefault="00E04A07" w:rsidP="00E73042">
      <w:pPr>
        <w:rPr>
          <w:u w:val="single"/>
        </w:rPr>
      </w:pPr>
      <w:r w:rsidRPr="0071370C">
        <w:rPr>
          <w:rFonts w:hint="eastAsia"/>
          <w:u w:val="single"/>
        </w:rPr>
        <w:t>●やる気のある女性は支援を受けられる</w:t>
      </w:r>
      <w:r w:rsidRPr="0071370C">
        <w:rPr>
          <w:rFonts w:hint="eastAsia"/>
          <w:u w:val="single"/>
        </w:rPr>
        <w:t>(2/28)</w:t>
      </w:r>
    </w:p>
    <w:p w:rsidR="00322D18" w:rsidRPr="0071370C" w:rsidRDefault="008405FD" w:rsidP="00E73042">
      <w:r>
        <w:rPr>
          <w:rFonts w:hint="eastAsia"/>
        </w:rPr>
        <w:t>2</w:t>
      </w:r>
      <w:r w:rsidR="00057CE3" w:rsidRPr="0071370C">
        <w:rPr>
          <w:rFonts w:hint="eastAsia"/>
        </w:rPr>
        <w:t>月</w:t>
      </w:r>
      <w:r w:rsidR="00057CE3" w:rsidRPr="0071370C">
        <w:rPr>
          <w:rFonts w:hint="eastAsia"/>
        </w:rPr>
        <w:t>27</w:t>
      </w:r>
      <w:r w:rsidR="00057CE3" w:rsidRPr="0071370C">
        <w:rPr>
          <w:rFonts w:hint="eastAsia"/>
        </w:rPr>
        <w:t>日、女性の経済的自立のための国家支援ネットワーク導入への政令が、チンチージャ大統領によって署名された。これは国連ラテン</w:t>
      </w:r>
      <w:r w:rsidR="0002491B" w:rsidRPr="0071370C">
        <w:rPr>
          <w:rFonts w:hint="eastAsia"/>
        </w:rPr>
        <w:t>アメリカ</w:t>
      </w:r>
      <w:r w:rsidR="00057CE3" w:rsidRPr="0071370C">
        <w:rPr>
          <w:rFonts w:hint="eastAsia"/>
        </w:rPr>
        <w:t>・カリブ経済委員会</w:t>
      </w:r>
      <w:r w:rsidR="00057CE3" w:rsidRPr="0071370C">
        <w:rPr>
          <w:rFonts w:hint="eastAsia"/>
        </w:rPr>
        <w:t>(</w:t>
      </w:r>
      <w:r w:rsidR="00991732">
        <w:rPr>
          <w:rFonts w:hint="eastAsia"/>
        </w:rPr>
        <w:t>ECLAC</w:t>
      </w:r>
      <w:r w:rsidR="00057CE3" w:rsidRPr="0071370C">
        <w:rPr>
          <w:rFonts w:hint="eastAsia"/>
        </w:rPr>
        <w:t>)</w:t>
      </w:r>
      <w:r w:rsidR="00057CE3" w:rsidRPr="0071370C">
        <w:rPr>
          <w:rFonts w:hint="eastAsia"/>
        </w:rPr>
        <w:t>による「中米における女性の雇用改善を通じての生産的発展促進プラン」の一環であり、多様な機関による女性</w:t>
      </w:r>
      <w:r w:rsidR="00D278B8" w:rsidRPr="0071370C">
        <w:rPr>
          <w:rFonts w:hint="eastAsia"/>
        </w:rPr>
        <w:t>自立</w:t>
      </w:r>
      <w:r w:rsidR="00057CE3" w:rsidRPr="0071370C">
        <w:rPr>
          <w:rFonts w:hint="eastAsia"/>
        </w:rPr>
        <w:t>支援ネットワークの確立を目指す。</w:t>
      </w:r>
    </w:p>
    <w:p w:rsidR="00CA1571" w:rsidRPr="0071370C" w:rsidRDefault="00CA1571" w:rsidP="00E73042"/>
    <w:p w:rsidR="00F00399" w:rsidRDefault="00593A7F" w:rsidP="00E73042">
      <w:pPr>
        <w:rPr>
          <w:u w:val="single"/>
        </w:rPr>
      </w:pPr>
      <w:r>
        <w:rPr>
          <w:rFonts w:hint="eastAsia"/>
        </w:rPr>
        <w:t>●</w:t>
      </w:r>
      <w:r w:rsidRPr="00593A7F">
        <w:rPr>
          <w:rFonts w:hint="eastAsia"/>
          <w:u w:val="single"/>
        </w:rPr>
        <w:t>公務員組合は次期政権に給与体系の改革を求める</w:t>
      </w:r>
      <w:r w:rsidR="001B3594">
        <w:rPr>
          <w:rFonts w:hint="eastAsia"/>
          <w:u w:val="single"/>
        </w:rPr>
        <w:t>(2/26</w:t>
      </w:r>
      <w:r>
        <w:rPr>
          <w:rFonts w:hint="eastAsia"/>
          <w:u w:val="single"/>
        </w:rPr>
        <w:t xml:space="preserve"> )</w:t>
      </w:r>
    </w:p>
    <w:p w:rsidR="00593A7F" w:rsidRDefault="003C5F2A" w:rsidP="00E73042">
      <w:r>
        <w:rPr>
          <w:rFonts w:hint="eastAsia"/>
        </w:rPr>
        <w:t>公務員の</w:t>
      </w:r>
      <w:r w:rsidR="001B3594">
        <w:rPr>
          <w:rFonts w:hint="eastAsia"/>
        </w:rPr>
        <w:t>給与引き上げに関し</w:t>
      </w:r>
      <w:r>
        <w:rPr>
          <w:rFonts w:hint="eastAsia"/>
        </w:rPr>
        <w:t>、</w:t>
      </w:r>
      <w:r w:rsidR="001B3594">
        <w:rPr>
          <w:rFonts w:hint="eastAsia"/>
        </w:rPr>
        <w:t>当局側から</w:t>
      </w:r>
      <w:r>
        <w:rPr>
          <w:rFonts w:hint="eastAsia"/>
        </w:rPr>
        <w:t>満足のいく</w:t>
      </w:r>
      <w:r w:rsidR="001B3594">
        <w:rPr>
          <w:rFonts w:hint="eastAsia"/>
        </w:rPr>
        <w:t>回答が得られなかったとして、教員組合が首都</w:t>
      </w:r>
      <w:r w:rsidR="009A2B4F">
        <w:rPr>
          <w:rFonts w:hint="eastAsia"/>
        </w:rPr>
        <w:t>サンホセ</w:t>
      </w:r>
      <w:r w:rsidR="001B3594">
        <w:rPr>
          <w:rFonts w:hint="eastAsia"/>
        </w:rPr>
        <w:t>で大規模な</w:t>
      </w:r>
      <w:r w:rsidR="00BD6E33">
        <w:rPr>
          <w:rFonts w:hint="eastAsia"/>
        </w:rPr>
        <w:t>抗議デモ</w:t>
      </w:r>
      <w:r w:rsidR="001B3594">
        <w:rPr>
          <w:rFonts w:hint="eastAsia"/>
        </w:rPr>
        <w:t>を実施した。</w:t>
      </w:r>
      <w:r w:rsidR="006F5695">
        <w:rPr>
          <w:rFonts w:hint="eastAsia"/>
        </w:rPr>
        <w:t>教員組合は、</w:t>
      </w:r>
      <w:r w:rsidR="001B3594">
        <w:rPr>
          <w:rFonts w:hint="eastAsia"/>
        </w:rPr>
        <w:t>政府側の給与引き上げ率</w:t>
      </w:r>
      <w:r w:rsidR="001B3594">
        <w:rPr>
          <w:rFonts w:hint="eastAsia"/>
        </w:rPr>
        <w:t>0.43</w:t>
      </w:r>
      <w:r w:rsidR="006F5695">
        <w:rPr>
          <w:rFonts w:hint="eastAsia"/>
        </w:rPr>
        <w:t>％の提示に</w:t>
      </w:r>
      <w:r w:rsidR="001B3594">
        <w:rPr>
          <w:rFonts w:hint="eastAsia"/>
        </w:rPr>
        <w:t>反発</w:t>
      </w:r>
      <w:r w:rsidR="006F5695">
        <w:rPr>
          <w:rFonts w:hint="eastAsia"/>
        </w:rPr>
        <w:t>している。他方で</w:t>
      </w:r>
      <w:r w:rsidR="00EC46E2">
        <w:rPr>
          <w:rFonts w:hint="eastAsia"/>
        </w:rPr>
        <w:t>労働</w:t>
      </w:r>
      <w:r w:rsidR="00BA5F94">
        <w:rPr>
          <w:rFonts w:hint="eastAsia"/>
        </w:rPr>
        <w:t>・社会保障</w:t>
      </w:r>
      <w:r w:rsidR="00EC46E2">
        <w:rPr>
          <w:rFonts w:hint="eastAsia"/>
        </w:rPr>
        <w:t>省</w:t>
      </w:r>
      <w:r w:rsidR="006F5695">
        <w:rPr>
          <w:rFonts w:hint="eastAsia"/>
        </w:rPr>
        <w:t>は、交渉の席から自ら離れたのは</w:t>
      </w:r>
      <w:r w:rsidR="001B3594">
        <w:rPr>
          <w:rFonts w:hint="eastAsia"/>
        </w:rPr>
        <w:t>教員側だと訴え</w:t>
      </w:r>
      <w:r w:rsidR="006F5695">
        <w:rPr>
          <w:rFonts w:hint="eastAsia"/>
        </w:rPr>
        <w:t>ており</w:t>
      </w:r>
      <w:r w:rsidR="001B3594">
        <w:rPr>
          <w:rFonts w:hint="eastAsia"/>
        </w:rPr>
        <w:t>、</w:t>
      </w:r>
      <w:r w:rsidR="00253E83">
        <w:rPr>
          <w:rFonts w:hint="eastAsia"/>
        </w:rPr>
        <w:t>協議は平行線をたどっている。大統領選挙中の</w:t>
      </w:r>
      <w:r w:rsidR="00BD6E33">
        <w:rPr>
          <w:rFonts w:hint="eastAsia"/>
        </w:rPr>
        <w:t>デモ</w:t>
      </w:r>
      <w:r w:rsidR="00253E83">
        <w:rPr>
          <w:rFonts w:hint="eastAsia"/>
        </w:rPr>
        <w:t>は、次期政権への組合側からの</w:t>
      </w:r>
      <w:r w:rsidR="002063CF">
        <w:rPr>
          <w:rFonts w:hint="eastAsia"/>
        </w:rPr>
        <w:t>牽制</w:t>
      </w:r>
      <w:r w:rsidR="00253E83">
        <w:rPr>
          <w:rFonts w:hint="eastAsia"/>
        </w:rPr>
        <w:t>の意味も含まれている。アラヤ、ソリス両大統領候補は教員側の意見に理解を示す一方で、</w:t>
      </w:r>
      <w:r w:rsidR="00BD6E33">
        <w:rPr>
          <w:rFonts w:hint="eastAsia"/>
        </w:rPr>
        <w:t>デモ</w:t>
      </w:r>
      <w:r w:rsidR="00253E83">
        <w:rPr>
          <w:rFonts w:hint="eastAsia"/>
        </w:rPr>
        <w:t>という手段に対しては批判することで一致</w:t>
      </w:r>
      <w:r w:rsidR="00A10FA5">
        <w:rPr>
          <w:rFonts w:hint="eastAsia"/>
        </w:rPr>
        <w:t>している</w:t>
      </w:r>
      <w:r w:rsidR="00253E83">
        <w:rPr>
          <w:rFonts w:hint="eastAsia"/>
        </w:rPr>
        <w:t>。同組合は</w:t>
      </w:r>
      <w:r w:rsidR="00253E83">
        <w:rPr>
          <w:rFonts w:hint="eastAsia"/>
        </w:rPr>
        <w:t>3</w:t>
      </w:r>
      <w:r w:rsidR="00253E83">
        <w:rPr>
          <w:rFonts w:hint="eastAsia"/>
        </w:rPr>
        <w:t>月</w:t>
      </w:r>
      <w:r w:rsidR="00253E83">
        <w:rPr>
          <w:rFonts w:hint="eastAsia"/>
        </w:rPr>
        <w:t>20</w:t>
      </w:r>
      <w:r w:rsidR="00253E83">
        <w:rPr>
          <w:rFonts w:hint="eastAsia"/>
        </w:rPr>
        <w:t>日</w:t>
      </w:r>
      <w:r w:rsidR="00BD6E33">
        <w:rPr>
          <w:rFonts w:hint="eastAsia"/>
        </w:rPr>
        <w:t>にも</w:t>
      </w:r>
      <w:r w:rsidR="00253E83">
        <w:rPr>
          <w:rFonts w:hint="eastAsia"/>
        </w:rPr>
        <w:t>チンチージャ政権</w:t>
      </w:r>
      <w:r w:rsidR="00F33C1B">
        <w:rPr>
          <w:rFonts w:hint="eastAsia"/>
        </w:rPr>
        <w:t>への</w:t>
      </w:r>
      <w:r w:rsidR="00BD6E33">
        <w:rPr>
          <w:rFonts w:hint="eastAsia"/>
        </w:rPr>
        <w:t>デモ</w:t>
      </w:r>
      <w:r w:rsidR="00773D5C">
        <w:rPr>
          <w:rFonts w:hint="eastAsia"/>
        </w:rPr>
        <w:t>実施を</w:t>
      </w:r>
      <w:r w:rsidR="00253E83">
        <w:rPr>
          <w:rFonts w:hint="eastAsia"/>
        </w:rPr>
        <w:t>予告している。</w:t>
      </w:r>
    </w:p>
    <w:p w:rsidR="00BB269A" w:rsidRPr="001B3594" w:rsidRDefault="00BB269A" w:rsidP="00E73042"/>
    <w:p w:rsidR="009E6877" w:rsidRDefault="009E6877" w:rsidP="00E73042">
      <w:r>
        <w:rPr>
          <w:rFonts w:hint="eastAsia"/>
        </w:rPr>
        <w:t>(</w:t>
      </w:r>
      <w:r>
        <w:rPr>
          <w:rFonts w:hint="eastAsia"/>
        </w:rPr>
        <w:t>２</w:t>
      </w:r>
      <w:r>
        <w:rPr>
          <w:rFonts w:hint="eastAsia"/>
        </w:rPr>
        <w:t>)</w:t>
      </w:r>
      <w:r>
        <w:rPr>
          <w:rFonts w:hint="eastAsia"/>
        </w:rPr>
        <w:t>対外経済</w:t>
      </w:r>
    </w:p>
    <w:p w:rsidR="009E6877" w:rsidRDefault="005B093F" w:rsidP="00E73042">
      <w:r>
        <w:rPr>
          <w:rFonts w:hint="eastAsia"/>
        </w:rPr>
        <w:t xml:space="preserve">ア　</w:t>
      </w:r>
      <w:r w:rsidR="009E6877">
        <w:rPr>
          <w:rFonts w:hint="eastAsia"/>
        </w:rPr>
        <w:t>自由貿易協定</w:t>
      </w:r>
      <w:r w:rsidR="009E6877">
        <w:rPr>
          <w:rFonts w:hint="eastAsia"/>
        </w:rPr>
        <w:t>(FTA)</w:t>
      </w:r>
      <w:r w:rsidR="009E6877">
        <w:rPr>
          <w:rFonts w:hint="eastAsia"/>
        </w:rPr>
        <w:t>・貿易関係</w:t>
      </w:r>
    </w:p>
    <w:p w:rsidR="00A561B8" w:rsidRDefault="00A561B8" w:rsidP="00E73042">
      <w:pPr>
        <w:rPr>
          <w:u w:val="single"/>
        </w:rPr>
      </w:pPr>
      <w:r>
        <w:rPr>
          <w:rFonts w:hint="eastAsia"/>
        </w:rPr>
        <w:t>●</w:t>
      </w:r>
      <w:r>
        <w:rPr>
          <w:rFonts w:hint="eastAsia"/>
          <w:u w:val="single"/>
        </w:rPr>
        <w:t>コスタリカは自由貿易協定に関し</w:t>
      </w:r>
      <w:r w:rsidR="00765A71">
        <w:rPr>
          <w:rFonts w:hint="eastAsia"/>
          <w:u w:val="single"/>
        </w:rPr>
        <w:t>て</w:t>
      </w:r>
      <w:r>
        <w:rPr>
          <w:rFonts w:hint="eastAsia"/>
          <w:u w:val="single"/>
        </w:rPr>
        <w:t>エルサルバドルを</w:t>
      </w:r>
      <w:r w:rsidR="00735D23">
        <w:rPr>
          <w:rFonts w:hint="eastAsia"/>
          <w:u w:val="single"/>
        </w:rPr>
        <w:t>訴える</w:t>
      </w:r>
      <w:r>
        <w:rPr>
          <w:rFonts w:hint="eastAsia"/>
          <w:u w:val="single"/>
        </w:rPr>
        <w:t>(1/7)</w:t>
      </w:r>
    </w:p>
    <w:p w:rsidR="00A561B8" w:rsidRDefault="00FE51EC" w:rsidP="00E73042">
      <w:r>
        <w:rPr>
          <w:rFonts w:hint="eastAsia"/>
        </w:rPr>
        <w:t>ゴンサレス貿易大臣は、</w:t>
      </w:r>
      <w:r w:rsidR="00E92F17" w:rsidRPr="00A73852">
        <w:rPr>
          <w:rFonts w:hint="eastAsia"/>
        </w:rPr>
        <w:t>コスタリカは</w:t>
      </w:r>
      <w:r w:rsidR="00E92F17" w:rsidRPr="00A73852">
        <w:rPr>
          <w:rFonts w:hint="eastAsia"/>
        </w:rPr>
        <w:t>1</w:t>
      </w:r>
      <w:r w:rsidR="00E92F17" w:rsidRPr="00A73852">
        <w:rPr>
          <w:rFonts w:hint="eastAsia"/>
        </w:rPr>
        <w:t>月</w:t>
      </w:r>
      <w:r w:rsidR="00E92F17" w:rsidRPr="00A73852">
        <w:rPr>
          <w:rFonts w:hint="eastAsia"/>
        </w:rPr>
        <w:t>20</w:t>
      </w:r>
      <w:r w:rsidR="000C3EEF">
        <w:rPr>
          <w:rFonts w:hint="eastAsia"/>
        </w:rPr>
        <w:t>日に、エルサ</w:t>
      </w:r>
      <w:r w:rsidR="00E92F17" w:rsidRPr="00A73852">
        <w:rPr>
          <w:rFonts w:hint="eastAsia"/>
        </w:rPr>
        <w:t>ルバド</w:t>
      </w:r>
      <w:r w:rsidR="000C3EEF">
        <w:rPr>
          <w:rFonts w:hint="eastAsia"/>
        </w:rPr>
        <w:t>ルが米国・中米間自由貿易協定</w:t>
      </w:r>
      <w:r w:rsidR="00D76ACF">
        <w:rPr>
          <w:rFonts w:hint="eastAsia"/>
        </w:rPr>
        <w:t>(DR-CAFTA)</w:t>
      </w:r>
      <w:r w:rsidR="000C3EEF">
        <w:rPr>
          <w:rFonts w:hint="eastAsia"/>
        </w:rPr>
        <w:t>で定められている加盟国間の関税撤廃規則を遵守しなかったことを調停にかける予定である</w:t>
      </w:r>
      <w:r w:rsidR="008740AF">
        <w:rPr>
          <w:rFonts w:hint="eastAsia"/>
        </w:rPr>
        <w:t>ことを認めた</w:t>
      </w:r>
      <w:r w:rsidR="000C3EEF">
        <w:rPr>
          <w:rFonts w:hint="eastAsia"/>
        </w:rPr>
        <w:t>。エルサルバドルは</w:t>
      </w:r>
      <w:r w:rsidR="00E92F17" w:rsidRPr="00A73852">
        <w:rPr>
          <w:rFonts w:hint="eastAsia"/>
        </w:rPr>
        <w:t>コスタリカのフリーゾーンから輸出されたタイヤと</w:t>
      </w:r>
      <w:r w:rsidR="00EA1370">
        <w:rPr>
          <w:rFonts w:hint="eastAsia"/>
        </w:rPr>
        <w:t>濃縮果汁</w:t>
      </w:r>
      <w:r w:rsidR="00E92F17" w:rsidRPr="00A73852">
        <w:rPr>
          <w:rFonts w:hint="eastAsia"/>
        </w:rPr>
        <w:t>に対し、本来は免除されるはずの関税</w:t>
      </w:r>
      <w:r w:rsidR="006D4A9C">
        <w:rPr>
          <w:rFonts w:hint="eastAsia"/>
        </w:rPr>
        <w:t>(</w:t>
      </w:r>
      <w:r w:rsidR="006D4A9C">
        <w:rPr>
          <w:rFonts w:hint="eastAsia"/>
        </w:rPr>
        <w:t>それぞれ</w:t>
      </w:r>
      <w:r w:rsidR="00E92F17" w:rsidRPr="00A73852">
        <w:rPr>
          <w:rFonts w:hint="eastAsia"/>
        </w:rPr>
        <w:t>10</w:t>
      </w:r>
      <w:r w:rsidR="00E92F17" w:rsidRPr="00A73852">
        <w:rPr>
          <w:rFonts w:hint="eastAsia"/>
        </w:rPr>
        <w:t>％と</w:t>
      </w:r>
      <w:r w:rsidR="00E92F17" w:rsidRPr="00A73852">
        <w:rPr>
          <w:rFonts w:hint="eastAsia"/>
        </w:rPr>
        <w:t>15</w:t>
      </w:r>
      <w:r w:rsidR="000C3EEF">
        <w:rPr>
          <w:rFonts w:hint="eastAsia"/>
        </w:rPr>
        <w:t>％</w:t>
      </w:r>
      <w:r w:rsidR="006D4A9C">
        <w:rPr>
          <w:rFonts w:hint="eastAsia"/>
        </w:rPr>
        <w:t>)</w:t>
      </w:r>
      <w:r w:rsidR="000C3EEF">
        <w:rPr>
          <w:rFonts w:hint="eastAsia"/>
        </w:rPr>
        <w:t>を課していた</w:t>
      </w:r>
      <w:r w:rsidR="00E92F17" w:rsidRPr="00A73852">
        <w:rPr>
          <w:rFonts w:hint="eastAsia"/>
        </w:rPr>
        <w:t>。</w:t>
      </w:r>
      <w:r w:rsidR="000C3EEF">
        <w:rPr>
          <w:rFonts w:hint="eastAsia"/>
        </w:rPr>
        <w:t>昨年</w:t>
      </w:r>
      <w:r w:rsidR="00A73852" w:rsidRPr="00A73852">
        <w:rPr>
          <w:rFonts w:hint="eastAsia"/>
        </w:rPr>
        <w:t>9</w:t>
      </w:r>
      <w:r w:rsidR="00A73852" w:rsidRPr="00A73852">
        <w:rPr>
          <w:rFonts w:hint="eastAsia"/>
        </w:rPr>
        <w:t>月</w:t>
      </w:r>
      <w:r w:rsidR="00A73852" w:rsidRPr="00A73852">
        <w:rPr>
          <w:rFonts w:hint="eastAsia"/>
        </w:rPr>
        <w:t>23</w:t>
      </w:r>
      <w:r w:rsidR="00A73852" w:rsidRPr="00A73852">
        <w:rPr>
          <w:rFonts w:hint="eastAsia"/>
        </w:rPr>
        <w:t>日</w:t>
      </w:r>
      <w:r w:rsidR="000C3EEF">
        <w:rPr>
          <w:rFonts w:hint="eastAsia"/>
        </w:rPr>
        <w:t>、コスタリカが両国間による解決を図ろうとした</w:t>
      </w:r>
      <w:r w:rsidR="007B6C95">
        <w:rPr>
          <w:rFonts w:hint="eastAsia"/>
        </w:rPr>
        <w:t>が</w:t>
      </w:r>
      <w:r w:rsidR="000C3EEF">
        <w:rPr>
          <w:rFonts w:hint="eastAsia"/>
        </w:rPr>
        <w:t>交渉は</w:t>
      </w:r>
      <w:r w:rsidR="00A73852" w:rsidRPr="00A73852">
        <w:rPr>
          <w:rFonts w:hint="eastAsia"/>
        </w:rPr>
        <w:t>難航し、今回の決断に</w:t>
      </w:r>
      <w:r w:rsidR="000C3EEF">
        <w:rPr>
          <w:rFonts w:hint="eastAsia"/>
        </w:rPr>
        <w:t>至った</w:t>
      </w:r>
      <w:r w:rsidR="00A73852" w:rsidRPr="00A73852">
        <w:rPr>
          <w:rFonts w:hint="eastAsia"/>
        </w:rPr>
        <w:t>。食品産業</w:t>
      </w:r>
      <w:r w:rsidR="001852FD">
        <w:rPr>
          <w:rFonts w:hint="eastAsia"/>
        </w:rPr>
        <w:t>商工会</w:t>
      </w:r>
      <w:r w:rsidR="00A73852" w:rsidRPr="00A73852">
        <w:rPr>
          <w:rFonts w:hint="eastAsia"/>
        </w:rPr>
        <w:t>は、コスタリカの食品輸出の</w:t>
      </w:r>
      <w:r w:rsidR="00A73852" w:rsidRPr="00A73852">
        <w:rPr>
          <w:rFonts w:hint="eastAsia"/>
        </w:rPr>
        <w:t>44</w:t>
      </w:r>
      <w:r w:rsidR="00A73852" w:rsidRPr="00A73852">
        <w:rPr>
          <w:rFonts w:hint="eastAsia"/>
        </w:rPr>
        <w:t>％は中米向けであるため、加盟国間の規則をより明確にしていく必要があると述べ</w:t>
      </w:r>
      <w:r w:rsidR="000C3EEF">
        <w:rPr>
          <w:rFonts w:hint="eastAsia"/>
        </w:rPr>
        <w:t>た</w:t>
      </w:r>
      <w:r w:rsidR="00A73852" w:rsidRPr="00A73852">
        <w:rPr>
          <w:rFonts w:hint="eastAsia"/>
        </w:rPr>
        <w:t>。</w:t>
      </w:r>
    </w:p>
    <w:p w:rsidR="003729AD" w:rsidRDefault="003729AD" w:rsidP="00E73042"/>
    <w:p w:rsidR="00AC2CCE" w:rsidRPr="00D9047A" w:rsidRDefault="00AC2CCE" w:rsidP="00E73042">
      <w:pPr>
        <w:rPr>
          <w:u w:val="single"/>
        </w:rPr>
      </w:pPr>
      <w:r w:rsidRPr="00AC2CCE">
        <w:rPr>
          <w:rFonts w:hint="eastAsia"/>
        </w:rPr>
        <w:t>●</w:t>
      </w:r>
      <w:r w:rsidRPr="00D9047A">
        <w:rPr>
          <w:rFonts w:hint="eastAsia"/>
          <w:u w:val="single"/>
        </w:rPr>
        <w:t>コスタリカは</w:t>
      </w:r>
      <w:r w:rsidRPr="00D9047A">
        <w:rPr>
          <w:rFonts w:hint="eastAsia"/>
          <w:u w:val="single"/>
        </w:rPr>
        <w:t>2014</w:t>
      </w:r>
      <w:r w:rsidR="00326940">
        <w:rPr>
          <w:rFonts w:hint="eastAsia"/>
          <w:u w:val="single"/>
        </w:rPr>
        <w:t>年末までに太平洋同盟加盟</w:t>
      </w:r>
      <w:r w:rsidRPr="00D9047A">
        <w:rPr>
          <w:rFonts w:hint="eastAsia"/>
          <w:u w:val="single"/>
        </w:rPr>
        <w:t>への準備を整える方針</w:t>
      </w:r>
      <w:r w:rsidR="001F1AA0" w:rsidRPr="00D9047A">
        <w:rPr>
          <w:rFonts w:hint="eastAsia"/>
          <w:u w:val="single"/>
        </w:rPr>
        <w:t>(2/11)</w:t>
      </w:r>
    </w:p>
    <w:p w:rsidR="001F1AA0" w:rsidRPr="00DD197D" w:rsidRDefault="001F1AA0" w:rsidP="00E73042">
      <w:pPr>
        <w:rPr>
          <w:u w:val="single"/>
        </w:rPr>
      </w:pPr>
      <w:r w:rsidRPr="001F1AA0">
        <w:rPr>
          <w:rFonts w:hint="eastAsia"/>
        </w:rPr>
        <w:t>●</w:t>
      </w:r>
      <w:r w:rsidR="00D9047A" w:rsidRPr="00DD197D">
        <w:rPr>
          <w:rFonts w:hint="eastAsia"/>
          <w:u w:val="single"/>
        </w:rPr>
        <w:t>太平洋同盟加入</w:t>
      </w:r>
      <w:r w:rsidR="004B1C08">
        <w:rPr>
          <w:rFonts w:hint="eastAsia"/>
          <w:u w:val="single"/>
          <w:lang w:val="es-ES"/>
        </w:rPr>
        <w:t>のメリット面が強調され</w:t>
      </w:r>
      <w:r w:rsidR="00D9047A" w:rsidRPr="00DD197D">
        <w:rPr>
          <w:rFonts w:hint="eastAsia"/>
          <w:u w:val="single"/>
        </w:rPr>
        <w:t>、</w:t>
      </w:r>
      <w:r w:rsidR="004B1C08">
        <w:rPr>
          <w:rFonts w:hint="eastAsia"/>
          <w:u w:val="single"/>
        </w:rPr>
        <w:t>疑問点がぼやかされている</w:t>
      </w:r>
      <w:r w:rsidR="00D9047A" w:rsidRPr="00DD197D">
        <w:rPr>
          <w:rFonts w:hint="eastAsia"/>
          <w:u w:val="single"/>
        </w:rPr>
        <w:t>(2/12)</w:t>
      </w:r>
    </w:p>
    <w:p w:rsidR="0035474B" w:rsidRDefault="00914E3E" w:rsidP="00E73042">
      <w:r>
        <w:rPr>
          <w:rFonts w:hint="eastAsia"/>
        </w:rPr>
        <w:t>コロンビアのカルタヘナで第</w:t>
      </w:r>
      <w:r>
        <w:rPr>
          <w:rFonts w:hint="eastAsia"/>
        </w:rPr>
        <w:t>8</w:t>
      </w:r>
      <w:r>
        <w:rPr>
          <w:rFonts w:hint="eastAsia"/>
        </w:rPr>
        <w:t>回太平洋同盟首脳会合が開催され、その場でチンチージャ大統領は加盟証書に署名</w:t>
      </w:r>
      <w:r w:rsidR="00FF4E42">
        <w:rPr>
          <w:rFonts w:hint="eastAsia"/>
        </w:rPr>
        <w:t>し</w:t>
      </w:r>
      <w:r>
        <w:rPr>
          <w:rFonts w:hint="eastAsia"/>
        </w:rPr>
        <w:t>た</w:t>
      </w:r>
      <w:r w:rsidR="00FF4E42">
        <w:rPr>
          <w:rFonts w:hint="eastAsia"/>
        </w:rPr>
        <w:t>。今後は国内で加盟に向けて委員会を発足していく予定である。</w:t>
      </w:r>
      <w:r w:rsidR="0022478C">
        <w:rPr>
          <w:rFonts w:hint="eastAsia"/>
        </w:rPr>
        <w:t>一定の</w:t>
      </w:r>
      <w:r w:rsidR="00FF4E42">
        <w:rPr>
          <w:rFonts w:hint="eastAsia"/>
        </w:rPr>
        <w:t>業界団体は</w:t>
      </w:r>
      <w:r w:rsidR="0022478C">
        <w:rPr>
          <w:rFonts w:hint="eastAsia"/>
        </w:rPr>
        <w:t>、</w:t>
      </w:r>
      <w:r>
        <w:rPr>
          <w:rFonts w:hint="eastAsia"/>
        </w:rPr>
        <w:t>加盟によ</w:t>
      </w:r>
      <w:r w:rsidR="00FF4E42">
        <w:rPr>
          <w:rFonts w:hint="eastAsia"/>
        </w:rPr>
        <w:t>る</w:t>
      </w:r>
      <w:r>
        <w:rPr>
          <w:rFonts w:hint="eastAsia"/>
        </w:rPr>
        <w:t>アジアやヨーロッパへの貿易拡大の可能性</w:t>
      </w:r>
      <w:r w:rsidR="00FF4E42">
        <w:rPr>
          <w:rFonts w:hint="eastAsia"/>
        </w:rPr>
        <w:t>を</w:t>
      </w:r>
      <w:r>
        <w:rPr>
          <w:rFonts w:hint="eastAsia"/>
        </w:rPr>
        <w:t>期待している</w:t>
      </w:r>
      <w:r w:rsidR="00765A71">
        <w:rPr>
          <w:rFonts w:hint="eastAsia"/>
        </w:rPr>
        <w:t>一方で、</w:t>
      </w:r>
      <w:r w:rsidR="00FF4E42">
        <w:rPr>
          <w:rFonts w:hint="eastAsia"/>
        </w:rPr>
        <w:t>太平洋同盟加盟国の大半とは既</w:t>
      </w:r>
      <w:r w:rsidR="00765A71">
        <w:rPr>
          <w:rFonts w:hint="eastAsia"/>
        </w:rPr>
        <w:t>に自由貿易協定を結んでいるために</w:t>
      </w:r>
      <w:r w:rsidR="00FF4E42">
        <w:rPr>
          <w:rFonts w:hint="eastAsia"/>
        </w:rPr>
        <w:t>、</w:t>
      </w:r>
      <w:r w:rsidR="00765A71">
        <w:rPr>
          <w:rFonts w:hint="eastAsia"/>
        </w:rPr>
        <w:t>加盟による利益の増加は限定的</w:t>
      </w:r>
      <w:r w:rsidR="0035474B">
        <w:rPr>
          <w:rFonts w:hint="eastAsia"/>
        </w:rPr>
        <w:t>ではないかという</w:t>
      </w:r>
      <w:r w:rsidR="00765A71">
        <w:rPr>
          <w:rFonts w:hint="eastAsia"/>
        </w:rPr>
        <w:t>疑問の声も上がっている。また、コスタリカの</w:t>
      </w:r>
      <w:r w:rsidR="00765A71">
        <w:rPr>
          <w:rFonts w:hint="eastAsia"/>
        </w:rPr>
        <w:lastRenderedPageBreak/>
        <w:t>国際</w:t>
      </w:r>
      <w:r>
        <w:rPr>
          <w:rFonts w:hint="eastAsia"/>
        </w:rPr>
        <w:t>競争力</w:t>
      </w:r>
      <w:r w:rsidR="00765A71">
        <w:rPr>
          <w:rFonts w:hint="eastAsia"/>
        </w:rPr>
        <w:t>に関わる</w:t>
      </w:r>
      <w:r>
        <w:rPr>
          <w:rFonts w:hint="eastAsia"/>
        </w:rPr>
        <w:t>エネルギーコストや港湾インフラの整備の問題、加盟国</w:t>
      </w:r>
      <w:r w:rsidR="0035474B">
        <w:rPr>
          <w:rFonts w:hint="eastAsia"/>
        </w:rPr>
        <w:t>の経済</w:t>
      </w:r>
      <w:r>
        <w:rPr>
          <w:rFonts w:hint="eastAsia"/>
        </w:rPr>
        <w:t>が類似し</w:t>
      </w:r>
      <w:r w:rsidR="0035474B">
        <w:rPr>
          <w:rFonts w:hint="eastAsia"/>
        </w:rPr>
        <w:t>ているために</w:t>
      </w:r>
      <w:r>
        <w:rPr>
          <w:rFonts w:hint="eastAsia"/>
        </w:rPr>
        <w:t>国内産業が淘汰され</w:t>
      </w:r>
      <w:r w:rsidR="00765A71">
        <w:rPr>
          <w:rFonts w:hint="eastAsia"/>
        </w:rPr>
        <w:t>る可能性</w:t>
      </w:r>
      <w:r w:rsidR="008D4CEA">
        <w:rPr>
          <w:rFonts w:hint="eastAsia"/>
        </w:rPr>
        <w:t>といった</w:t>
      </w:r>
      <w:r w:rsidR="00765A71">
        <w:rPr>
          <w:rFonts w:hint="eastAsia"/>
        </w:rPr>
        <w:t>懸念も</w:t>
      </w:r>
      <w:r w:rsidR="0035474B">
        <w:rPr>
          <w:rFonts w:hint="eastAsia"/>
        </w:rPr>
        <w:t>言及された。</w:t>
      </w:r>
    </w:p>
    <w:p w:rsidR="00D9047A" w:rsidRDefault="00D9047A" w:rsidP="00E73042"/>
    <w:p w:rsidR="00777283" w:rsidRDefault="00777283" w:rsidP="00E73042">
      <w:r w:rsidRPr="00777283">
        <w:rPr>
          <w:rFonts w:hint="eastAsia"/>
        </w:rPr>
        <w:t>●</w:t>
      </w:r>
      <w:r w:rsidR="003C5F2A">
        <w:rPr>
          <w:rFonts w:hint="eastAsia"/>
          <w:u w:val="single"/>
        </w:rPr>
        <w:t>需要の低下がバナナ</w:t>
      </w:r>
      <w:r w:rsidRPr="00D94773">
        <w:rPr>
          <w:rFonts w:hint="eastAsia"/>
          <w:u w:val="single"/>
        </w:rPr>
        <w:t>輸出を抑制</w:t>
      </w:r>
      <w:r w:rsidRPr="00D94773">
        <w:rPr>
          <w:rFonts w:hint="eastAsia"/>
          <w:u w:val="single"/>
        </w:rPr>
        <w:t>(2/26)</w:t>
      </w:r>
    </w:p>
    <w:p w:rsidR="009360C3" w:rsidRDefault="009360C3" w:rsidP="00E73042">
      <w:r>
        <w:rPr>
          <w:rFonts w:hint="eastAsia"/>
        </w:rPr>
        <w:t>コスタリカのバナナ輸出量が</w:t>
      </w:r>
      <w:r>
        <w:rPr>
          <w:rFonts w:hint="eastAsia"/>
        </w:rPr>
        <w:t>2011</w:t>
      </w:r>
      <w:r>
        <w:rPr>
          <w:rFonts w:hint="eastAsia"/>
        </w:rPr>
        <w:t>年以降、年間</w:t>
      </w:r>
      <w:r>
        <w:rPr>
          <w:rFonts w:hint="eastAsia"/>
        </w:rPr>
        <w:t>804.9</w:t>
      </w:r>
      <w:r>
        <w:rPr>
          <w:rFonts w:hint="eastAsia"/>
        </w:rPr>
        <w:t>～</w:t>
      </w:r>
      <w:r>
        <w:rPr>
          <w:rFonts w:hint="eastAsia"/>
        </w:rPr>
        <w:t>823</w:t>
      </w:r>
      <w:r>
        <w:rPr>
          <w:rFonts w:hint="eastAsia"/>
        </w:rPr>
        <w:t>百万ドルの間で推移し</w:t>
      </w:r>
      <w:r w:rsidR="008D4CEA">
        <w:rPr>
          <w:rFonts w:hint="eastAsia"/>
        </w:rPr>
        <w:t>、</w:t>
      </w:r>
      <w:r>
        <w:rPr>
          <w:rFonts w:hint="eastAsia"/>
        </w:rPr>
        <w:t>伸び悩んでいる。その背景には</w:t>
      </w:r>
      <w:r w:rsidR="008D4CEA">
        <w:rPr>
          <w:rFonts w:hint="eastAsia"/>
        </w:rPr>
        <w:t>、主要輸出先であるヨーロッパでの需要の伸び悩みと、競合</w:t>
      </w:r>
      <w:r>
        <w:rPr>
          <w:rFonts w:hint="eastAsia"/>
        </w:rPr>
        <w:t>国としてのグアテマラの台頭などがある。</w:t>
      </w:r>
      <w:r w:rsidR="00ED7B98">
        <w:rPr>
          <w:rFonts w:hint="eastAsia"/>
        </w:rPr>
        <w:t>しかし、</w:t>
      </w:r>
      <w:r w:rsidR="00ED7B98">
        <w:rPr>
          <w:rFonts w:hint="eastAsia"/>
        </w:rPr>
        <w:t>2013</w:t>
      </w:r>
      <w:r w:rsidR="00ED7B98">
        <w:rPr>
          <w:rFonts w:hint="eastAsia"/>
        </w:rPr>
        <w:t>年</w:t>
      </w:r>
      <w:r w:rsidR="00ED7B98">
        <w:rPr>
          <w:rFonts w:hint="eastAsia"/>
        </w:rPr>
        <w:t>10</w:t>
      </w:r>
      <w:r w:rsidR="00ED7B98">
        <w:rPr>
          <w:rFonts w:hint="eastAsia"/>
        </w:rPr>
        <w:t>月</w:t>
      </w:r>
      <w:r w:rsidR="00ED7B98">
        <w:rPr>
          <w:rFonts w:hint="eastAsia"/>
        </w:rPr>
        <w:t>1</w:t>
      </w:r>
      <w:r w:rsidR="00ED7B98">
        <w:rPr>
          <w:rFonts w:hint="eastAsia"/>
        </w:rPr>
        <w:t>日よりユーロ圏への輸出</w:t>
      </w:r>
      <w:r w:rsidR="00ED7B98" w:rsidRPr="00ED7B98">
        <w:rPr>
          <w:rFonts w:hint="eastAsia"/>
        </w:rPr>
        <w:t>1</w:t>
      </w:r>
      <w:r w:rsidR="00ED7B98" w:rsidRPr="00ED7B98">
        <w:rPr>
          <w:rFonts w:hint="eastAsia"/>
        </w:rPr>
        <w:t>トンあたり</w:t>
      </w:r>
      <w:r w:rsidR="00ED7B98">
        <w:rPr>
          <w:rFonts w:hint="eastAsia"/>
        </w:rPr>
        <w:t>134</w:t>
      </w:r>
      <w:r w:rsidR="00ED7B98">
        <w:rPr>
          <w:rFonts w:hint="eastAsia"/>
        </w:rPr>
        <w:t>ユーロ</w:t>
      </w:r>
      <w:r w:rsidR="00601922">
        <w:rPr>
          <w:rFonts w:hint="eastAsia"/>
        </w:rPr>
        <w:t>の関税が</w:t>
      </w:r>
      <w:r w:rsidR="00ED7B98">
        <w:rPr>
          <w:rFonts w:hint="eastAsia"/>
        </w:rPr>
        <w:t>124</w:t>
      </w:r>
      <w:r w:rsidR="00ED7B98">
        <w:rPr>
          <w:rFonts w:hint="eastAsia"/>
        </w:rPr>
        <w:t>ユーロへ下</w:t>
      </w:r>
      <w:r w:rsidR="00601922">
        <w:rPr>
          <w:rFonts w:hint="eastAsia"/>
        </w:rPr>
        <w:t>げられ</w:t>
      </w:r>
      <w:r w:rsidR="00ED7B98">
        <w:rPr>
          <w:rFonts w:hint="eastAsia"/>
        </w:rPr>
        <w:t>、今後</w:t>
      </w:r>
      <w:r w:rsidR="00ED7B98">
        <w:rPr>
          <w:rFonts w:hint="eastAsia"/>
        </w:rPr>
        <w:t>2020</w:t>
      </w:r>
      <w:r w:rsidR="00ED7B98">
        <w:rPr>
          <w:rFonts w:hint="eastAsia"/>
        </w:rPr>
        <w:t>年までに</w:t>
      </w:r>
      <w:r w:rsidR="008D4CEA">
        <w:rPr>
          <w:rFonts w:hint="eastAsia"/>
        </w:rPr>
        <w:t>段階的に</w:t>
      </w:r>
      <w:r w:rsidR="00ED7B98">
        <w:rPr>
          <w:rFonts w:hint="eastAsia"/>
        </w:rPr>
        <w:t>75</w:t>
      </w:r>
      <w:r w:rsidR="008D4CEA">
        <w:rPr>
          <w:rFonts w:hint="eastAsia"/>
        </w:rPr>
        <w:t>ユーロまで引き下げられる</w:t>
      </w:r>
      <w:r w:rsidR="008B2ECF">
        <w:rPr>
          <w:rFonts w:hint="eastAsia"/>
        </w:rPr>
        <w:t>予定となっており、</w:t>
      </w:r>
      <w:r w:rsidR="00601922">
        <w:rPr>
          <w:rFonts w:hint="eastAsia"/>
        </w:rPr>
        <w:t>今後</w:t>
      </w:r>
      <w:r w:rsidR="008B2ECF">
        <w:rPr>
          <w:rFonts w:hint="eastAsia"/>
        </w:rPr>
        <w:t>の</w:t>
      </w:r>
      <w:r w:rsidR="00ED7B98">
        <w:rPr>
          <w:rFonts w:hint="eastAsia"/>
        </w:rPr>
        <w:t>輸出</w:t>
      </w:r>
      <w:r w:rsidR="008D4CEA">
        <w:rPr>
          <w:rFonts w:hint="eastAsia"/>
        </w:rPr>
        <w:t>増加</w:t>
      </w:r>
      <w:r w:rsidR="00601922">
        <w:rPr>
          <w:rFonts w:hint="eastAsia"/>
        </w:rPr>
        <w:t>が見込まれている</w:t>
      </w:r>
      <w:r w:rsidR="008D4CEA">
        <w:rPr>
          <w:rFonts w:hint="eastAsia"/>
        </w:rPr>
        <w:t>。コスタリカバナナ公社</w:t>
      </w:r>
      <w:r w:rsidR="00ED7B98">
        <w:rPr>
          <w:rFonts w:hint="eastAsia"/>
        </w:rPr>
        <w:t>(Corbana)</w:t>
      </w:r>
      <w:r w:rsidR="008D4CEA">
        <w:rPr>
          <w:rFonts w:hint="eastAsia"/>
        </w:rPr>
        <w:t>はその変化に合わせて作付面積を約</w:t>
      </w:r>
      <w:r w:rsidR="00ED7B98">
        <w:rPr>
          <w:rFonts w:hint="eastAsia"/>
        </w:rPr>
        <w:t>5,000</w:t>
      </w:r>
      <w:r w:rsidR="00ED7B98">
        <w:rPr>
          <w:rFonts w:hint="eastAsia"/>
        </w:rPr>
        <w:t>ヘクタール拡大し、計</w:t>
      </w:r>
      <w:r w:rsidR="00ED7B98">
        <w:rPr>
          <w:rFonts w:hint="eastAsia"/>
        </w:rPr>
        <w:t>50,000</w:t>
      </w:r>
      <w:r w:rsidR="008D4CEA">
        <w:rPr>
          <w:rFonts w:hint="eastAsia"/>
        </w:rPr>
        <w:t>ヘクタール</w:t>
      </w:r>
      <w:r w:rsidR="00100022">
        <w:rPr>
          <w:rFonts w:hint="eastAsia"/>
        </w:rPr>
        <w:t>に</w:t>
      </w:r>
      <w:r w:rsidR="00DA7104">
        <w:rPr>
          <w:rFonts w:hint="eastAsia"/>
        </w:rPr>
        <w:t>し</w:t>
      </w:r>
      <w:r w:rsidR="008D4CEA">
        <w:rPr>
          <w:rFonts w:hint="eastAsia"/>
        </w:rPr>
        <w:t>ていく</w:t>
      </w:r>
      <w:r w:rsidR="00F342F6">
        <w:rPr>
          <w:rFonts w:hint="eastAsia"/>
        </w:rPr>
        <w:t>予定</w:t>
      </w:r>
      <w:r w:rsidR="00F27B45">
        <w:rPr>
          <w:rFonts w:hint="eastAsia"/>
        </w:rPr>
        <w:t>である。その一方で、</w:t>
      </w:r>
      <w:r w:rsidR="00D03AB9">
        <w:rPr>
          <w:rFonts w:hint="eastAsia"/>
        </w:rPr>
        <w:t>同公社は、</w:t>
      </w:r>
      <w:r w:rsidR="00F27B45">
        <w:rPr>
          <w:rFonts w:hint="eastAsia"/>
        </w:rPr>
        <w:t>従来の耕作地の疲弊化や転作も進んでいること</w:t>
      </w:r>
      <w:r w:rsidR="00D03AB9">
        <w:rPr>
          <w:rFonts w:hint="eastAsia"/>
        </w:rPr>
        <w:t>に</w:t>
      </w:r>
      <w:r w:rsidR="00F342F6">
        <w:rPr>
          <w:rFonts w:hint="eastAsia"/>
        </w:rPr>
        <w:t>も言及</w:t>
      </w:r>
      <w:r w:rsidR="00D03AB9">
        <w:rPr>
          <w:rFonts w:hint="eastAsia"/>
        </w:rPr>
        <w:t>した</w:t>
      </w:r>
      <w:r w:rsidR="00ED7B98">
        <w:rPr>
          <w:rFonts w:hint="eastAsia"/>
        </w:rPr>
        <w:t>。</w:t>
      </w:r>
    </w:p>
    <w:p w:rsidR="00A90A6A" w:rsidRDefault="00A90A6A" w:rsidP="00E73042">
      <w:pPr>
        <w:rPr>
          <w:lang w:val="es-ES"/>
        </w:rPr>
      </w:pPr>
    </w:p>
    <w:p w:rsidR="009E6877" w:rsidRDefault="005B093F" w:rsidP="00E73042">
      <w:r>
        <w:rPr>
          <w:rFonts w:hint="eastAsia"/>
        </w:rPr>
        <w:t xml:space="preserve">イ　</w:t>
      </w:r>
      <w:r w:rsidR="009E6877">
        <w:rPr>
          <w:rFonts w:hint="eastAsia"/>
        </w:rPr>
        <w:t>その他</w:t>
      </w:r>
    </w:p>
    <w:p w:rsidR="003F1949" w:rsidRPr="003F1949" w:rsidRDefault="003F1949" w:rsidP="003F1949">
      <w:r w:rsidRPr="003F1949">
        <w:rPr>
          <w:rFonts w:hint="eastAsia"/>
        </w:rPr>
        <w:t>●</w:t>
      </w:r>
      <w:r w:rsidRPr="003F1949">
        <w:rPr>
          <w:rFonts w:hint="eastAsia"/>
          <w:u w:val="single"/>
        </w:rPr>
        <w:t>輸出関連手続きは</w:t>
      </w:r>
      <w:r w:rsidRPr="003F1949">
        <w:rPr>
          <w:rFonts w:hint="eastAsia"/>
          <w:u w:val="single"/>
        </w:rPr>
        <w:t>100</w:t>
      </w:r>
      <w:r w:rsidRPr="003F1949">
        <w:rPr>
          <w:rFonts w:hint="eastAsia"/>
          <w:u w:val="single"/>
        </w:rPr>
        <w:t>％デジタル化へ</w:t>
      </w:r>
    </w:p>
    <w:p w:rsidR="002B4C56" w:rsidRDefault="00893107" w:rsidP="00E73042">
      <w:r>
        <w:rPr>
          <w:rFonts w:hint="eastAsia"/>
        </w:rPr>
        <w:t>コスタリカ政府は</w:t>
      </w:r>
      <w:r>
        <w:rPr>
          <w:rFonts w:hint="eastAsia"/>
        </w:rPr>
        <w:t>2014</w:t>
      </w:r>
      <w:r w:rsidR="00913525">
        <w:rPr>
          <w:rFonts w:hint="eastAsia"/>
        </w:rPr>
        <w:t>年の第１四半期</w:t>
      </w:r>
      <w:r>
        <w:rPr>
          <w:rFonts w:hint="eastAsia"/>
        </w:rPr>
        <w:t>中に</w:t>
      </w:r>
      <w:r w:rsidR="00913525">
        <w:rPr>
          <w:rFonts w:hint="eastAsia"/>
        </w:rPr>
        <w:t>も</w:t>
      </w:r>
      <w:r>
        <w:rPr>
          <w:rFonts w:hint="eastAsia"/>
        </w:rPr>
        <w:t>、貿易関連の手続き</w:t>
      </w:r>
      <w:r w:rsidR="00540B9B">
        <w:rPr>
          <w:rFonts w:hint="eastAsia"/>
        </w:rPr>
        <w:t>効率化</w:t>
      </w:r>
      <w:r w:rsidR="003F1949">
        <w:rPr>
          <w:rFonts w:hint="eastAsia"/>
        </w:rPr>
        <w:t>の</w:t>
      </w:r>
      <w:r>
        <w:rPr>
          <w:rFonts w:hint="eastAsia"/>
        </w:rPr>
        <w:t>ためのデジタル窓口</w:t>
      </w:r>
      <w:r>
        <w:rPr>
          <w:rFonts w:hint="eastAsia"/>
        </w:rPr>
        <w:t>VUCE2.0</w:t>
      </w:r>
      <w:r>
        <w:rPr>
          <w:rFonts w:hint="eastAsia"/>
        </w:rPr>
        <w:t>導入を</w:t>
      </w:r>
      <w:r w:rsidR="003F1949">
        <w:rPr>
          <w:rFonts w:hint="eastAsia"/>
        </w:rPr>
        <w:t>予定</w:t>
      </w:r>
      <w:r w:rsidR="00A90A6A">
        <w:rPr>
          <w:rFonts w:hint="eastAsia"/>
        </w:rPr>
        <w:t>している</w:t>
      </w:r>
      <w:r>
        <w:rPr>
          <w:rFonts w:hint="eastAsia"/>
        </w:rPr>
        <w:t>。同システムにより、これまで</w:t>
      </w:r>
      <w:r w:rsidR="00D74D7F">
        <w:rPr>
          <w:rFonts w:hint="eastAsia"/>
        </w:rPr>
        <w:t>16</w:t>
      </w:r>
      <w:r w:rsidR="00D74D7F">
        <w:rPr>
          <w:rFonts w:hint="eastAsia"/>
        </w:rPr>
        <w:t>の関連機関</w:t>
      </w:r>
      <w:r>
        <w:rPr>
          <w:rFonts w:hint="eastAsia"/>
        </w:rPr>
        <w:t>で直接行われていた申請や登録</w:t>
      </w:r>
      <w:r w:rsidR="00FB24ED">
        <w:rPr>
          <w:rFonts w:hint="eastAsia"/>
        </w:rPr>
        <w:t>の</w:t>
      </w:r>
      <w:r>
        <w:rPr>
          <w:rFonts w:hint="eastAsia"/>
        </w:rPr>
        <w:t>手続きが</w:t>
      </w:r>
      <w:r w:rsidR="003F1949">
        <w:rPr>
          <w:rFonts w:hint="eastAsia"/>
        </w:rPr>
        <w:t>、デジタル窓口で</w:t>
      </w:r>
      <w:r w:rsidR="003F1949">
        <w:rPr>
          <w:rFonts w:hint="eastAsia"/>
        </w:rPr>
        <w:t>24</w:t>
      </w:r>
      <w:r w:rsidR="003F1949">
        <w:rPr>
          <w:rFonts w:hint="eastAsia"/>
        </w:rPr>
        <w:t>時間</w:t>
      </w:r>
      <w:r w:rsidR="003F1949">
        <w:rPr>
          <w:rFonts w:hint="eastAsia"/>
        </w:rPr>
        <w:t>365</w:t>
      </w:r>
      <w:r w:rsidR="003F1949">
        <w:rPr>
          <w:rFonts w:hint="eastAsia"/>
        </w:rPr>
        <w:t>日</w:t>
      </w:r>
      <w:r w:rsidR="00842E11">
        <w:rPr>
          <w:rFonts w:hint="eastAsia"/>
        </w:rPr>
        <w:t>可能になる</w:t>
      </w:r>
      <w:r>
        <w:rPr>
          <w:rFonts w:hint="eastAsia"/>
        </w:rPr>
        <w:t>。</w:t>
      </w:r>
      <w:r w:rsidR="003A45C8">
        <w:rPr>
          <w:rFonts w:hint="eastAsia"/>
        </w:rPr>
        <w:t>企業</w:t>
      </w:r>
      <w:r w:rsidR="000D2141">
        <w:rPr>
          <w:rFonts w:hint="eastAsia"/>
        </w:rPr>
        <w:t>は自社の管理システムを同システムに組み込むことや、自身が行った手続きの進行状況を確認できるようになる。</w:t>
      </w:r>
      <w:r w:rsidR="00FB24ED">
        <w:rPr>
          <w:rFonts w:hint="eastAsia"/>
        </w:rPr>
        <w:t>米国ジョージア・テクノロジー研究所による調べでは、</w:t>
      </w:r>
      <w:r w:rsidR="00540B9B">
        <w:rPr>
          <w:rFonts w:hint="eastAsia"/>
        </w:rPr>
        <w:t>VUCE2.0</w:t>
      </w:r>
      <w:r w:rsidR="00842E11">
        <w:rPr>
          <w:rFonts w:hint="eastAsia"/>
        </w:rPr>
        <w:t>導入</w:t>
      </w:r>
      <w:r w:rsidR="00540B9B">
        <w:rPr>
          <w:rFonts w:hint="eastAsia"/>
        </w:rPr>
        <w:t>によ</w:t>
      </w:r>
      <w:r w:rsidR="00842E11">
        <w:rPr>
          <w:rFonts w:hint="eastAsia"/>
        </w:rPr>
        <w:t>り、</w:t>
      </w:r>
      <w:r w:rsidR="00540B9B">
        <w:rPr>
          <w:rFonts w:hint="eastAsia"/>
        </w:rPr>
        <w:t>企業は数千万ドル単位で節約でき、</w:t>
      </w:r>
      <w:r w:rsidR="00FB24ED">
        <w:rPr>
          <w:rFonts w:hint="eastAsia"/>
        </w:rPr>
        <w:t>手続き作業に</w:t>
      </w:r>
      <w:r w:rsidR="00540B9B">
        <w:rPr>
          <w:rFonts w:hint="eastAsia"/>
        </w:rPr>
        <w:t>要していた労働時間も</w:t>
      </w:r>
      <w:r w:rsidR="00540B9B">
        <w:rPr>
          <w:rFonts w:hint="eastAsia"/>
        </w:rPr>
        <w:t>90</w:t>
      </w:r>
      <w:r w:rsidR="00540B9B">
        <w:rPr>
          <w:rFonts w:hint="eastAsia"/>
        </w:rPr>
        <w:t>％削減できる見込みである。</w:t>
      </w:r>
      <w:r w:rsidR="007D78F4">
        <w:rPr>
          <w:rFonts w:hint="eastAsia"/>
        </w:rPr>
        <w:t>同システムは将来的に税関管理情報技術</w:t>
      </w:r>
      <w:r w:rsidR="007D78F4">
        <w:rPr>
          <w:rFonts w:hint="eastAsia"/>
        </w:rPr>
        <w:t>(TICA)</w:t>
      </w:r>
      <w:r w:rsidR="007D78F4">
        <w:rPr>
          <w:rFonts w:hint="eastAsia"/>
        </w:rPr>
        <w:t>のシステムとも連動する予定となっている。</w:t>
      </w:r>
      <w:r w:rsidR="003F1949">
        <w:rPr>
          <w:rFonts w:hint="eastAsia"/>
        </w:rPr>
        <w:t xml:space="preserve"> </w:t>
      </w:r>
      <w:r w:rsidR="002B4C56">
        <w:rPr>
          <w:rFonts w:hint="eastAsia"/>
        </w:rPr>
        <w:t>(</w:t>
      </w:r>
      <w:r w:rsidR="002B4C56">
        <w:rPr>
          <w:rFonts w:hint="eastAsia"/>
        </w:rPr>
        <w:t>了</w:t>
      </w:r>
      <w:r w:rsidR="002B4C56">
        <w:rPr>
          <w:rFonts w:hint="eastAsia"/>
        </w:rPr>
        <w:t>)</w:t>
      </w:r>
    </w:p>
    <w:p w:rsidR="00DF043B" w:rsidRDefault="00DF043B" w:rsidP="00E73042"/>
    <w:p w:rsidR="00CE7887" w:rsidRDefault="00CE7887" w:rsidP="00E73042">
      <w:pPr>
        <w:rPr>
          <w:u w:val="single"/>
        </w:rPr>
      </w:pPr>
    </w:p>
    <w:sectPr w:rsidR="00CE7887" w:rsidSect="000038A2">
      <w:headerReference w:type="even" r:id="rId21"/>
      <w:headerReference w:type="default" r:id="rId22"/>
      <w:footerReference w:type="even" r:id="rId23"/>
      <w:footerReference w:type="default" r:id="rId24"/>
      <w:headerReference w:type="first" r:id="rId25"/>
      <w:footerReference w:type="first" r:id="rId2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A91" w:rsidRDefault="00DA6A91" w:rsidP="002118F4">
      <w:r>
        <w:separator/>
      </w:r>
    </w:p>
  </w:endnote>
  <w:endnote w:type="continuationSeparator" w:id="0">
    <w:p w:rsidR="00DA6A91" w:rsidRDefault="00DA6A91" w:rsidP="00211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59D" w:rsidRDefault="0083559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3461"/>
      <w:docPartObj>
        <w:docPartGallery w:val="Page Numbers (Bottom of Page)"/>
        <w:docPartUnique/>
      </w:docPartObj>
    </w:sdtPr>
    <w:sdtEndPr/>
    <w:sdtContent>
      <w:sdt>
        <w:sdtPr>
          <w:id w:val="46958533"/>
          <w:docPartObj>
            <w:docPartGallery w:val="Page Numbers (Top of Page)"/>
            <w:docPartUnique/>
          </w:docPartObj>
        </w:sdtPr>
        <w:sdtEndPr/>
        <w:sdtContent>
          <w:bookmarkStart w:id="0" w:name="_GoBack" w:displacedByCustomXml="prev"/>
          <w:bookmarkEnd w:id="0" w:displacedByCustomXml="prev"/>
          <w:p w:rsidR="00EE4FC3" w:rsidRDefault="00EE4FC3">
            <w:pPr>
              <w:pStyle w:val="a7"/>
              <w:jc w:val="right"/>
            </w:pPr>
            <w:r>
              <w:rPr>
                <w:lang w:val="ja-JP"/>
              </w:rPr>
              <w:t xml:space="preserve"> </w:t>
            </w:r>
            <w:r w:rsidR="008F3129">
              <w:rPr>
                <w:b/>
                <w:sz w:val="24"/>
                <w:szCs w:val="24"/>
              </w:rPr>
              <w:fldChar w:fldCharType="begin"/>
            </w:r>
            <w:r>
              <w:rPr>
                <w:b/>
              </w:rPr>
              <w:instrText>PAGE</w:instrText>
            </w:r>
            <w:r w:rsidR="008F3129">
              <w:rPr>
                <w:b/>
                <w:sz w:val="24"/>
                <w:szCs w:val="24"/>
              </w:rPr>
              <w:fldChar w:fldCharType="separate"/>
            </w:r>
            <w:r w:rsidR="0083559D">
              <w:rPr>
                <w:b/>
                <w:noProof/>
              </w:rPr>
              <w:t>10</w:t>
            </w:r>
            <w:r w:rsidR="008F3129">
              <w:rPr>
                <w:b/>
                <w:sz w:val="24"/>
                <w:szCs w:val="24"/>
              </w:rPr>
              <w:fldChar w:fldCharType="end"/>
            </w:r>
            <w:r>
              <w:rPr>
                <w:lang w:val="ja-JP"/>
              </w:rPr>
              <w:t xml:space="preserve"> / </w:t>
            </w:r>
            <w:r w:rsidR="008F3129">
              <w:rPr>
                <w:b/>
                <w:sz w:val="24"/>
                <w:szCs w:val="24"/>
              </w:rPr>
              <w:fldChar w:fldCharType="begin"/>
            </w:r>
            <w:r>
              <w:rPr>
                <w:b/>
              </w:rPr>
              <w:instrText>NUMPAGES</w:instrText>
            </w:r>
            <w:r w:rsidR="008F3129">
              <w:rPr>
                <w:b/>
                <w:sz w:val="24"/>
                <w:szCs w:val="24"/>
              </w:rPr>
              <w:fldChar w:fldCharType="separate"/>
            </w:r>
            <w:r w:rsidR="0083559D">
              <w:rPr>
                <w:b/>
                <w:noProof/>
              </w:rPr>
              <w:t>10</w:t>
            </w:r>
            <w:r w:rsidR="008F3129">
              <w:rPr>
                <w:b/>
                <w:sz w:val="24"/>
                <w:szCs w:val="24"/>
              </w:rPr>
              <w:fldChar w:fldCharType="end"/>
            </w:r>
          </w:p>
        </w:sdtContent>
      </w:sdt>
    </w:sdtContent>
  </w:sdt>
  <w:p w:rsidR="00EE4FC3" w:rsidRDefault="00EE4FC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59D" w:rsidRDefault="0083559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A91" w:rsidRDefault="00DA6A91" w:rsidP="002118F4">
      <w:r>
        <w:separator/>
      </w:r>
    </w:p>
  </w:footnote>
  <w:footnote w:type="continuationSeparator" w:id="0">
    <w:p w:rsidR="00DA6A91" w:rsidRDefault="00DA6A91" w:rsidP="002118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59D" w:rsidRDefault="0083559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59D" w:rsidRDefault="0083559D">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59D" w:rsidRDefault="0083559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430FB4"/>
    <w:multiLevelType w:val="hybridMultilevel"/>
    <w:tmpl w:val="51827C06"/>
    <w:lvl w:ilvl="0" w:tplc="69BEFEC4">
      <w:start w:val="1"/>
      <w:numFmt w:val="bullet"/>
      <w:lvlText w:val="●"/>
      <w:lvlJc w:val="left"/>
      <w:pPr>
        <w:ind w:left="360" w:hanging="360"/>
      </w:pPr>
      <w:rPr>
        <w:rFonts w:ascii="ＭＳ 明朝" w:eastAsia="ＭＳ 明朝" w:hAnsi="ＭＳ 明朝"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70397"/>
    <w:rsid w:val="000038A2"/>
    <w:rsid w:val="0000411E"/>
    <w:rsid w:val="0001557E"/>
    <w:rsid w:val="00015F35"/>
    <w:rsid w:val="00016B7C"/>
    <w:rsid w:val="00016EDD"/>
    <w:rsid w:val="0002491B"/>
    <w:rsid w:val="000330E4"/>
    <w:rsid w:val="00042645"/>
    <w:rsid w:val="000436B0"/>
    <w:rsid w:val="000471C0"/>
    <w:rsid w:val="00052303"/>
    <w:rsid w:val="00052CE3"/>
    <w:rsid w:val="00057CE3"/>
    <w:rsid w:val="00063345"/>
    <w:rsid w:val="00072B28"/>
    <w:rsid w:val="00075DC6"/>
    <w:rsid w:val="0008153E"/>
    <w:rsid w:val="00084973"/>
    <w:rsid w:val="0009484D"/>
    <w:rsid w:val="000A21E4"/>
    <w:rsid w:val="000A2CE2"/>
    <w:rsid w:val="000A3BBA"/>
    <w:rsid w:val="000B1948"/>
    <w:rsid w:val="000C0FFA"/>
    <w:rsid w:val="000C23A1"/>
    <w:rsid w:val="000C3EEF"/>
    <w:rsid w:val="000D2141"/>
    <w:rsid w:val="000D2F05"/>
    <w:rsid w:val="000E267A"/>
    <w:rsid w:val="000F0994"/>
    <w:rsid w:val="000F2ECF"/>
    <w:rsid w:val="00100022"/>
    <w:rsid w:val="00102E08"/>
    <w:rsid w:val="00111FB5"/>
    <w:rsid w:val="00116BE4"/>
    <w:rsid w:val="00124CBC"/>
    <w:rsid w:val="00130A37"/>
    <w:rsid w:val="0013185B"/>
    <w:rsid w:val="00133716"/>
    <w:rsid w:val="001361ED"/>
    <w:rsid w:val="00145446"/>
    <w:rsid w:val="001457F4"/>
    <w:rsid w:val="00150F9C"/>
    <w:rsid w:val="00152514"/>
    <w:rsid w:val="00166D12"/>
    <w:rsid w:val="00172E69"/>
    <w:rsid w:val="00174CEF"/>
    <w:rsid w:val="001852FD"/>
    <w:rsid w:val="001863C3"/>
    <w:rsid w:val="001A1FC1"/>
    <w:rsid w:val="001A23EC"/>
    <w:rsid w:val="001A60AB"/>
    <w:rsid w:val="001B2747"/>
    <w:rsid w:val="001B3594"/>
    <w:rsid w:val="001C37D4"/>
    <w:rsid w:val="001D1E58"/>
    <w:rsid w:val="001D2F0F"/>
    <w:rsid w:val="001D3D42"/>
    <w:rsid w:val="001D40B1"/>
    <w:rsid w:val="001D5FE7"/>
    <w:rsid w:val="001E0EA4"/>
    <w:rsid w:val="001E272C"/>
    <w:rsid w:val="001E7162"/>
    <w:rsid w:val="001F0D7E"/>
    <w:rsid w:val="001F1AA0"/>
    <w:rsid w:val="001F27FA"/>
    <w:rsid w:val="001F3076"/>
    <w:rsid w:val="001F4D5B"/>
    <w:rsid w:val="001F5EDB"/>
    <w:rsid w:val="00200118"/>
    <w:rsid w:val="00201697"/>
    <w:rsid w:val="002063CF"/>
    <w:rsid w:val="00207381"/>
    <w:rsid w:val="002118F4"/>
    <w:rsid w:val="0021229D"/>
    <w:rsid w:val="0022478C"/>
    <w:rsid w:val="00225F38"/>
    <w:rsid w:val="00231448"/>
    <w:rsid w:val="00232251"/>
    <w:rsid w:val="002335B0"/>
    <w:rsid w:val="00243DE4"/>
    <w:rsid w:val="002445EC"/>
    <w:rsid w:val="002468F0"/>
    <w:rsid w:val="0025293D"/>
    <w:rsid w:val="0025315E"/>
    <w:rsid w:val="00253E83"/>
    <w:rsid w:val="002546D9"/>
    <w:rsid w:val="0025793F"/>
    <w:rsid w:val="00261797"/>
    <w:rsid w:val="00262AEA"/>
    <w:rsid w:val="00266BED"/>
    <w:rsid w:val="00271C06"/>
    <w:rsid w:val="002740E1"/>
    <w:rsid w:val="002753ED"/>
    <w:rsid w:val="0027725C"/>
    <w:rsid w:val="002812AA"/>
    <w:rsid w:val="00293E7E"/>
    <w:rsid w:val="002A173A"/>
    <w:rsid w:val="002A234F"/>
    <w:rsid w:val="002A5473"/>
    <w:rsid w:val="002A7006"/>
    <w:rsid w:val="002B06F4"/>
    <w:rsid w:val="002B08A4"/>
    <w:rsid w:val="002B25B9"/>
    <w:rsid w:val="002B4C56"/>
    <w:rsid w:val="002D4B18"/>
    <w:rsid w:val="002D5E13"/>
    <w:rsid w:val="002E6879"/>
    <w:rsid w:val="002F24CC"/>
    <w:rsid w:val="002F6F0D"/>
    <w:rsid w:val="00300DC3"/>
    <w:rsid w:val="00302C59"/>
    <w:rsid w:val="0031492A"/>
    <w:rsid w:val="00322666"/>
    <w:rsid w:val="00322D18"/>
    <w:rsid w:val="00326940"/>
    <w:rsid w:val="00331296"/>
    <w:rsid w:val="00334600"/>
    <w:rsid w:val="00342E5B"/>
    <w:rsid w:val="0035474B"/>
    <w:rsid w:val="003564DE"/>
    <w:rsid w:val="00360362"/>
    <w:rsid w:val="00362E07"/>
    <w:rsid w:val="003662F9"/>
    <w:rsid w:val="003729AD"/>
    <w:rsid w:val="003731FE"/>
    <w:rsid w:val="00373720"/>
    <w:rsid w:val="0038271E"/>
    <w:rsid w:val="00384E5B"/>
    <w:rsid w:val="00386B62"/>
    <w:rsid w:val="0039496A"/>
    <w:rsid w:val="0039707C"/>
    <w:rsid w:val="003A2D76"/>
    <w:rsid w:val="003A45C8"/>
    <w:rsid w:val="003B3327"/>
    <w:rsid w:val="003B55AF"/>
    <w:rsid w:val="003B6D42"/>
    <w:rsid w:val="003B7B01"/>
    <w:rsid w:val="003C1481"/>
    <w:rsid w:val="003C3698"/>
    <w:rsid w:val="003C4602"/>
    <w:rsid w:val="003C5F2A"/>
    <w:rsid w:val="003E29D2"/>
    <w:rsid w:val="003E331D"/>
    <w:rsid w:val="003E695A"/>
    <w:rsid w:val="003F1949"/>
    <w:rsid w:val="003F208A"/>
    <w:rsid w:val="003F2E39"/>
    <w:rsid w:val="00405795"/>
    <w:rsid w:val="004115FA"/>
    <w:rsid w:val="00414F35"/>
    <w:rsid w:val="00415CD9"/>
    <w:rsid w:val="004267C3"/>
    <w:rsid w:val="00430239"/>
    <w:rsid w:val="00432866"/>
    <w:rsid w:val="00433B19"/>
    <w:rsid w:val="00444396"/>
    <w:rsid w:val="004464F1"/>
    <w:rsid w:val="00451B0E"/>
    <w:rsid w:val="00452DEE"/>
    <w:rsid w:val="00455DF2"/>
    <w:rsid w:val="00461C5E"/>
    <w:rsid w:val="00462287"/>
    <w:rsid w:val="004622FD"/>
    <w:rsid w:val="00465686"/>
    <w:rsid w:val="0046612C"/>
    <w:rsid w:val="00466373"/>
    <w:rsid w:val="00472602"/>
    <w:rsid w:val="0048127C"/>
    <w:rsid w:val="00481635"/>
    <w:rsid w:val="00487D85"/>
    <w:rsid w:val="0049649D"/>
    <w:rsid w:val="004B17AB"/>
    <w:rsid w:val="004B1C08"/>
    <w:rsid w:val="004C1CAB"/>
    <w:rsid w:val="004D6228"/>
    <w:rsid w:val="004E03E8"/>
    <w:rsid w:val="004E06D5"/>
    <w:rsid w:val="004E0947"/>
    <w:rsid w:val="004E270F"/>
    <w:rsid w:val="004F0230"/>
    <w:rsid w:val="004F0419"/>
    <w:rsid w:val="004F1F7E"/>
    <w:rsid w:val="00502438"/>
    <w:rsid w:val="00502788"/>
    <w:rsid w:val="005151FF"/>
    <w:rsid w:val="0052295B"/>
    <w:rsid w:val="00534524"/>
    <w:rsid w:val="00540B9B"/>
    <w:rsid w:val="0054151E"/>
    <w:rsid w:val="00554140"/>
    <w:rsid w:val="00566196"/>
    <w:rsid w:val="00567353"/>
    <w:rsid w:val="00571312"/>
    <w:rsid w:val="00572443"/>
    <w:rsid w:val="0057446F"/>
    <w:rsid w:val="00585BE2"/>
    <w:rsid w:val="00587FA4"/>
    <w:rsid w:val="00593A7F"/>
    <w:rsid w:val="00596641"/>
    <w:rsid w:val="005A0EBC"/>
    <w:rsid w:val="005B093F"/>
    <w:rsid w:val="005B3C1D"/>
    <w:rsid w:val="005B5014"/>
    <w:rsid w:val="005B7EF4"/>
    <w:rsid w:val="005C3F50"/>
    <w:rsid w:val="005D51D0"/>
    <w:rsid w:val="005D6BA1"/>
    <w:rsid w:val="005E11DE"/>
    <w:rsid w:val="005E5C8A"/>
    <w:rsid w:val="005F00F2"/>
    <w:rsid w:val="005F34CF"/>
    <w:rsid w:val="00600A9D"/>
    <w:rsid w:val="00601922"/>
    <w:rsid w:val="00606D79"/>
    <w:rsid w:val="00617B4A"/>
    <w:rsid w:val="006206F2"/>
    <w:rsid w:val="006215D5"/>
    <w:rsid w:val="00622165"/>
    <w:rsid w:val="00623C12"/>
    <w:rsid w:val="006537F6"/>
    <w:rsid w:val="00653DD1"/>
    <w:rsid w:val="0066563F"/>
    <w:rsid w:val="006671FD"/>
    <w:rsid w:val="00670E81"/>
    <w:rsid w:val="00674ECD"/>
    <w:rsid w:val="00676A5C"/>
    <w:rsid w:val="00684AD6"/>
    <w:rsid w:val="00685500"/>
    <w:rsid w:val="00695FB0"/>
    <w:rsid w:val="006963EC"/>
    <w:rsid w:val="006A3184"/>
    <w:rsid w:val="006C2403"/>
    <w:rsid w:val="006C293B"/>
    <w:rsid w:val="006C5FD6"/>
    <w:rsid w:val="006D24AE"/>
    <w:rsid w:val="006D4A9C"/>
    <w:rsid w:val="006D51B4"/>
    <w:rsid w:val="006E0FC5"/>
    <w:rsid w:val="006E424F"/>
    <w:rsid w:val="006E5F50"/>
    <w:rsid w:val="006F40B2"/>
    <w:rsid w:val="006F4B08"/>
    <w:rsid w:val="006F5695"/>
    <w:rsid w:val="006F63B9"/>
    <w:rsid w:val="00700873"/>
    <w:rsid w:val="007018A6"/>
    <w:rsid w:val="00704980"/>
    <w:rsid w:val="0071370C"/>
    <w:rsid w:val="00713843"/>
    <w:rsid w:val="00724490"/>
    <w:rsid w:val="00727E03"/>
    <w:rsid w:val="00730D33"/>
    <w:rsid w:val="007314BE"/>
    <w:rsid w:val="00731753"/>
    <w:rsid w:val="00735066"/>
    <w:rsid w:val="00735D23"/>
    <w:rsid w:val="007367B8"/>
    <w:rsid w:val="007377AF"/>
    <w:rsid w:val="00741740"/>
    <w:rsid w:val="007443BE"/>
    <w:rsid w:val="00746F9E"/>
    <w:rsid w:val="00756493"/>
    <w:rsid w:val="00762D3F"/>
    <w:rsid w:val="00763BA3"/>
    <w:rsid w:val="00765272"/>
    <w:rsid w:val="00765A71"/>
    <w:rsid w:val="00771941"/>
    <w:rsid w:val="00773D5C"/>
    <w:rsid w:val="00777283"/>
    <w:rsid w:val="00781346"/>
    <w:rsid w:val="007820C0"/>
    <w:rsid w:val="00784D2A"/>
    <w:rsid w:val="007872CF"/>
    <w:rsid w:val="00796030"/>
    <w:rsid w:val="007A0DE6"/>
    <w:rsid w:val="007A753A"/>
    <w:rsid w:val="007B0871"/>
    <w:rsid w:val="007B6C95"/>
    <w:rsid w:val="007B75A2"/>
    <w:rsid w:val="007C0487"/>
    <w:rsid w:val="007C09B0"/>
    <w:rsid w:val="007C25EA"/>
    <w:rsid w:val="007C6DF3"/>
    <w:rsid w:val="007D01A6"/>
    <w:rsid w:val="007D78F4"/>
    <w:rsid w:val="007E2F76"/>
    <w:rsid w:val="007E330F"/>
    <w:rsid w:val="007F1FA8"/>
    <w:rsid w:val="00803DF1"/>
    <w:rsid w:val="00805509"/>
    <w:rsid w:val="00805C02"/>
    <w:rsid w:val="00813BB5"/>
    <w:rsid w:val="00822E3E"/>
    <w:rsid w:val="0083559D"/>
    <w:rsid w:val="00835B1A"/>
    <w:rsid w:val="008405FD"/>
    <w:rsid w:val="00842832"/>
    <w:rsid w:val="00842E11"/>
    <w:rsid w:val="00851F51"/>
    <w:rsid w:val="008556BA"/>
    <w:rsid w:val="00856617"/>
    <w:rsid w:val="008735F1"/>
    <w:rsid w:val="008740AF"/>
    <w:rsid w:val="0088166D"/>
    <w:rsid w:val="00893107"/>
    <w:rsid w:val="00893556"/>
    <w:rsid w:val="00895F82"/>
    <w:rsid w:val="008A537E"/>
    <w:rsid w:val="008B2ECF"/>
    <w:rsid w:val="008B4C05"/>
    <w:rsid w:val="008C0E87"/>
    <w:rsid w:val="008D4CEA"/>
    <w:rsid w:val="008E4566"/>
    <w:rsid w:val="008E6657"/>
    <w:rsid w:val="008F3129"/>
    <w:rsid w:val="008F54AD"/>
    <w:rsid w:val="00900507"/>
    <w:rsid w:val="00900919"/>
    <w:rsid w:val="0090527B"/>
    <w:rsid w:val="00906BF4"/>
    <w:rsid w:val="00911B53"/>
    <w:rsid w:val="00913525"/>
    <w:rsid w:val="00914E3E"/>
    <w:rsid w:val="009155F8"/>
    <w:rsid w:val="009201AA"/>
    <w:rsid w:val="00925181"/>
    <w:rsid w:val="00930674"/>
    <w:rsid w:val="00930774"/>
    <w:rsid w:val="00930B28"/>
    <w:rsid w:val="00931762"/>
    <w:rsid w:val="00935D84"/>
    <w:rsid w:val="009360C3"/>
    <w:rsid w:val="009426A6"/>
    <w:rsid w:val="00942C0F"/>
    <w:rsid w:val="009430DC"/>
    <w:rsid w:val="009448A7"/>
    <w:rsid w:val="00953F9B"/>
    <w:rsid w:val="009548A2"/>
    <w:rsid w:val="00957BDC"/>
    <w:rsid w:val="009606F7"/>
    <w:rsid w:val="0096385A"/>
    <w:rsid w:val="009779CD"/>
    <w:rsid w:val="00983A94"/>
    <w:rsid w:val="00984F95"/>
    <w:rsid w:val="00990D8C"/>
    <w:rsid w:val="00990DAC"/>
    <w:rsid w:val="00991732"/>
    <w:rsid w:val="0099524E"/>
    <w:rsid w:val="00995858"/>
    <w:rsid w:val="009A2B4F"/>
    <w:rsid w:val="009B308D"/>
    <w:rsid w:val="009B31AF"/>
    <w:rsid w:val="009B6EFE"/>
    <w:rsid w:val="009B72E1"/>
    <w:rsid w:val="009C2C2B"/>
    <w:rsid w:val="009C4DE6"/>
    <w:rsid w:val="009E573D"/>
    <w:rsid w:val="009E6877"/>
    <w:rsid w:val="009F0323"/>
    <w:rsid w:val="009F1689"/>
    <w:rsid w:val="009F6B66"/>
    <w:rsid w:val="00A00AA4"/>
    <w:rsid w:val="00A018B9"/>
    <w:rsid w:val="00A028B5"/>
    <w:rsid w:val="00A0408D"/>
    <w:rsid w:val="00A05083"/>
    <w:rsid w:val="00A10FA5"/>
    <w:rsid w:val="00A114AC"/>
    <w:rsid w:val="00A14FFF"/>
    <w:rsid w:val="00A158B7"/>
    <w:rsid w:val="00A1735F"/>
    <w:rsid w:val="00A25C52"/>
    <w:rsid w:val="00A30171"/>
    <w:rsid w:val="00A41793"/>
    <w:rsid w:val="00A44AC6"/>
    <w:rsid w:val="00A50BB3"/>
    <w:rsid w:val="00A51FF1"/>
    <w:rsid w:val="00A561B8"/>
    <w:rsid w:val="00A567A2"/>
    <w:rsid w:val="00A6131E"/>
    <w:rsid w:val="00A73852"/>
    <w:rsid w:val="00A74E16"/>
    <w:rsid w:val="00A771A0"/>
    <w:rsid w:val="00A77365"/>
    <w:rsid w:val="00A83018"/>
    <w:rsid w:val="00A907D1"/>
    <w:rsid w:val="00A90A6A"/>
    <w:rsid w:val="00A966F6"/>
    <w:rsid w:val="00A96855"/>
    <w:rsid w:val="00AB2AED"/>
    <w:rsid w:val="00AB3386"/>
    <w:rsid w:val="00AB4D49"/>
    <w:rsid w:val="00AC177B"/>
    <w:rsid w:val="00AC2CCE"/>
    <w:rsid w:val="00AC3217"/>
    <w:rsid w:val="00AC4934"/>
    <w:rsid w:val="00AE215D"/>
    <w:rsid w:val="00AE55A1"/>
    <w:rsid w:val="00AF32FC"/>
    <w:rsid w:val="00AF5158"/>
    <w:rsid w:val="00B02F67"/>
    <w:rsid w:val="00B1781C"/>
    <w:rsid w:val="00B207F6"/>
    <w:rsid w:val="00B2220D"/>
    <w:rsid w:val="00B24B14"/>
    <w:rsid w:val="00B27986"/>
    <w:rsid w:val="00B35629"/>
    <w:rsid w:val="00B41F77"/>
    <w:rsid w:val="00B4264A"/>
    <w:rsid w:val="00B42FAC"/>
    <w:rsid w:val="00B516A7"/>
    <w:rsid w:val="00B53D99"/>
    <w:rsid w:val="00B7034E"/>
    <w:rsid w:val="00B70422"/>
    <w:rsid w:val="00B74489"/>
    <w:rsid w:val="00B7714E"/>
    <w:rsid w:val="00B83E30"/>
    <w:rsid w:val="00B86D63"/>
    <w:rsid w:val="00B908C1"/>
    <w:rsid w:val="00B96F7B"/>
    <w:rsid w:val="00BA4A8A"/>
    <w:rsid w:val="00BA4F2A"/>
    <w:rsid w:val="00BA5F94"/>
    <w:rsid w:val="00BB269A"/>
    <w:rsid w:val="00BB5E89"/>
    <w:rsid w:val="00BB6945"/>
    <w:rsid w:val="00BB7864"/>
    <w:rsid w:val="00BC15BC"/>
    <w:rsid w:val="00BD6E33"/>
    <w:rsid w:val="00BE07FB"/>
    <w:rsid w:val="00BF03D7"/>
    <w:rsid w:val="00BF04FD"/>
    <w:rsid w:val="00BF07F9"/>
    <w:rsid w:val="00BF1B1C"/>
    <w:rsid w:val="00BF673D"/>
    <w:rsid w:val="00C00226"/>
    <w:rsid w:val="00C0029B"/>
    <w:rsid w:val="00C03218"/>
    <w:rsid w:val="00C056FC"/>
    <w:rsid w:val="00C05796"/>
    <w:rsid w:val="00C05AF7"/>
    <w:rsid w:val="00C0732C"/>
    <w:rsid w:val="00C1044E"/>
    <w:rsid w:val="00C10C05"/>
    <w:rsid w:val="00C121F6"/>
    <w:rsid w:val="00C13338"/>
    <w:rsid w:val="00C204CB"/>
    <w:rsid w:val="00C20D70"/>
    <w:rsid w:val="00C27AB0"/>
    <w:rsid w:val="00C335E6"/>
    <w:rsid w:val="00C34504"/>
    <w:rsid w:val="00C44D81"/>
    <w:rsid w:val="00C467E6"/>
    <w:rsid w:val="00C5189B"/>
    <w:rsid w:val="00C673CA"/>
    <w:rsid w:val="00C70397"/>
    <w:rsid w:val="00C7266D"/>
    <w:rsid w:val="00C734FF"/>
    <w:rsid w:val="00C763F2"/>
    <w:rsid w:val="00C82D27"/>
    <w:rsid w:val="00C86CFE"/>
    <w:rsid w:val="00C92ECE"/>
    <w:rsid w:val="00C92ED5"/>
    <w:rsid w:val="00C95D52"/>
    <w:rsid w:val="00C96F4F"/>
    <w:rsid w:val="00C96FFC"/>
    <w:rsid w:val="00CA1571"/>
    <w:rsid w:val="00CA44AA"/>
    <w:rsid w:val="00CA5AB0"/>
    <w:rsid w:val="00CA6B77"/>
    <w:rsid w:val="00CA7845"/>
    <w:rsid w:val="00CB32B3"/>
    <w:rsid w:val="00CB3997"/>
    <w:rsid w:val="00CB70E5"/>
    <w:rsid w:val="00CD39AB"/>
    <w:rsid w:val="00CE314D"/>
    <w:rsid w:val="00CE50C5"/>
    <w:rsid w:val="00CE7887"/>
    <w:rsid w:val="00CF049A"/>
    <w:rsid w:val="00CF6951"/>
    <w:rsid w:val="00D01141"/>
    <w:rsid w:val="00D03AB9"/>
    <w:rsid w:val="00D041DF"/>
    <w:rsid w:val="00D13F4B"/>
    <w:rsid w:val="00D20696"/>
    <w:rsid w:val="00D2335A"/>
    <w:rsid w:val="00D278B8"/>
    <w:rsid w:val="00D331BC"/>
    <w:rsid w:val="00D4424A"/>
    <w:rsid w:val="00D44886"/>
    <w:rsid w:val="00D46A7F"/>
    <w:rsid w:val="00D47045"/>
    <w:rsid w:val="00D50498"/>
    <w:rsid w:val="00D54361"/>
    <w:rsid w:val="00D55CAB"/>
    <w:rsid w:val="00D57C92"/>
    <w:rsid w:val="00D6215C"/>
    <w:rsid w:val="00D66F8B"/>
    <w:rsid w:val="00D67D32"/>
    <w:rsid w:val="00D74D7F"/>
    <w:rsid w:val="00D76ACF"/>
    <w:rsid w:val="00D83510"/>
    <w:rsid w:val="00D84476"/>
    <w:rsid w:val="00D84DC5"/>
    <w:rsid w:val="00D9047A"/>
    <w:rsid w:val="00D94773"/>
    <w:rsid w:val="00D94F62"/>
    <w:rsid w:val="00D95DDD"/>
    <w:rsid w:val="00DA2E3C"/>
    <w:rsid w:val="00DA6A91"/>
    <w:rsid w:val="00DA7104"/>
    <w:rsid w:val="00DB1B81"/>
    <w:rsid w:val="00DB2752"/>
    <w:rsid w:val="00DB321B"/>
    <w:rsid w:val="00DB3BCD"/>
    <w:rsid w:val="00DC2D9F"/>
    <w:rsid w:val="00DC5106"/>
    <w:rsid w:val="00DD1484"/>
    <w:rsid w:val="00DD197D"/>
    <w:rsid w:val="00DD5CA7"/>
    <w:rsid w:val="00DD78DA"/>
    <w:rsid w:val="00DF043B"/>
    <w:rsid w:val="00DF44F9"/>
    <w:rsid w:val="00DF77E2"/>
    <w:rsid w:val="00E02C8C"/>
    <w:rsid w:val="00E04A07"/>
    <w:rsid w:val="00E04F59"/>
    <w:rsid w:val="00E05F5C"/>
    <w:rsid w:val="00E1107D"/>
    <w:rsid w:val="00E112EC"/>
    <w:rsid w:val="00E171FD"/>
    <w:rsid w:val="00E1795B"/>
    <w:rsid w:val="00E20A7F"/>
    <w:rsid w:val="00E2362C"/>
    <w:rsid w:val="00E23702"/>
    <w:rsid w:val="00E2570F"/>
    <w:rsid w:val="00E257B1"/>
    <w:rsid w:val="00E271C2"/>
    <w:rsid w:val="00E325DA"/>
    <w:rsid w:val="00E33ADB"/>
    <w:rsid w:val="00E35387"/>
    <w:rsid w:val="00E40292"/>
    <w:rsid w:val="00E40658"/>
    <w:rsid w:val="00E4179C"/>
    <w:rsid w:val="00E70DBC"/>
    <w:rsid w:val="00E72E5C"/>
    <w:rsid w:val="00E73042"/>
    <w:rsid w:val="00E75A5A"/>
    <w:rsid w:val="00E80783"/>
    <w:rsid w:val="00E825E1"/>
    <w:rsid w:val="00E83BD6"/>
    <w:rsid w:val="00E849D5"/>
    <w:rsid w:val="00E858EF"/>
    <w:rsid w:val="00E91617"/>
    <w:rsid w:val="00E92F17"/>
    <w:rsid w:val="00EA1370"/>
    <w:rsid w:val="00EA3C1A"/>
    <w:rsid w:val="00EA7E9D"/>
    <w:rsid w:val="00EB1B11"/>
    <w:rsid w:val="00EC46E2"/>
    <w:rsid w:val="00EC5736"/>
    <w:rsid w:val="00EC653E"/>
    <w:rsid w:val="00EC6F09"/>
    <w:rsid w:val="00ED002D"/>
    <w:rsid w:val="00ED0B4A"/>
    <w:rsid w:val="00ED18C6"/>
    <w:rsid w:val="00ED5E2C"/>
    <w:rsid w:val="00ED6600"/>
    <w:rsid w:val="00ED7B98"/>
    <w:rsid w:val="00EE3244"/>
    <w:rsid w:val="00EE47DB"/>
    <w:rsid w:val="00EE4FC3"/>
    <w:rsid w:val="00EE66A8"/>
    <w:rsid w:val="00EE7007"/>
    <w:rsid w:val="00EF401B"/>
    <w:rsid w:val="00EF5150"/>
    <w:rsid w:val="00EF5782"/>
    <w:rsid w:val="00F00399"/>
    <w:rsid w:val="00F06C08"/>
    <w:rsid w:val="00F12EEF"/>
    <w:rsid w:val="00F246CA"/>
    <w:rsid w:val="00F27B45"/>
    <w:rsid w:val="00F3324E"/>
    <w:rsid w:val="00F33C1B"/>
    <w:rsid w:val="00F342F6"/>
    <w:rsid w:val="00F35C5E"/>
    <w:rsid w:val="00F41B3D"/>
    <w:rsid w:val="00F508BE"/>
    <w:rsid w:val="00F52CF5"/>
    <w:rsid w:val="00F530FA"/>
    <w:rsid w:val="00F548FB"/>
    <w:rsid w:val="00F62E55"/>
    <w:rsid w:val="00F6476E"/>
    <w:rsid w:val="00F6689D"/>
    <w:rsid w:val="00F6716B"/>
    <w:rsid w:val="00F742FE"/>
    <w:rsid w:val="00F74FF4"/>
    <w:rsid w:val="00F8502F"/>
    <w:rsid w:val="00F859FE"/>
    <w:rsid w:val="00F92A4E"/>
    <w:rsid w:val="00F933B3"/>
    <w:rsid w:val="00F97951"/>
    <w:rsid w:val="00FA1967"/>
    <w:rsid w:val="00FA2DF7"/>
    <w:rsid w:val="00FA5B40"/>
    <w:rsid w:val="00FB1B53"/>
    <w:rsid w:val="00FB24ED"/>
    <w:rsid w:val="00FB4D32"/>
    <w:rsid w:val="00FB7F3B"/>
    <w:rsid w:val="00FC2B31"/>
    <w:rsid w:val="00FC4EEA"/>
    <w:rsid w:val="00FC5D08"/>
    <w:rsid w:val="00FC7E2B"/>
    <w:rsid w:val="00FD2973"/>
    <w:rsid w:val="00FD6F40"/>
    <w:rsid w:val="00FE51EC"/>
    <w:rsid w:val="00FF4866"/>
    <w:rsid w:val="00FF4E42"/>
    <w:rsid w:val="00FF5D04"/>
    <w:rsid w:val="00FF7E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D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039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70397"/>
    <w:rPr>
      <w:rFonts w:asciiTheme="majorHAnsi" w:eastAsiaTheme="majorEastAsia" w:hAnsiTheme="majorHAnsi" w:cstheme="majorBidi"/>
      <w:sz w:val="18"/>
      <w:szCs w:val="18"/>
    </w:rPr>
  </w:style>
  <w:style w:type="paragraph" w:styleId="a5">
    <w:name w:val="header"/>
    <w:basedOn w:val="a"/>
    <w:link w:val="a6"/>
    <w:uiPriority w:val="99"/>
    <w:unhideWhenUsed/>
    <w:rsid w:val="002118F4"/>
    <w:pPr>
      <w:tabs>
        <w:tab w:val="center" w:pos="4252"/>
        <w:tab w:val="right" w:pos="8504"/>
      </w:tabs>
      <w:snapToGrid w:val="0"/>
    </w:pPr>
  </w:style>
  <w:style w:type="character" w:customStyle="1" w:styleId="a6">
    <w:name w:val="ヘッダー (文字)"/>
    <w:basedOn w:val="a0"/>
    <w:link w:val="a5"/>
    <w:uiPriority w:val="99"/>
    <w:rsid w:val="002118F4"/>
  </w:style>
  <w:style w:type="paragraph" w:styleId="a7">
    <w:name w:val="footer"/>
    <w:basedOn w:val="a"/>
    <w:link w:val="a8"/>
    <w:uiPriority w:val="99"/>
    <w:unhideWhenUsed/>
    <w:rsid w:val="002118F4"/>
    <w:pPr>
      <w:tabs>
        <w:tab w:val="center" w:pos="4252"/>
        <w:tab w:val="right" w:pos="8504"/>
      </w:tabs>
      <w:snapToGrid w:val="0"/>
    </w:pPr>
  </w:style>
  <w:style w:type="character" w:customStyle="1" w:styleId="a8">
    <w:name w:val="フッター (文字)"/>
    <w:basedOn w:val="a0"/>
    <w:link w:val="a7"/>
    <w:uiPriority w:val="99"/>
    <w:rsid w:val="002118F4"/>
  </w:style>
  <w:style w:type="paragraph" w:styleId="a9">
    <w:name w:val="List Paragraph"/>
    <w:basedOn w:val="a"/>
    <w:uiPriority w:val="34"/>
    <w:qFormat/>
    <w:rsid w:val="00E73042"/>
    <w:pPr>
      <w:ind w:leftChars="400" w:left="840"/>
    </w:pPr>
  </w:style>
  <w:style w:type="paragraph" w:styleId="aa">
    <w:name w:val="footnote text"/>
    <w:basedOn w:val="a"/>
    <w:link w:val="ab"/>
    <w:uiPriority w:val="99"/>
    <w:semiHidden/>
    <w:unhideWhenUsed/>
    <w:rsid w:val="00207381"/>
    <w:pPr>
      <w:snapToGrid w:val="0"/>
      <w:jc w:val="left"/>
    </w:pPr>
  </w:style>
  <w:style w:type="character" w:customStyle="1" w:styleId="ab">
    <w:name w:val="脚注文字列 (文字)"/>
    <w:basedOn w:val="a0"/>
    <w:link w:val="aa"/>
    <w:uiPriority w:val="99"/>
    <w:semiHidden/>
    <w:rsid w:val="00207381"/>
  </w:style>
  <w:style w:type="character" w:styleId="ac">
    <w:name w:val="footnote reference"/>
    <w:basedOn w:val="a0"/>
    <w:uiPriority w:val="99"/>
    <w:semiHidden/>
    <w:unhideWhenUsed/>
    <w:rsid w:val="0020738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039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70397"/>
    <w:rPr>
      <w:rFonts w:asciiTheme="majorHAnsi" w:eastAsiaTheme="majorEastAsia" w:hAnsiTheme="majorHAnsi" w:cstheme="majorBidi"/>
      <w:sz w:val="18"/>
      <w:szCs w:val="18"/>
    </w:rPr>
  </w:style>
  <w:style w:type="paragraph" w:styleId="a5">
    <w:name w:val="header"/>
    <w:basedOn w:val="a"/>
    <w:link w:val="a6"/>
    <w:uiPriority w:val="99"/>
    <w:unhideWhenUsed/>
    <w:rsid w:val="002118F4"/>
    <w:pPr>
      <w:tabs>
        <w:tab w:val="center" w:pos="4252"/>
        <w:tab w:val="right" w:pos="8504"/>
      </w:tabs>
      <w:snapToGrid w:val="0"/>
    </w:pPr>
  </w:style>
  <w:style w:type="character" w:customStyle="1" w:styleId="a6">
    <w:name w:val="ヘッダー (文字)"/>
    <w:basedOn w:val="a0"/>
    <w:link w:val="a5"/>
    <w:uiPriority w:val="99"/>
    <w:rsid w:val="002118F4"/>
  </w:style>
  <w:style w:type="paragraph" w:styleId="a7">
    <w:name w:val="footer"/>
    <w:basedOn w:val="a"/>
    <w:link w:val="a8"/>
    <w:uiPriority w:val="99"/>
    <w:unhideWhenUsed/>
    <w:rsid w:val="002118F4"/>
    <w:pPr>
      <w:tabs>
        <w:tab w:val="center" w:pos="4252"/>
        <w:tab w:val="right" w:pos="8504"/>
      </w:tabs>
      <w:snapToGrid w:val="0"/>
    </w:pPr>
  </w:style>
  <w:style w:type="character" w:customStyle="1" w:styleId="a8">
    <w:name w:val="フッター (文字)"/>
    <w:basedOn w:val="a0"/>
    <w:link w:val="a7"/>
    <w:uiPriority w:val="99"/>
    <w:rsid w:val="002118F4"/>
  </w:style>
  <w:style w:type="paragraph" w:styleId="a9">
    <w:name w:val="List Paragraph"/>
    <w:basedOn w:val="a"/>
    <w:uiPriority w:val="34"/>
    <w:qFormat/>
    <w:rsid w:val="00E7304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J:\&#23450;&#26399;&#22577;&#21578;&#38306;&#36899;\2014&#24180;1&#26376;&#28858;&#26367;.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J:\&#37329;&#21033;&#38306;&#20418;.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J:\&#23450;&#26399;&#22577;&#21578;&#38306;&#36899;\&#36031;&#26131;&#25512;&#31227;(&#25104;&#38263;&#29575;).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ja-JP" altLang="en-US" sz="1050"/>
              <a:t>表</a:t>
            </a:r>
            <a:r>
              <a:rPr lang="en-US" altLang="ja-JP" sz="1050"/>
              <a:t>1</a:t>
            </a:r>
            <a:r>
              <a:rPr lang="ja-JP" altLang="en-US" sz="1050"/>
              <a:t>　活動指標前年同期成長率（月別推移）　</a:t>
            </a:r>
          </a:p>
        </c:rich>
      </c:tx>
      <c:layout/>
      <c:overlay val="0"/>
    </c:title>
    <c:autoTitleDeleted val="0"/>
    <c:plotArea>
      <c:layout>
        <c:manualLayout>
          <c:layoutTarget val="inner"/>
          <c:xMode val="edge"/>
          <c:yMode val="edge"/>
          <c:x val="0.15349689732492125"/>
          <c:y val="0.10160031291984831"/>
          <c:w val="0.61552059025550765"/>
          <c:h val="0.79370990468296732"/>
        </c:manualLayout>
      </c:layout>
      <c:barChart>
        <c:barDir val="col"/>
        <c:grouping val="clustered"/>
        <c:varyColors val="0"/>
        <c:ser>
          <c:idx val="12"/>
          <c:order val="12"/>
          <c:tx>
            <c:strRef>
              <c:f>'2014主要経済指標'!$B$16</c:f>
              <c:strCache>
                <c:ptCount val="1"/>
                <c:pt idx="0">
                  <c:v>全体</c:v>
                </c:pt>
              </c:strCache>
            </c:strRef>
          </c:tx>
          <c:invertIfNegative val="0"/>
          <c:dLbls>
            <c:dLbl>
              <c:idx val="2"/>
              <c:layout>
                <c:manualLayout>
                  <c:x val="0"/>
                  <c:y val="3.9603960396039611E-2"/>
                </c:manualLayout>
              </c:layout>
              <c:showLegendKey val="0"/>
              <c:showVal val="1"/>
              <c:showCatName val="0"/>
              <c:showSerName val="0"/>
              <c:showPercent val="0"/>
              <c:showBubbleSize val="0"/>
            </c:dLbl>
            <c:txPr>
              <a:bodyPr/>
              <a:lstStyle/>
              <a:p>
                <a:pPr>
                  <a:defRPr b="1"/>
                </a:pPr>
                <a:endParaRPr lang="ja-JP"/>
              </a:p>
            </c:txPr>
            <c:showLegendKey val="0"/>
            <c:showVal val="1"/>
            <c:showCatName val="0"/>
            <c:showSerName val="0"/>
            <c:showPercent val="0"/>
            <c:showBubbleSize val="0"/>
            <c:showLeaderLines val="0"/>
          </c:dLbls>
          <c:cat>
            <c:numRef>
              <c:f>'2014主要経済指標'!$C$3:$P$3</c:f>
              <c:numCache>
                <c:formatCode>yyyy"年"m"月";@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'2014主要経済指標'!$C$16:$P$16</c:f>
              <c:numCache>
                <c:formatCode>#,##0.00</c:formatCode>
                <c:ptCount val="14"/>
                <c:pt idx="0">
                  <c:v>2.2000000000000002</c:v>
                </c:pt>
                <c:pt idx="1">
                  <c:v>1.8</c:v>
                </c:pt>
                <c:pt idx="2">
                  <c:v>-1.1000000000000001</c:v>
                </c:pt>
                <c:pt idx="3">
                  <c:v>5.2</c:v>
                </c:pt>
                <c:pt idx="4">
                  <c:v>2.2999999999999998</c:v>
                </c:pt>
                <c:pt idx="5">
                  <c:v>3.8</c:v>
                </c:pt>
                <c:pt idx="6">
                  <c:v>4.9000000000000004</c:v>
                </c:pt>
                <c:pt idx="7">
                  <c:v>5.4</c:v>
                </c:pt>
                <c:pt idx="8">
                  <c:v>6.6</c:v>
                </c:pt>
                <c:pt idx="9">
                  <c:v>5.2</c:v>
                </c:pt>
                <c:pt idx="10">
                  <c:v>4.0999999999999996</c:v>
                </c:pt>
                <c:pt idx="11">
                  <c:v>2.8</c:v>
                </c:pt>
                <c:pt idx="12">
                  <c:v>2.4</c:v>
                </c:pt>
                <c:pt idx="13">
                  <c:v>4.0999999999999996</c:v>
                </c:pt>
              </c:numCache>
            </c:numRef>
          </c:val>
        </c:ser>
        <c:ser>
          <c:idx val="13"/>
          <c:order val="13"/>
          <c:tx>
            <c:strRef>
              <c:f>'2014主要経済指標'!$B$17</c:f>
              <c:strCache>
                <c:ptCount val="1"/>
                <c:pt idx="0">
                  <c:v>フリーゾーン除く</c:v>
                </c:pt>
              </c:strCache>
            </c:strRef>
          </c:tx>
          <c:invertIfNegative val="0"/>
          <c:cat>
            <c:numRef>
              <c:f>'2014主要経済指標'!$C$3:$P$3</c:f>
              <c:numCache>
                <c:formatCode>yyyy"年"m"月";@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'2014主要経済指標'!$C$17:$P$17</c:f>
              <c:numCache>
                <c:formatCode>General</c:formatCode>
                <c:ptCount val="14"/>
                <c:pt idx="0" formatCode="#,##0.00">
                  <c:v>3.1</c:v>
                </c:pt>
                <c:pt idx="1">
                  <c:v>2.84</c:v>
                </c:pt>
                <c:pt idx="2">
                  <c:v>2.8699999999999997</c:v>
                </c:pt>
                <c:pt idx="3">
                  <c:v>2.82</c:v>
                </c:pt>
                <c:pt idx="4">
                  <c:v>2.8099999999999987</c:v>
                </c:pt>
                <c:pt idx="5">
                  <c:v>2.82</c:v>
                </c:pt>
                <c:pt idx="6">
                  <c:v>2.84</c:v>
                </c:pt>
                <c:pt idx="7">
                  <c:v>2.9699999999999998</c:v>
                </c:pt>
                <c:pt idx="8">
                  <c:v>3.11</c:v>
                </c:pt>
                <c:pt idx="9">
                  <c:v>3.24</c:v>
                </c:pt>
                <c:pt idx="10">
                  <c:v>3.29</c:v>
                </c:pt>
                <c:pt idx="11">
                  <c:v>3.3099999999999987</c:v>
                </c:pt>
                <c:pt idx="12">
                  <c:v>3.4699999999999998</c:v>
                </c:pt>
                <c:pt idx="13">
                  <c:v>3.64</c:v>
                </c:pt>
              </c:numCache>
            </c:numRef>
          </c:val>
        </c:ser>
        <c:dLbls>
          <c:showLegendKey val="0"/>
          <c:showVal val="0"/>
          <c:showCatName val="0"/>
          <c:showSerName val="0"/>
          <c:showPercent val="0"/>
          <c:showBubbleSize val="0"/>
        </c:dLbls>
        <c:gapWidth val="150"/>
        <c:axId val="81010688"/>
        <c:axId val="81012224"/>
      </c:barChart>
      <c:lineChart>
        <c:grouping val="standard"/>
        <c:varyColors val="0"/>
        <c:ser>
          <c:idx val="0"/>
          <c:order val="0"/>
          <c:tx>
            <c:strRef>
              <c:f>'2014主要経済指標'!$B$4</c:f>
              <c:strCache>
                <c:ptCount val="1"/>
                <c:pt idx="0">
                  <c:v>農業・林業・漁業</c:v>
                </c:pt>
              </c:strCache>
            </c:strRef>
          </c:tx>
          <c:cat>
            <c:numRef>
              <c:f>'2014主要経済指標'!$C$3:$P$3</c:f>
              <c:numCache>
                <c:formatCode>yyyy"年"m"月";@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'2014主要経済指標'!$C$4:$P$4</c:f>
              <c:numCache>
                <c:formatCode>#,##0.00</c:formatCode>
                <c:ptCount val="14"/>
                <c:pt idx="0">
                  <c:v>1.80291932</c:v>
                </c:pt>
                <c:pt idx="1">
                  <c:v>1.2177890299999998</c:v>
                </c:pt>
                <c:pt idx="2">
                  <c:v>0.98651659999999697</c:v>
                </c:pt>
                <c:pt idx="3">
                  <c:v>0.98709139000000001</c:v>
                </c:pt>
                <c:pt idx="4">
                  <c:v>1.1130317199999973</c:v>
                </c:pt>
                <c:pt idx="5">
                  <c:v>1.1959395999999998</c:v>
                </c:pt>
                <c:pt idx="6">
                  <c:v>1.1646831700000029</c:v>
                </c:pt>
                <c:pt idx="7">
                  <c:v>1.12449267</c:v>
                </c:pt>
                <c:pt idx="8">
                  <c:v>1.2476043999999946</c:v>
                </c:pt>
                <c:pt idx="9">
                  <c:v>1.5137817299999998</c:v>
                </c:pt>
                <c:pt idx="10">
                  <c:v>1.7853645199999972</c:v>
                </c:pt>
                <c:pt idx="11">
                  <c:v>2.1066936899999997</c:v>
                </c:pt>
                <c:pt idx="12">
                  <c:v>2.4819696099999997</c:v>
                </c:pt>
                <c:pt idx="13">
                  <c:v>2.8149944499999999</c:v>
                </c:pt>
              </c:numCache>
            </c:numRef>
          </c:val>
          <c:smooth val="0"/>
        </c:ser>
        <c:ser>
          <c:idx val="1"/>
          <c:order val="1"/>
          <c:tx>
            <c:strRef>
              <c:f>'2014主要経済指標'!$B$5</c:f>
              <c:strCache>
                <c:ptCount val="1"/>
                <c:pt idx="0">
                  <c:v>製造業</c:v>
                </c:pt>
              </c:strCache>
            </c:strRef>
          </c:tx>
          <c:cat>
            <c:numRef>
              <c:f>'2014主要経済指標'!$C$3:$P$3</c:f>
              <c:numCache>
                <c:formatCode>yyyy"年"m"月";@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'2014主要経済指標'!$C$5:$P$5</c:f>
              <c:numCache>
                <c:formatCode>#,##0.00</c:formatCode>
                <c:ptCount val="14"/>
                <c:pt idx="0">
                  <c:v>0.93619227999999999</c:v>
                </c:pt>
                <c:pt idx="1">
                  <c:v>1.8352390000000003E-2</c:v>
                </c:pt>
                <c:pt idx="2">
                  <c:v>-0.36401484000000073</c:v>
                </c:pt>
                <c:pt idx="3">
                  <c:v>0.38518805000000073</c:v>
                </c:pt>
                <c:pt idx="4">
                  <c:v>2.3135946000000001</c:v>
                </c:pt>
                <c:pt idx="5">
                  <c:v>4.8450070900000002</c:v>
                </c:pt>
                <c:pt idx="6">
                  <c:v>7.0730007400000003</c:v>
                </c:pt>
                <c:pt idx="7">
                  <c:v>8.9674247900000008</c:v>
                </c:pt>
                <c:pt idx="8">
                  <c:v>9.8352540900000047</c:v>
                </c:pt>
                <c:pt idx="9">
                  <c:v>8.6790824400000002</c:v>
                </c:pt>
                <c:pt idx="10">
                  <c:v>5.6733458599999889</c:v>
                </c:pt>
                <c:pt idx="11">
                  <c:v>2.5276018900000001</c:v>
                </c:pt>
                <c:pt idx="12">
                  <c:v>1.1792112699999999</c:v>
                </c:pt>
                <c:pt idx="13">
                  <c:v>1.6626800700000026</c:v>
                </c:pt>
              </c:numCache>
            </c:numRef>
          </c:val>
          <c:smooth val="0"/>
        </c:ser>
        <c:ser>
          <c:idx val="2"/>
          <c:order val="2"/>
          <c:tx>
            <c:strRef>
              <c:f>'2014主要経済指標'!$B$6</c:f>
              <c:strCache>
                <c:ptCount val="1"/>
                <c:pt idx="0">
                  <c:v>鉱山</c:v>
                </c:pt>
              </c:strCache>
            </c:strRef>
          </c:tx>
          <c:cat>
            <c:numRef>
              <c:f>'2014主要経済指標'!$C$3:$P$3</c:f>
              <c:numCache>
                <c:formatCode>yyyy"年"m"月";@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'2014主要経済指標'!$C$6:$P$6</c:f>
              <c:numCache>
                <c:formatCode>#,##0.00</c:formatCode>
                <c:ptCount val="14"/>
                <c:pt idx="0">
                  <c:v>5.5978928199999869</c:v>
                </c:pt>
                <c:pt idx="1">
                  <c:v>5.1224236599999822</c:v>
                </c:pt>
                <c:pt idx="2">
                  <c:v>4.6343808199999783</c:v>
                </c:pt>
                <c:pt idx="3">
                  <c:v>4.1550418799999802</c:v>
                </c:pt>
                <c:pt idx="4">
                  <c:v>3.6771475800000002</c:v>
                </c:pt>
                <c:pt idx="5">
                  <c:v>3.2489339200000011</c:v>
                </c:pt>
                <c:pt idx="6">
                  <c:v>2.8976790999999977</c:v>
                </c:pt>
                <c:pt idx="7">
                  <c:v>2.6198042999999998</c:v>
                </c:pt>
                <c:pt idx="8">
                  <c:v>2.4125692699999997</c:v>
                </c:pt>
                <c:pt idx="9">
                  <c:v>2.2719082299999998</c:v>
                </c:pt>
                <c:pt idx="10">
                  <c:v>2.1954193299999987</c:v>
                </c:pt>
                <c:pt idx="11">
                  <c:v>2.1770703999999999</c:v>
                </c:pt>
                <c:pt idx="12">
                  <c:v>2.2286119200000001</c:v>
                </c:pt>
                <c:pt idx="13">
                  <c:v>2.3338722999999977</c:v>
                </c:pt>
              </c:numCache>
            </c:numRef>
          </c:val>
          <c:smooth val="0"/>
        </c:ser>
        <c:ser>
          <c:idx val="3"/>
          <c:order val="3"/>
          <c:tx>
            <c:strRef>
              <c:f>'2014主要経済指標'!$B$7</c:f>
              <c:strCache>
                <c:ptCount val="1"/>
                <c:pt idx="0">
                  <c:v>電気・水道</c:v>
                </c:pt>
              </c:strCache>
            </c:strRef>
          </c:tx>
          <c:cat>
            <c:numRef>
              <c:f>'2014主要経済指標'!$C$3:$P$3</c:f>
              <c:numCache>
                <c:formatCode>yyyy"年"m"月";@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'2014主要経済指標'!$C$7:$P$7</c:f>
              <c:numCache>
                <c:formatCode>#,##0.00</c:formatCode>
                <c:ptCount val="14"/>
                <c:pt idx="0">
                  <c:v>2.8649103</c:v>
                </c:pt>
                <c:pt idx="1">
                  <c:v>1.81050898</c:v>
                </c:pt>
                <c:pt idx="2">
                  <c:v>1.0253545999999998</c:v>
                </c:pt>
                <c:pt idx="3">
                  <c:v>0.93129566000000064</c:v>
                </c:pt>
                <c:pt idx="4">
                  <c:v>0.98048255999999756</c:v>
                </c:pt>
                <c:pt idx="5">
                  <c:v>1.0323598899999999</c:v>
                </c:pt>
                <c:pt idx="6">
                  <c:v>1.1670552700000001</c:v>
                </c:pt>
                <c:pt idx="7">
                  <c:v>0.96182495999999995</c:v>
                </c:pt>
                <c:pt idx="8">
                  <c:v>0.64143121000000181</c:v>
                </c:pt>
                <c:pt idx="9">
                  <c:v>0.47237819000000097</c:v>
                </c:pt>
                <c:pt idx="10">
                  <c:v>0.38174620000000031</c:v>
                </c:pt>
                <c:pt idx="11">
                  <c:v>0.20997350000000001</c:v>
                </c:pt>
                <c:pt idx="12">
                  <c:v>0.1014494</c:v>
                </c:pt>
                <c:pt idx="13">
                  <c:v>0.42196815000000032</c:v>
                </c:pt>
              </c:numCache>
            </c:numRef>
          </c:val>
          <c:smooth val="0"/>
        </c:ser>
        <c:ser>
          <c:idx val="4"/>
          <c:order val="4"/>
          <c:tx>
            <c:strRef>
              <c:f>'2014主要経済指標'!$B$8</c:f>
              <c:strCache>
                <c:ptCount val="1"/>
                <c:pt idx="0">
                  <c:v>建設</c:v>
                </c:pt>
              </c:strCache>
            </c:strRef>
          </c:tx>
          <c:cat>
            <c:numRef>
              <c:f>'2014主要経済指標'!$C$3:$P$3</c:f>
              <c:numCache>
                <c:formatCode>yyyy"年"m"月";@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'2014主要経済指標'!$C$8:$P$8</c:f>
              <c:numCache>
                <c:formatCode>#,##0.00</c:formatCode>
                <c:ptCount val="14"/>
                <c:pt idx="0">
                  <c:v>4.2731571400000004</c:v>
                </c:pt>
                <c:pt idx="1">
                  <c:v>3.9812741799999998</c:v>
                </c:pt>
                <c:pt idx="2">
                  <c:v>3.4215652599999999</c:v>
                </c:pt>
                <c:pt idx="3">
                  <c:v>2.7485334800000012</c:v>
                </c:pt>
                <c:pt idx="4">
                  <c:v>2.4304117999999999</c:v>
                </c:pt>
                <c:pt idx="5">
                  <c:v>2.2572962200000002</c:v>
                </c:pt>
                <c:pt idx="6">
                  <c:v>1.9691964399999997</c:v>
                </c:pt>
                <c:pt idx="7">
                  <c:v>1.7335058200000002</c:v>
                </c:pt>
                <c:pt idx="8">
                  <c:v>1.5309862099999998</c:v>
                </c:pt>
                <c:pt idx="9">
                  <c:v>1.40801547</c:v>
                </c:pt>
                <c:pt idx="10">
                  <c:v>1.4872761499999998</c:v>
                </c:pt>
                <c:pt idx="11">
                  <c:v>2.0723916600000001</c:v>
                </c:pt>
                <c:pt idx="12">
                  <c:v>3.1778717500000058</c:v>
                </c:pt>
                <c:pt idx="13">
                  <c:v>3.9741869199999997</c:v>
                </c:pt>
              </c:numCache>
            </c:numRef>
          </c:val>
          <c:smooth val="0"/>
        </c:ser>
        <c:ser>
          <c:idx val="5"/>
          <c:order val="5"/>
          <c:tx>
            <c:strRef>
              <c:f>'2014主要経済指標'!$B$9</c:f>
              <c:strCache>
                <c:ptCount val="1"/>
                <c:pt idx="0">
                  <c:v>商業</c:v>
                </c:pt>
              </c:strCache>
            </c:strRef>
          </c:tx>
          <c:cat>
            <c:numRef>
              <c:f>'2014主要経済指標'!$C$3:$P$3</c:f>
              <c:numCache>
                <c:formatCode>yyyy"年"m"月";@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'2014主要経済指標'!$C$9:$P$9</c:f>
              <c:numCache>
                <c:formatCode>#,##0.00</c:formatCode>
                <c:ptCount val="14"/>
                <c:pt idx="0">
                  <c:v>3.9407733899999999</c:v>
                </c:pt>
                <c:pt idx="1">
                  <c:v>3.8960038899999967</c:v>
                </c:pt>
                <c:pt idx="2">
                  <c:v>3.8545325199999998</c:v>
                </c:pt>
                <c:pt idx="3">
                  <c:v>3.7650147900000053</c:v>
                </c:pt>
                <c:pt idx="4">
                  <c:v>3.7209981700000001</c:v>
                </c:pt>
                <c:pt idx="5">
                  <c:v>3.6920794099999967</c:v>
                </c:pt>
                <c:pt idx="6">
                  <c:v>3.6160001499999987</c:v>
                </c:pt>
                <c:pt idx="7">
                  <c:v>3.5148846799999998</c:v>
                </c:pt>
                <c:pt idx="8">
                  <c:v>3.4392336299999977</c:v>
                </c:pt>
                <c:pt idx="9">
                  <c:v>3.4388704599999977</c:v>
                </c:pt>
                <c:pt idx="10">
                  <c:v>3.4553712500000002</c:v>
                </c:pt>
                <c:pt idx="11">
                  <c:v>3.4680472500000001</c:v>
                </c:pt>
                <c:pt idx="12">
                  <c:v>3.5273790100000002</c:v>
                </c:pt>
                <c:pt idx="13">
                  <c:v>3.5785578999999998</c:v>
                </c:pt>
              </c:numCache>
            </c:numRef>
          </c:val>
          <c:smooth val="0"/>
        </c:ser>
        <c:ser>
          <c:idx val="6"/>
          <c:order val="6"/>
          <c:tx>
            <c:strRef>
              <c:f>'2014主要経済指標'!$B$10</c:f>
              <c:strCache>
                <c:ptCount val="1"/>
                <c:pt idx="0">
                  <c:v>ホテル</c:v>
                </c:pt>
              </c:strCache>
            </c:strRef>
          </c:tx>
          <c:cat>
            <c:numRef>
              <c:f>'2014主要経済指標'!$C$3:$P$3</c:f>
              <c:numCache>
                <c:formatCode>yyyy"年"m"月";@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'2014主要経済指標'!$C$10:$P$10</c:f>
              <c:numCache>
                <c:formatCode>#,##0.00</c:formatCode>
                <c:ptCount val="14"/>
                <c:pt idx="0">
                  <c:v>3.4532646799999998</c:v>
                </c:pt>
                <c:pt idx="1">
                  <c:v>3.4078352299999999</c:v>
                </c:pt>
                <c:pt idx="2">
                  <c:v>3.4043601099999998</c:v>
                </c:pt>
                <c:pt idx="3">
                  <c:v>3.3928335399999967</c:v>
                </c:pt>
                <c:pt idx="4">
                  <c:v>3.4544182799999987</c:v>
                </c:pt>
                <c:pt idx="5">
                  <c:v>3.5167005699999998</c:v>
                </c:pt>
                <c:pt idx="6">
                  <c:v>3.63146185</c:v>
                </c:pt>
                <c:pt idx="7">
                  <c:v>3.7873128500000073</c:v>
                </c:pt>
                <c:pt idx="8">
                  <c:v>3.9767815799999999</c:v>
                </c:pt>
                <c:pt idx="9">
                  <c:v>4.2027783599999955</c:v>
                </c:pt>
                <c:pt idx="10">
                  <c:v>4.4438890999999998</c:v>
                </c:pt>
                <c:pt idx="11">
                  <c:v>4.6953941099999881</c:v>
                </c:pt>
                <c:pt idx="12">
                  <c:v>4.9286439000000106</c:v>
                </c:pt>
                <c:pt idx="13">
                  <c:v>5.1500991000000003</c:v>
                </c:pt>
              </c:numCache>
            </c:numRef>
          </c:val>
          <c:smooth val="0"/>
        </c:ser>
        <c:ser>
          <c:idx val="7"/>
          <c:order val="7"/>
          <c:tx>
            <c:strRef>
              <c:f>'2014主要経済指標'!$B$11</c:f>
              <c:strCache>
                <c:ptCount val="1"/>
                <c:pt idx="0">
                  <c:v>運輸・倉庫・通信</c:v>
                </c:pt>
              </c:strCache>
            </c:strRef>
          </c:tx>
          <c:cat>
            <c:numRef>
              <c:f>'2014主要経済指標'!$C$3:$P$3</c:f>
              <c:numCache>
                <c:formatCode>yyyy"年"m"月";@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'2014主要経済指標'!$C$11:$P$11</c:f>
              <c:numCache>
                <c:formatCode>#,##0.00</c:formatCode>
                <c:ptCount val="14"/>
                <c:pt idx="0">
                  <c:v>1.277034499999997</c:v>
                </c:pt>
                <c:pt idx="1">
                  <c:v>1.594494399999997</c:v>
                </c:pt>
                <c:pt idx="2">
                  <c:v>2.1521680799999987</c:v>
                </c:pt>
                <c:pt idx="3">
                  <c:v>2.5264989999999967</c:v>
                </c:pt>
                <c:pt idx="4">
                  <c:v>2.8506607799999997</c:v>
                </c:pt>
                <c:pt idx="5">
                  <c:v>3.2461377500000106</c:v>
                </c:pt>
                <c:pt idx="6">
                  <c:v>3.7434142400000092</c:v>
                </c:pt>
                <c:pt idx="7">
                  <c:v>4.428311049999988</c:v>
                </c:pt>
                <c:pt idx="8">
                  <c:v>5.096139969999987</c:v>
                </c:pt>
                <c:pt idx="9">
                  <c:v>5.904175949999984</c:v>
                </c:pt>
                <c:pt idx="10">
                  <c:v>6.9872700099999996</c:v>
                </c:pt>
                <c:pt idx="11">
                  <c:v>7.8380806599999859</c:v>
                </c:pt>
                <c:pt idx="12">
                  <c:v>8.2833952500000017</c:v>
                </c:pt>
                <c:pt idx="13">
                  <c:v>8.4210047200000009</c:v>
                </c:pt>
              </c:numCache>
            </c:numRef>
          </c:val>
          <c:smooth val="0"/>
        </c:ser>
        <c:ser>
          <c:idx val="8"/>
          <c:order val="8"/>
          <c:tx>
            <c:strRef>
              <c:f>'2014主要経済指標'!$B$12</c:f>
              <c:strCache>
                <c:ptCount val="1"/>
                <c:pt idx="0">
                  <c:v>金融・保険</c:v>
                </c:pt>
              </c:strCache>
            </c:strRef>
          </c:tx>
          <c:cat>
            <c:numRef>
              <c:f>'2014主要経済指標'!$C$3:$P$3</c:f>
              <c:numCache>
                <c:formatCode>yyyy"年"m"月";@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'2014主要経済指標'!$C$12:$P$12</c:f>
              <c:numCache>
                <c:formatCode>#,##0.00</c:formatCode>
                <c:ptCount val="14"/>
                <c:pt idx="0">
                  <c:v>6.9215049899999945</c:v>
                </c:pt>
                <c:pt idx="1">
                  <c:v>6.7760987699999999</c:v>
                </c:pt>
                <c:pt idx="2">
                  <c:v>6.9496160099999997</c:v>
                </c:pt>
                <c:pt idx="3">
                  <c:v>7.4260456399999955</c:v>
                </c:pt>
                <c:pt idx="4">
                  <c:v>7.661064509999985</c:v>
                </c:pt>
                <c:pt idx="5">
                  <c:v>7.6253978899999888</c:v>
                </c:pt>
                <c:pt idx="6">
                  <c:v>7.6113546699999821</c:v>
                </c:pt>
                <c:pt idx="7">
                  <c:v>7.7398746300000001</c:v>
                </c:pt>
                <c:pt idx="8">
                  <c:v>7.9322119400000002</c:v>
                </c:pt>
                <c:pt idx="9">
                  <c:v>8.1529918500000047</c:v>
                </c:pt>
                <c:pt idx="10">
                  <c:v>8.3981080200000005</c:v>
                </c:pt>
                <c:pt idx="11">
                  <c:v>8.5685877500000007</c:v>
                </c:pt>
                <c:pt idx="12">
                  <c:v>8.8773296899999998</c:v>
                </c:pt>
                <c:pt idx="13">
                  <c:v>9.3070016900000017</c:v>
                </c:pt>
              </c:numCache>
            </c:numRef>
          </c:val>
          <c:smooth val="0"/>
        </c:ser>
        <c:ser>
          <c:idx val="9"/>
          <c:order val="9"/>
          <c:tx>
            <c:strRef>
              <c:f>'2014主要経済指標'!$B$13</c:f>
              <c:strCache>
                <c:ptCount val="1"/>
                <c:pt idx="0">
                  <c:v>企業向けサービス</c:v>
                </c:pt>
              </c:strCache>
            </c:strRef>
          </c:tx>
          <c:cat>
            <c:numRef>
              <c:f>'2014主要経済指標'!$C$3:$P$3</c:f>
              <c:numCache>
                <c:formatCode>yyyy"年"m"月";@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'2014主要経済指標'!$C$13:$P$13</c:f>
              <c:numCache>
                <c:formatCode>#,##0.00</c:formatCode>
                <c:ptCount val="14"/>
                <c:pt idx="0">
                  <c:v>6.12167174</c:v>
                </c:pt>
                <c:pt idx="1">
                  <c:v>5.3004398399999859</c:v>
                </c:pt>
                <c:pt idx="2">
                  <c:v>5.253806359999988</c:v>
                </c:pt>
                <c:pt idx="3">
                  <c:v>5.629376229999985</c:v>
                </c:pt>
                <c:pt idx="4">
                  <c:v>5.7233291199999998</c:v>
                </c:pt>
                <c:pt idx="5">
                  <c:v>5.2556852599999822</c:v>
                </c:pt>
                <c:pt idx="6">
                  <c:v>4.7966163599999945</c:v>
                </c:pt>
                <c:pt idx="7">
                  <c:v>4.9567435900000127</c:v>
                </c:pt>
                <c:pt idx="8">
                  <c:v>5.4328174100000002</c:v>
                </c:pt>
                <c:pt idx="9">
                  <c:v>5.4706990700000118</c:v>
                </c:pt>
                <c:pt idx="10">
                  <c:v>5.3005130999999945</c:v>
                </c:pt>
                <c:pt idx="11">
                  <c:v>5.6014167699999859</c:v>
                </c:pt>
                <c:pt idx="12">
                  <c:v>6.1150980299999889</c:v>
                </c:pt>
                <c:pt idx="13">
                  <c:v>6.3837611000000116</c:v>
                </c:pt>
              </c:numCache>
            </c:numRef>
          </c:val>
          <c:smooth val="0"/>
        </c:ser>
        <c:ser>
          <c:idx val="10"/>
          <c:order val="10"/>
          <c:tx>
            <c:strRef>
              <c:f>'2014主要経済指標'!$B$14</c:f>
              <c:strCache>
                <c:ptCount val="1"/>
                <c:pt idx="0">
                  <c:v>金融仲介サービス</c:v>
                </c:pt>
              </c:strCache>
            </c:strRef>
          </c:tx>
          <c:cat>
            <c:numRef>
              <c:f>'2014主要経済指標'!$C$3:$P$3</c:f>
              <c:numCache>
                <c:formatCode>yyyy"年"m"月";@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'2014主要経済指標'!$C$14:$P$14</c:f>
              <c:numCache>
                <c:formatCode>#,##0.00</c:formatCode>
                <c:ptCount val="14"/>
                <c:pt idx="0">
                  <c:v>8.9168288800000006</c:v>
                </c:pt>
                <c:pt idx="1">
                  <c:v>8.7725056500000047</c:v>
                </c:pt>
                <c:pt idx="2">
                  <c:v>8.9064527200000008</c:v>
                </c:pt>
                <c:pt idx="3">
                  <c:v>9.6865048300000254</c:v>
                </c:pt>
                <c:pt idx="4">
                  <c:v>10.879814520000025</c:v>
                </c:pt>
                <c:pt idx="5">
                  <c:v>10.995967570000021</c:v>
                </c:pt>
                <c:pt idx="6">
                  <c:v>10.28755376</c:v>
                </c:pt>
                <c:pt idx="7">
                  <c:v>10.021398339999999</c:v>
                </c:pt>
                <c:pt idx="8">
                  <c:v>10.009644560000025</c:v>
                </c:pt>
                <c:pt idx="9">
                  <c:v>10.698368659999995</c:v>
                </c:pt>
                <c:pt idx="10">
                  <c:v>11.657027600000001</c:v>
                </c:pt>
                <c:pt idx="11">
                  <c:v>11.4869238</c:v>
                </c:pt>
                <c:pt idx="12">
                  <c:v>11.28531368</c:v>
                </c:pt>
                <c:pt idx="13">
                  <c:v>11.928824199999999</c:v>
                </c:pt>
              </c:numCache>
            </c:numRef>
          </c:val>
          <c:smooth val="0"/>
        </c:ser>
        <c:ser>
          <c:idx val="11"/>
          <c:order val="11"/>
          <c:tx>
            <c:strRef>
              <c:f>'2014主要経済指標'!$B$15</c:f>
              <c:strCache>
                <c:ptCount val="1"/>
                <c:pt idx="0">
                  <c:v>その他</c:v>
                </c:pt>
              </c:strCache>
            </c:strRef>
          </c:tx>
          <c:cat>
            <c:numRef>
              <c:f>'2014主要経済指標'!$C$3:$P$3</c:f>
              <c:numCache>
                <c:formatCode>yyyy"年"m"月";@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'2014主要経済指標'!$C$15:$P$15</c:f>
              <c:numCache>
                <c:formatCode>#,##0.00</c:formatCode>
                <c:ptCount val="14"/>
                <c:pt idx="0">
                  <c:v>3.1254879299999998</c:v>
                </c:pt>
                <c:pt idx="1">
                  <c:v>3.2338965700000002</c:v>
                </c:pt>
                <c:pt idx="2">
                  <c:v>3.2614659299999977</c:v>
                </c:pt>
                <c:pt idx="3">
                  <c:v>3.29906655</c:v>
                </c:pt>
                <c:pt idx="4">
                  <c:v>3.32917358</c:v>
                </c:pt>
                <c:pt idx="5">
                  <c:v>3.3418603899999977</c:v>
                </c:pt>
                <c:pt idx="6">
                  <c:v>3.3428055599999977</c:v>
                </c:pt>
                <c:pt idx="7">
                  <c:v>3.3490245299999999</c:v>
                </c:pt>
                <c:pt idx="8">
                  <c:v>3.3473301900000001</c:v>
                </c:pt>
                <c:pt idx="9">
                  <c:v>3.3244095499999999</c:v>
                </c:pt>
                <c:pt idx="10">
                  <c:v>3.3087315400000064</c:v>
                </c:pt>
                <c:pt idx="11">
                  <c:v>3.3134965999999997</c:v>
                </c:pt>
                <c:pt idx="12">
                  <c:v>3.3252354999999967</c:v>
                </c:pt>
                <c:pt idx="13">
                  <c:v>3.3308061399999929</c:v>
                </c:pt>
              </c:numCache>
            </c:numRef>
          </c:val>
          <c:smooth val="0"/>
        </c:ser>
        <c:dLbls>
          <c:showLegendKey val="0"/>
          <c:showVal val="0"/>
          <c:showCatName val="0"/>
          <c:showSerName val="0"/>
          <c:showPercent val="0"/>
          <c:showBubbleSize val="0"/>
        </c:dLbls>
        <c:marker val="1"/>
        <c:smooth val="0"/>
        <c:axId val="81010688"/>
        <c:axId val="81012224"/>
      </c:lineChart>
      <c:dateAx>
        <c:axId val="81010688"/>
        <c:scaling>
          <c:orientation val="minMax"/>
        </c:scaling>
        <c:delete val="0"/>
        <c:axPos val="b"/>
        <c:numFmt formatCode="yyyy&quot;年&quot;m&quot;月&quot;;@" sourceLinked="1"/>
        <c:majorTickMark val="none"/>
        <c:minorTickMark val="none"/>
        <c:tickLblPos val="low"/>
        <c:txPr>
          <a:bodyPr/>
          <a:lstStyle/>
          <a:p>
            <a:pPr>
              <a:defRPr sz="800"/>
            </a:pPr>
            <a:endParaRPr lang="ja-JP"/>
          </a:p>
        </c:txPr>
        <c:crossAx val="81012224"/>
        <c:crosses val="autoZero"/>
        <c:auto val="1"/>
        <c:lblOffset val="100"/>
        <c:baseTimeUnit val="months"/>
      </c:dateAx>
      <c:valAx>
        <c:axId val="81012224"/>
        <c:scaling>
          <c:orientation val="minMax"/>
          <c:min val="-2"/>
        </c:scaling>
        <c:delete val="0"/>
        <c:axPos val="l"/>
        <c:majorGridlines/>
        <c:title>
          <c:tx>
            <c:rich>
              <a:bodyPr rot="0" vert="horz"/>
              <a:lstStyle/>
              <a:p>
                <a:pPr>
                  <a:defRPr sz="900" b="0"/>
                </a:pPr>
                <a:r>
                  <a:rPr lang="en-US" altLang="ja-JP" sz="900" b="0"/>
                  <a:t>(</a:t>
                </a:r>
                <a:r>
                  <a:rPr lang="ja-JP" altLang="en-US" sz="900" b="0"/>
                  <a:t>％</a:t>
                </a:r>
                <a:r>
                  <a:rPr lang="en-US" altLang="ja-JP" sz="900" b="0"/>
                  <a:t>)</a:t>
                </a:r>
                <a:endParaRPr lang="ja-JP" altLang="en-US" sz="900" b="0"/>
              </a:p>
            </c:rich>
          </c:tx>
          <c:layout>
            <c:manualLayout>
              <c:xMode val="edge"/>
              <c:yMode val="edge"/>
              <c:x val="8.7645775696956862E-2"/>
              <c:y val="2.5781554533406098E-3"/>
            </c:manualLayout>
          </c:layout>
          <c:overlay val="0"/>
        </c:title>
        <c:numFmt formatCode="#,##0.00" sourceLinked="1"/>
        <c:majorTickMark val="none"/>
        <c:minorTickMark val="none"/>
        <c:tickLblPos val="nextTo"/>
        <c:crossAx val="81010688"/>
        <c:crosses val="autoZero"/>
        <c:crossBetween val="between"/>
      </c:valAx>
    </c:plotArea>
    <c:legend>
      <c:legendPos val="r"/>
      <c:layout>
        <c:manualLayout>
          <c:xMode val="edge"/>
          <c:yMode val="edge"/>
          <c:x val="0.78186525525369099"/>
          <c:y val="0.12463280102946096"/>
          <c:w val="0.20268220611496421"/>
          <c:h val="0.63165592421897898"/>
        </c:manualLayout>
      </c:layout>
      <c:overlay val="0"/>
      <c:txPr>
        <a:bodyPr/>
        <a:lstStyle/>
        <a:p>
          <a:pPr>
            <a:defRPr sz="800"/>
          </a:pPr>
          <a:endParaRPr lang="ja-JP"/>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b="0"/>
              <a:t>表</a:t>
            </a:r>
            <a:r>
              <a:rPr lang="en-US" altLang="ja-JP" sz="1100" b="0"/>
              <a:t>10</a:t>
            </a:r>
            <a:r>
              <a:rPr lang="ja-JP" altLang="en-US" sz="1100" b="0"/>
              <a:t>　為替</a:t>
            </a:r>
            <a:r>
              <a:rPr lang="en-US" altLang="ja-JP" sz="1100" b="0"/>
              <a:t>(</a:t>
            </a:r>
            <a:r>
              <a:rPr lang="ja-JP" altLang="en-US" sz="1100" b="0"/>
              <a:t>月末・銀行間買値・</a:t>
            </a:r>
            <a:r>
              <a:rPr lang="en-US" altLang="ja-JP" sz="1100" b="0"/>
              <a:t>1</a:t>
            </a:r>
            <a:r>
              <a:rPr lang="ja-JP" altLang="en-US" sz="1100" b="0"/>
              <a:t>ドル＝コロン</a:t>
            </a:r>
            <a:r>
              <a:rPr lang="en-US" altLang="ja-JP" sz="1100" b="0"/>
              <a:t>)</a:t>
            </a:r>
            <a:endParaRPr lang="ja-JP" altLang="en-US" sz="1100" b="0"/>
          </a:p>
        </c:rich>
      </c:tx>
      <c:layout>
        <c:manualLayout>
          <c:xMode val="edge"/>
          <c:yMode val="edge"/>
          <c:x val="0.17100646352724019"/>
          <c:y val="3.428033189399713E-2"/>
        </c:manualLayout>
      </c:layout>
      <c:overlay val="0"/>
    </c:title>
    <c:autoTitleDeleted val="0"/>
    <c:plotArea>
      <c:layout>
        <c:manualLayout>
          <c:layoutTarget val="inner"/>
          <c:xMode val="edge"/>
          <c:yMode val="edge"/>
          <c:x val="0.13852237920361707"/>
          <c:y val="0.17738030452615441"/>
          <c:w val="0.8191499158428297"/>
          <c:h val="0.52231728765863028"/>
        </c:manualLayout>
      </c:layout>
      <c:lineChart>
        <c:grouping val="standard"/>
        <c:varyColors val="0"/>
        <c:ser>
          <c:idx val="0"/>
          <c:order val="0"/>
          <c:cat>
            <c:numRef>
              <c:f>Hoja1!$L$19:$L$32</c:f>
              <c:numCache>
                <c:formatCode>yyyy"年"mm"月"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Hoja1!$M$19:$M$32</c:f>
              <c:numCache>
                <c:formatCode>#,##0.00</c:formatCode>
                <c:ptCount val="14"/>
                <c:pt idx="0">
                  <c:v>503.04</c:v>
                </c:pt>
                <c:pt idx="1">
                  <c:v>500.11</c:v>
                </c:pt>
                <c:pt idx="2">
                  <c:v>500</c:v>
                </c:pt>
                <c:pt idx="3">
                  <c:v>501.38</c:v>
                </c:pt>
                <c:pt idx="4">
                  <c:v>500.14000000000038</c:v>
                </c:pt>
                <c:pt idx="5">
                  <c:v>500.14000000000038</c:v>
                </c:pt>
                <c:pt idx="6">
                  <c:v>500.01</c:v>
                </c:pt>
                <c:pt idx="7">
                  <c:v>506.47999999999894</c:v>
                </c:pt>
                <c:pt idx="8">
                  <c:v>501.36</c:v>
                </c:pt>
                <c:pt idx="9">
                  <c:v>501.40999999999963</c:v>
                </c:pt>
                <c:pt idx="10">
                  <c:v>500.01</c:v>
                </c:pt>
                <c:pt idx="11">
                  <c:v>501.42999999999893</c:v>
                </c:pt>
                <c:pt idx="12">
                  <c:v>515.99</c:v>
                </c:pt>
                <c:pt idx="13">
                  <c:v>550.34999999999798</c:v>
                </c:pt>
              </c:numCache>
            </c:numRef>
          </c:val>
          <c:smooth val="0"/>
        </c:ser>
        <c:dLbls>
          <c:showLegendKey val="0"/>
          <c:showVal val="0"/>
          <c:showCatName val="0"/>
          <c:showSerName val="0"/>
          <c:showPercent val="0"/>
          <c:showBubbleSize val="0"/>
        </c:dLbls>
        <c:marker val="1"/>
        <c:smooth val="0"/>
        <c:axId val="105868672"/>
        <c:axId val="105874560"/>
      </c:lineChart>
      <c:dateAx>
        <c:axId val="105868672"/>
        <c:scaling>
          <c:orientation val="minMax"/>
        </c:scaling>
        <c:delete val="0"/>
        <c:axPos val="b"/>
        <c:numFmt formatCode="yyyy&quot;年&quot;mm&quot;月&quot;" sourceLinked="1"/>
        <c:majorTickMark val="none"/>
        <c:minorTickMark val="none"/>
        <c:tickLblPos val="nextTo"/>
        <c:txPr>
          <a:bodyPr/>
          <a:lstStyle/>
          <a:p>
            <a:pPr>
              <a:defRPr sz="900">
                <a:latin typeface="+mn-lt"/>
              </a:defRPr>
            </a:pPr>
            <a:endParaRPr lang="ja-JP"/>
          </a:p>
        </c:txPr>
        <c:crossAx val="105874560"/>
        <c:crosses val="autoZero"/>
        <c:auto val="1"/>
        <c:lblOffset val="100"/>
        <c:baseTimeUnit val="months"/>
      </c:dateAx>
      <c:valAx>
        <c:axId val="105874560"/>
        <c:scaling>
          <c:orientation val="minMax"/>
          <c:min val="490"/>
        </c:scaling>
        <c:delete val="0"/>
        <c:axPos val="l"/>
        <c:majorGridlines/>
        <c:title>
          <c:tx>
            <c:rich>
              <a:bodyPr rot="0" vert="horz"/>
              <a:lstStyle/>
              <a:p>
                <a:pPr>
                  <a:defRPr/>
                </a:pPr>
                <a:r>
                  <a:rPr lang="en-US" altLang="ja-JP" sz="900" b="0"/>
                  <a:t>(</a:t>
                </a:r>
                <a:r>
                  <a:rPr lang="ja-JP" altLang="en-US" sz="900" b="0"/>
                  <a:t>コロン</a:t>
                </a:r>
                <a:r>
                  <a:rPr lang="en-US" altLang="ja-JP" sz="900" b="0"/>
                  <a:t>)</a:t>
                </a:r>
                <a:endParaRPr lang="ja-JP" altLang="en-US" sz="900" b="0"/>
              </a:p>
            </c:rich>
          </c:tx>
          <c:layout>
            <c:manualLayout>
              <c:xMode val="edge"/>
              <c:yMode val="edge"/>
              <c:x val="2.0610581572040312E-3"/>
              <c:y val="7.1902040470747608E-2"/>
            </c:manualLayout>
          </c:layout>
          <c:overlay val="0"/>
        </c:title>
        <c:numFmt formatCode="#,##0.0_);\(#,##0.0\)" sourceLinked="0"/>
        <c:majorTickMark val="none"/>
        <c:minorTickMark val="none"/>
        <c:tickLblPos val="nextTo"/>
        <c:crossAx val="10586867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000"/>
              <a:t>表</a:t>
            </a:r>
            <a:r>
              <a:rPr lang="en-US" altLang="ja-JP" sz="1000"/>
              <a:t>11</a:t>
            </a:r>
            <a:r>
              <a:rPr lang="ja-JP" altLang="en-US" sz="1000"/>
              <a:t>　貸付金利の推移</a:t>
            </a:r>
            <a:r>
              <a:rPr lang="en-US" altLang="ja-JP" sz="1000"/>
              <a:t>(</a:t>
            </a:r>
            <a:r>
              <a:rPr lang="ja-JP" altLang="en-US" sz="1000"/>
              <a:t>製造業向け</a:t>
            </a:r>
            <a:r>
              <a:rPr lang="en-US" altLang="ja-JP" sz="1000"/>
              <a:t>)</a:t>
            </a:r>
            <a:endParaRPr lang="ja-JP" altLang="en-US" sz="1000"/>
          </a:p>
        </c:rich>
      </c:tx>
      <c:layout>
        <c:manualLayout>
          <c:xMode val="edge"/>
          <c:yMode val="edge"/>
          <c:x val="0.29072045454092044"/>
          <c:y val="3.6409400302326797E-2"/>
        </c:manualLayout>
      </c:layout>
      <c:overlay val="0"/>
    </c:title>
    <c:autoTitleDeleted val="0"/>
    <c:plotArea>
      <c:layout>
        <c:manualLayout>
          <c:layoutTarget val="inner"/>
          <c:xMode val="edge"/>
          <c:yMode val="edge"/>
          <c:x val="0.11339159067377153"/>
          <c:y val="0.29586407932265435"/>
          <c:w val="0.85267253358036355"/>
          <c:h val="0.51306086739157664"/>
        </c:manualLayout>
      </c:layout>
      <c:lineChart>
        <c:grouping val="standard"/>
        <c:varyColors val="0"/>
        <c:ser>
          <c:idx val="0"/>
          <c:order val="0"/>
          <c:tx>
            <c:strRef>
              <c:f>Hoja1!$B$38</c:f>
              <c:strCache>
                <c:ptCount val="1"/>
                <c:pt idx="0">
                  <c:v>コロン建て　国立銀行</c:v>
                </c:pt>
              </c:strCache>
            </c:strRef>
          </c:tx>
          <c:cat>
            <c:numRef>
              <c:f>Hoja1!$A$39:$A$52</c:f>
              <c:numCache>
                <c:formatCode>yyyy"年"mm"月"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Hoja1!$B$39:$B$52</c:f>
              <c:numCache>
                <c:formatCode>#,##0.00</c:formatCode>
                <c:ptCount val="14"/>
                <c:pt idx="0">
                  <c:v>18.15485416000017</c:v>
                </c:pt>
                <c:pt idx="1">
                  <c:v>17.089347079999886</c:v>
                </c:pt>
                <c:pt idx="2">
                  <c:v>16.537252120000094</c:v>
                </c:pt>
                <c:pt idx="3">
                  <c:v>16.087421969999987</c:v>
                </c:pt>
                <c:pt idx="4">
                  <c:v>15.60051361</c:v>
                </c:pt>
                <c:pt idx="5" formatCode="General">
                  <c:v>14.99</c:v>
                </c:pt>
                <c:pt idx="6" formatCode="General">
                  <c:v>14.9</c:v>
                </c:pt>
                <c:pt idx="7" formatCode="General">
                  <c:v>13.450000000000006</c:v>
                </c:pt>
                <c:pt idx="8" formatCode="General">
                  <c:v>13.24</c:v>
                </c:pt>
                <c:pt idx="9" formatCode="General">
                  <c:v>13.68</c:v>
                </c:pt>
                <c:pt idx="10" formatCode="General">
                  <c:v>13.82</c:v>
                </c:pt>
                <c:pt idx="11" formatCode="General">
                  <c:v>14.39</c:v>
                </c:pt>
                <c:pt idx="12">
                  <c:v>14.846205169999999</c:v>
                </c:pt>
                <c:pt idx="13">
                  <c:v>14.81090873</c:v>
                </c:pt>
              </c:numCache>
            </c:numRef>
          </c:val>
          <c:smooth val="0"/>
        </c:ser>
        <c:ser>
          <c:idx val="1"/>
          <c:order val="1"/>
          <c:tx>
            <c:strRef>
              <c:f>Hoja1!$C$38</c:f>
              <c:strCache>
                <c:ptCount val="1"/>
                <c:pt idx="0">
                  <c:v>ドル建て　国立銀行</c:v>
                </c:pt>
              </c:strCache>
            </c:strRef>
          </c:tx>
          <c:cat>
            <c:numRef>
              <c:f>Hoja1!$A$39:$A$52</c:f>
              <c:numCache>
                <c:formatCode>yyyy"年"mm"月"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Hoja1!$C$39:$C$52</c:f>
              <c:numCache>
                <c:formatCode>General</c:formatCode>
                <c:ptCount val="14"/>
                <c:pt idx="0">
                  <c:v>10.51</c:v>
                </c:pt>
                <c:pt idx="1">
                  <c:v>10.33</c:v>
                </c:pt>
                <c:pt idx="2">
                  <c:v>10.860000000000024</c:v>
                </c:pt>
                <c:pt idx="3">
                  <c:v>10.75</c:v>
                </c:pt>
                <c:pt idx="4">
                  <c:v>10.52</c:v>
                </c:pt>
                <c:pt idx="5">
                  <c:v>10.5</c:v>
                </c:pt>
                <c:pt idx="6">
                  <c:v>10.33</c:v>
                </c:pt>
                <c:pt idx="7">
                  <c:v>9.41</c:v>
                </c:pt>
                <c:pt idx="8">
                  <c:v>9.4</c:v>
                </c:pt>
                <c:pt idx="9">
                  <c:v>10.07</c:v>
                </c:pt>
                <c:pt idx="10">
                  <c:v>10.200000000000001</c:v>
                </c:pt>
                <c:pt idx="11">
                  <c:v>10.360000000000024</c:v>
                </c:pt>
                <c:pt idx="12">
                  <c:v>10.53</c:v>
                </c:pt>
                <c:pt idx="13">
                  <c:v>10.89</c:v>
                </c:pt>
              </c:numCache>
            </c:numRef>
          </c:val>
          <c:smooth val="0"/>
        </c:ser>
        <c:ser>
          <c:idx val="2"/>
          <c:order val="2"/>
          <c:tx>
            <c:strRef>
              <c:f>Hoja1!$D$38</c:f>
              <c:strCache>
                <c:ptCount val="1"/>
                <c:pt idx="0">
                  <c:v>コロン建て　民間銀行</c:v>
                </c:pt>
              </c:strCache>
            </c:strRef>
          </c:tx>
          <c:cat>
            <c:numRef>
              <c:f>Hoja1!$A$39:$A$52</c:f>
              <c:numCache>
                <c:formatCode>yyyy"年"mm"月"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Hoja1!$D$39:$D$52</c:f>
              <c:numCache>
                <c:formatCode>#,##0.00</c:formatCode>
                <c:ptCount val="14"/>
                <c:pt idx="0">
                  <c:v>17.338507060000001</c:v>
                </c:pt>
                <c:pt idx="1">
                  <c:v>15.79178456</c:v>
                </c:pt>
                <c:pt idx="2">
                  <c:v>15.987632540000035</c:v>
                </c:pt>
                <c:pt idx="3">
                  <c:v>16.332875940000079</c:v>
                </c:pt>
                <c:pt idx="4">
                  <c:v>15.56992545</c:v>
                </c:pt>
                <c:pt idx="5">
                  <c:v>15.61857798</c:v>
                </c:pt>
                <c:pt idx="6">
                  <c:v>15.541541449999999</c:v>
                </c:pt>
                <c:pt idx="7">
                  <c:v>15.79841016</c:v>
                </c:pt>
                <c:pt idx="8">
                  <c:v>15.959327530000024</c:v>
                </c:pt>
                <c:pt idx="9">
                  <c:v>16.525362399999921</c:v>
                </c:pt>
                <c:pt idx="10">
                  <c:v>16.553779029999987</c:v>
                </c:pt>
                <c:pt idx="11">
                  <c:v>16.631700899999988</c:v>
                </c:pt>
                <c:pt idx="12">
                  <c:v>17.47937947999992</c:v>
                </c:pt>
                <c:pt idx="13">
                  <c:v>17.40694736</c:v>
                </c:pt>
              </c:numCache>
            </c:numRef>
          </c:val>
          <c:smooth val="0"/>
        </c:ser>
        <c:ser>
          <c:idx val="3"/>
          <c:order val="3"/>
          <c:tx>
            <c:strRef>
              <c:f>Hoja1!$E$38</c:f>
              <c:strCache>
                <c:ptCount val="1"/>
                <c:pt idx="0">
                  <c:v>ドル建て　民間銀行</c:v>
                </c:pt>
              </c:strCache>
            </c:strRef>
          </c:tx>
          <c:cat>
            <c:numRef>
              <c:f>Hoja1!$A$39:$A$52</c:f>
              <c:numCache>
                <c:formatCode>yyyy"年"mm"月"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Hoja1!$E$39:$E$52</c:f>
              <c:numCache>
                <c:formatCode>#,##0.00</c:formatCode>
                <c:ptCount val="14"/>
                <c:pt idx="0">
                  <c:v>9.02113911</c:v>
                </c:pt>
                <c:pt idx="1">
                  <c:v>8.8787155900000005</c:v>
                </c:pt>
                <c:pt idx="2">
                  <c:v>8.8634005900000545</c:v>
                </c:pt>
                <c:pt idx="3">
                  <c:v>8.741776429999998</c:v>
                </c:pt>
                <c:pt idx="4">
                  <c:v>8.7434376500000006</c:v>
                </c:pt>
                <c:pt idx="5">
                  <c:v>8.6728081499999998</c:v>
                </c:pt>
                <c:pt idx="6">
                  <c:v>8.9016103200000014</c:v>
                </c:pt>
                <c:pt idx="7">
                  <c:v>8.85126363</c:v>
                </c:pt>
                <c:pt idx="8">
                  <c:v>8.8784769600000004</c:v>
                </c:pt>
                <c:pt idx="9">
                  <c:v>9.2223639799999972</c:v>
                </c:pt>
                <c:pt idx="10">
                  <c:v>9.3767110200000001</c:v>
                </c:pt>
                <c:pt idx="11">
                  <c:v>9.478106480000001</c:v>
                </c:pt>
                <c:pt idx="12">
                  <c:v>10.030506070000024</c:v>
                </c:pt>
                <c:pt idx="13">
                  <c:v>10.060305870000002</c:v>
                </c:pt>
              </c:numCache>
            </c:numRef>
          </c:val>
          <c:smooth val="0"/>
        </c:ser>
        <c:ser>
          <c:idx val="4"/>
          <c:order val="4"/>
          <c:tx>
            <c:strRef>
              <c:f>Hoja1!$F$38</c:f>
              <c:strCache>
                <c:ptCount val="1"/>
                <c:pt idx="0">
                  <c:v>基本預金金利(TBP)</c:v>
                </c:pt>
              </c:strCache>
            </c:strRef>
          </c:tx>
          <c:cat>
            <c:numRef>
              <c:f>Hoja1!$A$39:$A$52</c:f>
              <c:numCache>
                <c:formatCode>yyyy"年"mm"月"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Hoja1!$F$39:$F$52</c:f>
              <c:numCache>
                <c:formatCode>#,##0.00</c:formatCode>
                <c:ptCount val="14"/>
                <c:pt idx="0">
                  <c:v>8.3000000000000007</c:v>
                </c:pt>
                <c:pt idx="1">
                  <c:v>7.35</c:v>
                </c:pt>
                <c:pt idx="2">
                  <c:v>6.95</c:v>
                </c:pt>
                <c:pt idx="3">
                  <c:v>6.75</c:v>
                </c:pt>
                <c:pt idx="4">
                  <c:v>6.6499999999999995</c:v>
                </c:pt>
                <c:pt idx="5">
                  <c:v>6.6</c:v>
                </c:pt>
                <c:pt idx="6">
                  <c:v>6.55</c:v>
                </c:pt>
                <c:pt idx="7">
                  <c:v>6.55</c:v>
                </c:pt>
                <c:pt idx="8">
                  <c:v>6.55</c:v>
                </c:pt>
                <c:pt idx="9">
                  <c:v>6.55</c:v>
                </c:pt>
                <c:pt idx="10">
                  <c:v>6.55</c:v>
                </c:pt>
                <c:pt idx="11">
                  <c:v>6.5</c:v>
                </c:pt>
                <c:pt idx="12">
                  <c:v>6.55</c:v>
                </c:pt>
                <c:pt idx="13">
                  <c:v>6.5</c:v>
                </c:pt>
              </c:numCache>
            </c:numRef>
          </c:val>
          <c:smooth val="0"/>
        </c:ser>
        <c:dLbls>
          <c:showLegendKey val="0"/>
          <c:showVal val="0"/>
          <c:showCatName val="0"/>
          <c:showSerName val="0"/>
          <c:showPercent val="0"/>
          <c:showBubbleSize val="0"/>
        </c:dLbls>
        <c:marker val="1"/>
        <c:smooth val="0"/>
        <c:axId val="106107264"/>
        <c:axId val="106108800"/>
      </c:lineChart>
      <c:dateAx>
        <c:axId val="106107264"/>
        <c:scaling>
          <c:orientation val="minMax"/>
        </c:scaling>
        <c:delete val="0"/>
        <c:axPos val="b"/>
        <c:numFmt formatCode="yyyy&quot;年&quot;mm&quot;月&quot;" sourceLinked="1"/>
        <c:majorTickMark val="none"/>
        <c:minorTickMark val="none"/>
        <c:tickLblPos val="nextTo"/>
        <c:txPr>
          <a:bodyPr/>
          <a:lstStyle/>
          <a:p>
            <a:pPr>
              <a:defRPr sz="800"/>
            </a:pPr>
            <a:endParaRPr lang="ja-JP"/>
          </a:p>
        </c:txPr>
        <c:crossAx val="106108800"/>
        <c:crosses val="autoZero"/>
        <c:auto val="1"/>
        <c:lblOffset val="100"/>
        <c:baseTimeUnit val="months"/>
      </c:dateAx>
      <c:valAx>
        <c:axId val="106108800"/>
        <c:scaling>
          <c:orientation val="minMax"/>
          <c:min val="4"/>
        </c:scaling>
        <c:delete val="0"/>
        <c:axPos val="l"/>
        <c:majorGridlines/>
        <c:title>
          <c:tx>
            <c:rich>
              <a:bodyPr rot="0" vert="horz"/>
              <a:lstStyle/>
              <a:p>
                <a:pPr>
                  <a:defRPr/>
                </a:pPr>
                <a:r>
                  <a:rPr lang="en-US" altLang="ja-JP" b="0"/>
                  <a:t>(</a:t>
                </a:r>
                <a:r>
                  <a:rPr lang="ja-JP" altLang="en-US" b="0"/>
                  <a:t>％</a:t>
                </a:r>
                <a:r>
                  <a:rPr lang="en-US" altLang="ja-JP" b="0"/>
                  <a:t>)</a:t>
                </a:r>
                <a:endParaRPr lang="ja-JP" altLang="en-US" b="0"/>
              </a:p>
            </c:rich>
          </c:tx>
          <c:layout>
            <c:manualLayout>
              <c:xMode val="edge"/>
              <c:yMode val="edge"/>
              <c:x val="3.5627467566279082E-2"/>
              <c:y val="0.15040709755030757"/>
            </c:manualLayout>
          </c:layout>
          <c:overlay val="0"/>
        </c:title>
        <c:numFmt formatCode="#,##0_);\(#,##0\)" sourceLinked="0"/>
        <c:majorTickMark val="none"/>
        <c:minorTickMark val="none"/>
        <c:tickLblPos val="nextTo"/>
        <c:crossAx val="106107264"/>
        <c:crosses val="autoZero"/>
        <c:crossBetween val="between"/>
      </c:valAx>
    </c:plotArea>
    <c:legend>
      <c:legendPos val="r"/>
      <c:layout>
        <c:manualLayout>
          <c:xMode val="edge"/>
          <c:yMode val="edge"/>
          <c:x val="0.12302569760181029"/>
          <c:y val="0.14817731116943741"/>
          <c:w val="0.82377389858686878"/>
          <c:h val="0.11529354167516667"/>
        </c:manualLayout>
      </c:layout>
      <c:overlay val="0"/>
      <c:txPr>
        <a:bodyPr/>
        <a:lstStyle/>
        <a:p>
          <a:pPr>
            <a:defRPr sz="800"/>
          </a:pPr>
          <a:endParaRPr lang="ja-JP"/>
        </a:p>
      </c:txPr>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ja-JP" altLang="en-US" sz="1000" b="1" i="0" u="none" strike="noStrike" kern="1200" baseline="0">
                <a:solidFill>
                  <a:sysClr val="windowText" lastClr="000000"/>
                </a:solidFill>
                <a:latin typeface="+mn-lt"/>
                <a:ea typeface="+mn-ea"/>
                <a:cs typeface="+mn-cs"/>
              </a:rPr>
              <a:t>表</a:t>
            </a:r>
            <a:r>
              <a:rPr lang="en-US" altLang="ja-JP" sz="1000" b="1" i="0" u="none" strike="noStrike" kern="1200" baseline="0">
                <a:solidFill>
                  <a:sysClr val="windowText" lastClr="000000"/>
                </a:solidFill>
                <a:latin typeface="+mn-lt"/>
                <a:ea typeface="+mn-ea"/>
                <a:cs typeface="+mn-cs"/>
              </a:rPr>
              <a:t>12</a:t>
            </a:r>
            <a:r>
              <a:rPr lang="ja-JP" altLang="en-US" sz="1000" b="1" i="0" u="none" strike="noStrike" kern="1200" baseline="0">
                <a:solidFill>
                  <a:sysClr val="windowText" lastClr="000000"/>
                </a:solidFill>
                <a:latin typeface="+mn-lt"/>
                <a:ea typeface="+mn-ea"/>
                <a:cs typeface="+mn-cs"/>
              </a:rPr>
              <a:t>　米ドル</a:t>
            </a:r>
            <a:r>
              <a:rPr lang="ja-JP" altLang="en-US" sz="1000"/>
              <a:t>準備高</a:t>
            </a:r>
            <a:r>
              <a:rPr lang="en-US" altLang="ja-JP" sz="1000"/>
              <a:t>(</a:t>
            </a:r>
            <a:r>
              <a:rPr lang="ja-JP" altLang="en-US" sz="1000"/>
              <a:t>月末値</a:t>
            </a:r>
            <a:r>
              <a:rPr lang="en-US" altLang="ja-JP" sz="1000"/>
              <a:t>)</a:t>
            </a:r>
            <a:endParaRPr lang="ja-JP" altLang="en-US" sz="1000"/>
          </a:p>
        </c:rich>
      </c:tx>
      <c:layout/>
      <c:overlay val="0"/>
    </c:title>
    <c:autoTitleDeleted val="0"/>
    <c:plotArea>
      <c:layout>
        <c:manualLayout>
          <c:layoutTarget val="inner"/>
          <c:xMode val="edge"/>
          <c:yMode val="edge"/>
          <c:x val="0.14161274395156051"/>
          <c:y val="0.18001343832021083"/>
          <c:w val="0.6992730958135186"/>
          <c:h val="0.67449280839895065"/>
        </c:manualLayout>
      </c:layout>
      <c:barChart>
        <c:barDir val="col"/>
        <c:grouping val="clustered"/>
        <c:varyColors val="0"/>
        <c:ser>
          <c:idx val="0"/>
          <c:order val="0"/>
          <c:tx>
            <c:strRef>
              <c:f>Hoja1!$K$5</c:f>
              <c:strCache>
                <c:ptCount val="1"/>
                <c:pt idx="0">
                  <c:v>2013年</c:v>
                </c:pt>
              </c:strCache>
            </c:strRef>
          </c:tx>
          <c:invertIfNegative val="0"/>
          <c:cat>
            <c:strRef>
              <c:f>Hoja1!$J$6:$J$17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Hoja1!$K$6:$K$17</c:f>
              <c:numCache>
                <c:formatCode>#,##0.0</c:formatCode>
                <c:ptCount val="12"/>
                <c:pt idx="0">
                  <c:v>6748.7871541199993</c:v>
                </c:pt>
                <c:pt idx="1">
                  <c:v>6816.2660269300004</c:v>
                </c:pt>
                <c:pt idx="2">
                  <c:v>6936.8452548100004</c:v>
                </c:pt>
                <c:pt idx="3">
                  <c:v>7960.4042082399992</c:v>
                </c:pt>
                <c:pt idx="4">
                  <c:v>7885.1966123700004</c:v>
                </c:pt>
                <c:pt idx="5">
                  <c:v>7877.8188838399992</c:v>
                </c:pt>
                <c:pt idx="6">
                  <c:v>7723.7136800399994</c:v>
                </c:pt>
                <c:pt idx="7">
                  <c:v>7719.4431214500173</c:v>
                </c:pt>
                <c:pt idx="8">
                  <c:v>7617.3580926499999</c:v>
                </c:pt>
                <c:pt idx="9">
                  <c:v>7441.1258433500034</c:v>
                </c:pt>
                <c:pt idx="10">
                  <c:v>7398.0345456199993</c:v>
                </c:pt>
                <c:pt idx="11">
                  <c:v>7330.8633171599995</c:v>
                </c:pt>
              </c:numCache>
            </c:numRef>
          </c:val>
        </c:ser>
        <c:ser>
          <c:idx val="1"/>
          <c:order val="1"/>
          <c:tx>
            <c:strRef>
              <c:f>Hoja1!$L$5</c:f>
              <c:strCache>
                <c:ptCount val="1"/>
                <c:pt idx="0">
                  <c:v>2014年</c:v>
                </c:pt>
              </c:strCache>
            </c:strRef>
          </c:tx>
          <c:invertIfNegative val="0"/>
          <c:cat>
            <c:strRef>
              <c:f>Hoja1!$J$6:$J$17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Hoja1!$L$6:$L$17</c:f>
              <c:numCache>
                <c:formatCode>#,##0.0</c:formatCode>
                <c:ptCount val="12"/>
                <c:pt idx="0">
                  <c:v>7258.3436738600003</c:v>
                </c:pt>
                <c:pt idx="1">
                  <c:v>7275.1072810700034</c:v>
                </c:pt>
              </c:numCache>
            </c:numRef>
          </c:val>
        </c:ser>
        <c:dLbls>
          <c:showLegendKey val="0"/>
          <c:showVal val="0"/>
          <c:showCatName val="0"/>
          <c:showSerName val="0"/>
          <c:showPercent val="0"/>
          <c:showBubbleSize val="0"/>
        </c:dLbls>
        <c:gapWidth val="150"/>
        <c:axId val="106137856"/>
        <c:axId val="106151936"/>
      </c:barChart>
      <c:catAx>
        <c:axId val="106137856"/>
        <c:scaling>
          <c:orientation val="minMax"/>
        </c:scaling>
        <c:delete val="0"/>
        <c:axPos val="b"/>
        <c:majorTickMark val="none"/>
        <c:minorTickMark val="none"/>
        <c:tickLblPos val="nextTo"/>
        <c:txPr>
          <a:bodyPr/>
          <a:lstStyle/>
          <a:p>
            <a:pPr>
              <a:defRPr sz="800"/>
            </a:pPr>
            <a:endParaRPr lang="ja-JP"/>
          </a:p>
        </c:txPr>
        <c:crossAx val="106151936"/>
        <c:crosses val="autoZero"/>
        <c:auto val="1"/>
        <c:lblAlgn val="ctr"/>
        <c:lblOffset val="100"/>
        <c:noMultiLvlLbl val="0"/>
      </c:catAx>
      <c:valAx>
        <c:axId val="106151936"/>
        <c:scaling>
          <c:orientation val="minMax"/>
        </c:scaling>
        <c:delete val="0"/>
        <c:axPos val="l"/>
        <c:majorGridlines/>
        <c:title>
          <c:tx>
            <c:rich>
              <a:bodyPr rot="0" vert="horz"/>
              <a:lstStyle/>
              <a:p>
                <a:pPr>
                  <a:defRPr/>
                </a:pPr>
                <a:r>
                  <a:rPr lang="en-US" altLang="ja-JP" sz="900" b="0"/>
                  <a:t>(</a:t>
                </a:r>
                <a:r>
                  <a:rPr lang="ja-JP" altLang="en-US" sz="900" b="0"/>
                  <a:t>百万ドル</a:t>
                </a:r>
                <a:r>
                  <a:rPr lang="en-US" altLang="ja-JP" sz="900" b="0"/>
                  <a:t>)</a:t>
                </a:r>
                <a:endParaRPr lang="ja-JP" altLang="en-US" sz="900" b="0"/>
              </a:p>
            </c:rich>
          </c:tx>
          <c:layout>
            <c:manualLayout>
              <c:xMode val="edge"/>
              <c:yMode val="edge"/>
              <c:x val="2.904290429042905E-2"/>
              <c:y val="6.2712860892388797E-2"/>
            </c:manualLayout>
          </c:layout>
          <c:overlay val="0"/>
        </c:title>
        <c:numFmt formatCode="#,##0_ " sourceLinked="0"/>
        <c:majorTickMark val="out"/>
        <c:minorTickMark val="none"/>
        <c:tickLblPos val="nextTo"/>
        <c:crossAx val="10613785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ja-JP" altLang="en-US" sz="1000"/>
              <a:t>表２　貿易推移</a:t>
            </a:r>
            <a:r>
              <a:rPr lang="en-US" altLang="ja-JP" sz="1000"/>
              <a:t>(</a:t>
            </a:r>
            <a:r>
              <a:rPr lang="ja-JP" altLang="en-US" sz="1000"/>
              <a:t>単位百万ドル</a:t>
            </a:r>
            <a:r>
              <a:rPr lang="en-US" altLang="ja-JP" sz="1000"/>
              <a:t>)</a:t>
            </a:r>
            <a:endParaRPr lang="ja-JP" altLang="en-US" sz="1000"/>
          </a:p>
        </c:rich>
      </c:tx>
      <c:layout/>
      <c:overlay val="0"/>
    </c:title>
    <c:autoTitleDeleted val="0"/>
    <c:plotArea>
      <c:layout>
        <c:manualLayout>
          <c:layoutTarget val="inner"/>
          <c:xMode val="edge"/>
          <c:yMode val="edge"/>
          <c:x val="8.5541700525868472E-2"/>
          <c:y val="0.11811905401588582"/>
          <c:w val="0.85281064066279988"/>
          <c:h val="0.67998677330688029"/>
        </c:manualLayout>
      </c:layout>
      <c:barChart>
        <c:barDir val="col"/>
        <c:grouping val="clustered"/>
        <c:varyColors val="0"/>
        <c:ser>
          <c:idx val="0"/>
          <c:order val="0"/>
          <c:tx>
            <c:strRef>
              <c:f>Hoja1!$T$9</c:f>
              <c:strCache>
                <c:ptCount val="1"/>
                <c:pt idx="0">
                  <c:v>輸出</c:v>
                </c:pt>
              </c:strCache>
            </c:strRef>
          </c:tx>
          <c:invertIfNegative val="0"/>
          <c:dLbls>
            <c:dLbl>
              <c:idx val="13"/>
              <c:layout/>
              <c:tx>
                <c:rich>
                  <a:bodyPr/>
                  <a:lstStyle/>
                  <a:p>
                    <a:r>
                      <a:rPr lang="en-US" altLang="en-US"/>
                      <a:t>960.2</a:t>
                    </a:r>
                  </a:p>
                </c:rich>
              </c:tx>
              <c:showLegendKey val="0"/>
              <c:showVal val="1"/>
              <c:showCatName val="0"/>
              <c:showSerName val="0"/>
              <c:showPercent val="0"/>
              <c:showBubbleSize val="0"/>
            </c:dLbl>
            <c:showLegendKey val="0"/>
            <c:showVal val="0"/>
            <c:showCatName val="0"/>
            <c:showSerName val="0"/>
            <c:showPercent val="0"/>
            <c:showBubbleSize val="0"/>
          </c:dLbls>
          <c:cat>
            <c:numRef>
              <c:f>Hoja1!$S$10:$S$23</c:f>
              <c:numCache>
                <c:formatCode>yyyy"年"mm"月"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Hoja1!$T$10:$T$23</c:f>
              <c:numCache>
                <c:formatCode>General</c:formatCode>
                <c:ptCount val="14"/>
                <c:pt idx="0">
                  <c:v>910.84654373999865</c:v>
                </c:pt>
                <c:pt idx="1">
                  <c:v>932.37710859999947</c:v>
                </c:pt>
                <c:pt idx="2">
                  <c:v>1015.6661849899994</c:v>
                </c:pt>
                <c:pt idx="3">
                  <c:v>1002.0899330500017</c:v>
                </c:pt>
                <c:pt idx="4">
                  <c:v>1034.1281167</c:v>
                </c:pt>
                <c:pt idx="5">
                  <c:v>956.44408743999998</c:v>
                </c:pt>
                <c:pt idx="6">
                  <c:v>949.23167957000055</c:v>
                </c:pt>
                <c:pt idx="7">
                  <c:v>938.56024420999938</c:v>
                </c:pt>
                <c:pt idx="8">
                  <c:v>972.54398724000055</c:v>
                </c:pt>
                <c:pt idx="9">
                  <c:v>1007.65641652</c:v>
                </c:pt>
                <c:pt idx="10">
                  <c:v>992.76068416999999</c:v>
                </c:pt>
                <c:pt idx="11">
                  <c:v>877.23699811999938</c:v>
                </c:pt>
                <c:pt idx="12">
                  <c:v>856.86002013999791</c:v>
                </c:pt>
                <c:pt idx="13">
                  <c:v>960.21524040999998</c:v>
                </c:pt>
              </c:numCache>
            </c:numRef>
          </c:val>
        </c:ser>
        <c:ser>
          <c:idx val="1"/>
          <c:order val="1"/>
          <c:tx>
            <c:strRef>
              <c:f>Hoja1!$U$9</c:f>
              <c:strCache>
                <c:ptCount val="1"/>
                <c:pt idx="0">
                  <c:v>輸入</c:v>
                </c:pt>
              </c:strCache>
            </c:strRef>
          </c:tx>
          <c:invertIfNegative val="0"/>
          <c:dLbls>
            <c:dLbl>
              <c:idx val="11"/>
              <c:layout>
                <c:manualLayout>
                  <c:x val="3.5587188612099654E-2"/>
                  <c:y val="0.20997375328083989"/>
                </c:manualLayout>
              </c:layout>
              <c:tx>
                <c:rich>
                  <a:bodyPr/>
                  <a:lstStyle/>
                  <a:p>
                    <a:r>
                      <a:rPr lang="en-US" altLang="en-US" sz="1000"/>
                      <a:t>856.9</a:t>
                    </a:r>
                    <a:endParaRPr lang="en-US" altLang="en-US"/>
                  </a:p>
                </c:rich>
              </c:tx>
              <c:showLegendKey val="0"/>
              <c:showVal val="1"/>
              <c:showCatName val="0"/>
              <c:showSerName val="0"/>
              <c:showPercent val="0"/>
              <c:showBubbleSize val="0"/>
            </c:dLbl>
            <c:dLbl>
              <c:idx val="12"/>
              <c:layout>
                <c:manualLayout>
                  <c:x val="8.6989900581489097E-17"/>
                  <c:y val="-2.0997375328083986E-2"/>
                </c:manualLayout>
              </c:layout>
              <c:tx>
                <c:rich>
                  <a:bodyPr/>
                  <a:lstStyle/>
                  <a:p>
                    <a:r>
                      <a:rPr lang="en-US" altLang="en-US" sz="1000"/>
                      <a:t>1518.</a:t>
                    </a:r>
                    <a:r>
                      <a:rPr lang="en-US" altLang="ja-JP" sz="1000"/>
                      <a:t>3</a:t>
                    </a:r>
                    <a:endParaRPr lang="en-US" altLang="en-US"/>
                  </a:p>
                </c:rich>
              </c:tx>
              <c:showLegendKey val="0"/>
              <c:showVal val="1"/>
              <c:showCatName val="0"/>
              <c:showSerName val="0"/>
              <c:showPercent val="0"/>
              <c:showBubbleSize val="0"/>
            </c:dLbl>
            <c:dLbl>
              <c:idx val="13"/>
              <c:layout>
                <c:manualLayout>
                  <c:x val="4.744958481613288E-3"/>
                  <c:y val="0"/>
                </c:manualLayout>
              </c:layout>
              <c:tx>
                <c:rich>
                  <a:bodyPr/>
                  <a:lstStyle/>
                  <a:p>
                    <a:r>
                      <a:rPr lang="en-US" altLang="en-US" sz="1000"/>
                      <a:t>1371.</a:t>
                    </a:r>
                    <a:r>
                      <a:rPr lang="en-US" altLang="ja-JP" sz="1000"/>
                      <a:t>8</a:t>
                    </a:r>
                    <a:endParaRPr lang="en-US" altLang="en-US"/>
                  </a:p>
                </c:rich>
              </c:tx>
              <c:showLegendKey val="0"/>
              <c:showVal val="1"/>
              <c:showCatName val="0"/>
              <c:showSerName val="0"/>
              <c:showPercent val="0"/>
              <c:showBubbleSize val="0"/>
            </c:dLbl>
            <c:txPr>
              <a:bodyPr/>
              <a:lstStyle/>
              <a:p>
                <a:pPr>
                  <a:defRPr sz="1000"/>
                </a:pPr>
                <a:endParaRPr lang="ja-JP"/>
              </a:p>
            </c:txPr>
            <c:showLegendKey val="0"/>
            <c:showVal val="0"/>
            <c:showCatName val="0"/>
            <c:showSerName val="0"/>
            <c:showPercent val="0"/>
            <c:showBubbleSize val="0"/>
          </c:dLbls>
          <c:cat>
            <c:numRef>
              <c:f>Hoja1!$S$10:$S$23</c:f>
              <c:numCache>
                <c:formatCode>yyyy"年"mm"月"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Hoja1!$U$10:$U$23</c:f>
              <c:numCache>
                <c:formatCode>General</c:formatCode>
                <c:ptCount val="14"/>
                <c:pt idx="0">
                  <c:v>1562.8816947400001</c:v>
                </c:pt>
                <c:pt idx="1">
                  <c:v>1354.06900866</c:v>
                </c:pt>
                <c:pt idx="2">
                  <c:v>1474.2016356500001</c:v>
                </c:pt>
                <c:pt idx="3">
                  <c:v>1606.0126181200001</c:v>
                </c:pt>
                <c:pt idx="4">
                  <c:v>1487.8650193999999</c:v>
                </c:pt>
                <c:pt idx="5">
                  <c:v>1391.9126913000011</c:v>
                </c:pt>
                <c:pt idx="6">
                  <c:v>1538.1103749299998</c:v>
                </c:pt>
                <c:pt idx="7">
                  <c:v>1525.134292419996</c:v>
                </c:pt>
                <c:pt idx="8">
                  <c:v>1501.5970531800035</c:v>
                </c:pt>
                <c:pt idx="9">
                  <c:v>1609.13317362</c:v>
                </c:pt>
                <c:pt idx="10">
                  <c:v>1531.7667545000011</c:v>
                </c:pt>
                <c:pt idx="11">
                  <c:v>1425.2307668000001</c:v>
                </c:pt>
                <c:pt idx="12">
                  <c:v>1518.2575419500001</c:v>
                </c:pt>
                <c:pt idx="13">
                  <c:v>1371.7577560100001</c:v>
                </c:pt>
              </c:numCache>
            </c:numRef>
          </c:val>
        </c:ser>
        <c:dLbls>
          <c:showLegendKey val="0"/>
          <c:showVal val="0"/>
          <c:showCatName val="0"/>
          <c:showSerName val="0"/>
          <c:showPercent val="0"/>
          <c:showBubbleSize val="0"/>
        </c:dLbls>
        <c:gapWidth val="150"/>
        <c:axId val="81121280"/>
        <c:axId val="81122816"/>
      </c:barChart>
      <c:dateAx>
        <c:axId val="81121280"/>
        <c:scaling>
          <c:orientation val="minMax"/>
        </c:scaling>
        <c:delete val="0"/>
        <c:axPos val="b"/>
        <c:numFmt formatCode="yyyy&quot;年&quot;mm&quot;月&quot;" sourceLinked="1"/>
        <c:majorTickMark val="none"/>
        <c:minorTickMark val="none"/>
        <c:tickLblPos val="nextTo"/>
        <c:crossAx val="81122816"/>
        <c:crosses val="autoZero"/>
        <c:auto val="1"/>
        <c:lblOffset val="100"/>
        <c:baseTimeUnit val="months"/>
      </c:dateAx>
      <c:valAx>
        <c:axId val="81122816"/>
        <c:scaling>
          <c:orientation val="minMax"/>
        </c:scaling>
        <c:delete val="0"/>
        <c:axPos val="l"/>
        <c:majorGridlines/>
        <c:numFmt formatCode="General" sourceLinked="1"/>
        <c:majorTickMark val="none"/>
        <c:minorTickMark val="none"/>
        <c:tickLblPos val="nextTo"/>
        <c:crossAx val="81121280"/>
        <c:crosses val="autoZero"/>
        <c:crossBetween val="between"/>
      </c:valAx>
    </c:plotArea>
    <c:legend>
      <c:legendPos val="r"/>
      <c:layout>
        <c:manualLayout>
          <c:xMode val="edge"/>
          <c:yMode val="edge"/>
          <c:x val="0.74143656420171644"/>
          <c:y val="2.391928968576661E-2"/>
          <c:w val="0.20162393401892378"/>
          <c:h val="8.6262189518501578E-2"/>
        </c:manualLayout>
      </c:layout>
      <c:overlay val="0"/>
      <c:txPr>
        <a:bodyPr/>
        <a:lstStyle/>
        <a:p>
          <a:pPr>
            <a:defRPr sz="900"/>
          </a:pPr>
          <a:endParaRPr lang="ja-JP"/>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ja-JP" altLang="en-US" sz="900"/>
              <a:t>表</a:t>
            </a:r>
            <a:r>
              <a:rPr lang="en-US" altLang="ja-JP" sz="900"/>
              <a:t>4</a:t>
            </a:r>
            <a:r>
              <a:rPr lang="ja-JP" altLang="en-US" sz="900"/>
              <a:t>　累積貿易額　前年比較</a:t>
            </a:r>
            <a:r>
              <a:rPr lang="en-US" altLang="ja-JP" sz="900"/>
              <a:t>(2</a:t>
            </a:r>
            <a:r>
              <a:rPr lang="ja-JP" altLang="en-US" sz="900"/>
              <a:t>月</a:t>
            </a:r>
            <a:r>
              <a:rPr lang="en-US" altLang="ja-JP" sz="900"/>
              <a:t>)</a:t>
            </a:r>
            <a:endParaRPr lang="ja-JP" altLang="en-US" sz="900"/>
          </a:p>
        </c:rich>
      </c:tx>
      <c:layout>
        <c:manualLayout>
          <c:xMode val="edge"/>
          <c:yMode val="edge"/>
          <c:x val="0.24119394650136827"/>
          <c:y val="6.3492063492063502E-2"/>
        </c:manualLayout>
      </c:layout>
      <c:overlay val="0"/>
    </c:title>
    <c:autoTitleDeleted val="0"/>
    <c:plotArea>
      <c:layout>
        <c:manualLayout>
          <c:layoutTarget val="inner"/>
          <c:xMode val="edge"/>
          <c:yMode val="edge"/>
          <c:x val="0.23474730552297995"/>
          <c:y val="0.14974358974358973"/>
          <c:w val="0.76525269447702038"/>
          <c:h val="0.52730331785449891"/>
        </c:manualLayout>
      </c:layout>
      <c:barChart>
        <c:barDir val="col"/>
        <c:grouping val="clustered"/>
        <c:varyColors val="0"/>
        <c:ser>
          <c:idx val="0"/>
          <c:order val="0"/>
          <c:tx>
            <c:strRef>
              <c:f>Hoja1!$P$20</c:f>
              <c:strCache>
                <c:ptCount val="1"/>
                <c:pt idx="0">
                  <c:v>輸出</c:v>
                </c:pt>
              </c:strCache>
            </c:strRef>
          </c:tx>
          <c:invertIfNegative val="0"/>
          <c:dLbls>
            <c:dLbl>
              <c:idx val="0"/>
              <c:layout>
                <c:manualLayout>
                  <c:x val="-3.7825059101654845E-2"/>
                  <c:y val="0"/>
                </c:manualLayout>
              </c:layout>
              <c:showLegendKey val="0"/>
              <c:showVal val="1"/>
              <c:showCatName val="0"/>
              <c:showSerName val="0"/>
              <c:showPercent val="0"/>
              <c:showBubbleSize val="0"/>
            </c:dLbl>
            <c:dLbl>
              <c:idx val="1"/>
              <c:layout>
                <c:manualLayout>
                  <c:x val="-4.2553191489361632E-2"/>
                  <c:y val="0"/>
                </c:manualLayout>
              </c:layout>
              <c:showLegendKey val="0"/>
              <c:showVal val="1"/>
              <c:showCatName val="0"/>
              <c:showSerName val="0"/>
              <c:showPercent val="0"/>
              <c:showBubbleSize val="0"/>
            </c:dLbl>
            <c:numFmt formatCode="#,##0.0_);[Red]\(#,##0.0\)" sourceLinked="0"/>
            <c:txPr>
              <a:bodyPr/>
              <a:lstStyle/>
              <a:p>
                <a:pPr>
                  <a:defRPr sz="800"/>
                </a:pPr>
                <a:endParaRPr lang="ja-JP"/>
              </a:p>
            </c:txPr>
            <c:showLegendKey val="0"/>
            <c:showVal val="1"/>
            <c:showCatName val="0"/>
            <c:showSerName val="0"/>
            <c:showPercent val="0"/>
            <c:showBubbleSize val="0"/>
            <c:showLeaderLines val="0"/>
          </c:dLbls>
          <c:cat>
            <c:numRef>
              <c:f>Hoja1!$Q$19:$R$19</c:f>
              <c:numCache>
                <c:formatCode>yyyy"年"m"月"</c:formatCode>
                <c:ptCount val="2"/>
                <c:pt idx="0">
                  <c:v>41306</c:v>
                </c:pt>
                <c:pt idx="1">
                  <c:v>41671</c:v>
                </c:pt>
              </c:numCache>
            </c:numRef>
          </c:cat>
          <c:val>
            <c:numRef>
              <c:f>Hoja1!$Q$20:$R$20</c:f>
              <c:numCache>
                <c:formatCode>General</c:formatCode>
                <c:ptCount val="2"/>
                <c:pt idx="0">
                  <c:v>1843.2</c:v>
                </c:pt>
                <c:pt idx="1">
                  <c:v>1817.1</c:v>
                </c:pt>
              </c:numCache>
            </c:numRef>
          </c:val>
        </c:ser>
        <c:ser>
          <c:idx val="1"/>
          <c:order val="1"/>
          <c:tx>
            <c:strRef>
              <c:f>Hoja1!$P$21</c:f>
              <c:strCache>
                <c:ptCount val="1"/>
                <c:pt idx="0">
                  <c:v>輸入</c:v>
                </c:pt>
              </c:strCache>
            </c:strRef>
          </c:tx>
          <c:invertIfNegative val="0"/>
          <c:dLbls>
            <c:dLbl>
              <c:idx val="0"/>
              <c:layout>
                <c:manualLayout>
                  <c:x val="-9.4562647754137166E-3"/>
                  <c:y val="9.7680097680097697E-3"/>
                </c:manualLayout>
              </c:layout>
              <c:showLegendKey val="0"/>
              <c:showVal val="1"/>
              <c:showCatName val="0"/>
              <c:showSerName val="0"/>
              <c:showPercent val="0"/>
              <c:showBubbleSize val="0"/>
            </c:dLbl>
            <c:dLbl>
              <c:idx val="1"/>
              <c:layout>
                <c:manualLayout>
                  <c:x val="-1.891252955082743E-2"/>
                  <c:y val="4.8840048840049074E-3"/>
                </c:manualLayout>
              </c:layout>
              <c:showLegendKey val="0"/>
              <c:showVal val="1"/>
              <c:showCatName val="0"/>
              <c:showSerName val="0"/>
              <c:showPercent val="0"/>
              <c:showBubbleSize val="0"/>
            </c:dLbl>
            <c:numFmt formatCode="#,##0.0_);[Red]\(#,##0.0\)" sourceLinked="0"/>
            <c:txPr>
              <a:bodyPr/>
              <a:lstStyle/>
              <a:p>
                <a:pPr>
                  <a:defRPr sz="800"/>
                </a:pPr>
                <a:endParaRPr lang="ja-JP"/>
              </a:p>
            </c:txPr>
            <c:showLegendKey val="0"/>
            <c:showVal val="1"/>
            <c:showCatName val="0"/>
            <c:showSerName val="0"/>
            <c:showPercent val="0"/>
            <c:showBubbleSize val="0"/>
            <c:showLeaderLines val="0"/>
          </c:dLbls>
          <c:cat>
            <c:numRef>
              <c:f>Hoja1!$Q$19:$R$19</c:f>
              <c:numCache>
                <c:formatCode>yyyy"年"m"月"</c:formatCode>
                <c:ptCount val="2"/>
                <c:pt idx="0">
                  <c:v>41306</c:v>
                </c:pt>
                <c:pt idx="1">
                  <c:v>41671</c:v>
                </c:pt>
              </c:numCache>
            </c:numRef>
          </c:cat>
          <c:val>
            <c:numRef>
              <c:f>Hoja1!$Q$21:$R$21</c:f>
              <c:numCache>
                <c:formatCode>General</c:formatCode>
                <c:ptCount val="2"/>
                <c:pt idx="0">
                  <c:v>2917</c:v>
                </c:pt>
                <c:pt idx="1">
                  <c:v>2890.1</c:v>
                </c:pt>
              </c:numCache>
            </c:numRef>
          </c:val>
        </c:ser>
        <c:ser>
          <c:idx val="2"/>
          <c:order val="2"/>
          <c:tx>
            <c:strRef>
              <c:f>Hoja1!$P$22</c:f>
              <c:strCache>
                <c:ptCount val="1"/>
                <c:pt idx="0">
                  <c:v>貿易収支</c:v>
                </c:pt>
              </c:strCache>
            </c:strRef>
          </c:tx>
          <c:invertIfNegative val="0"/>
          <c:dLbls>
            <c:dLbl>
              <c:idx val="0"/>
              <c:layout>
                <c:manualLayout>
                  <c:x val="-8.5669291338582712E-2"/>
                  <c:y val="2.9306336707911516E-2"/>
                </c:manualLayout>
              </c:layout>
              <c:tx>
                <c:rich>
                  <a:bodyPr/>
                  <a:lstStyle/>
                  <a:p>
                    <a:r>
                      <a:rPr lang="en-US" altLang="en-US"/>
                      <a:t>-</a:t>
                    </a:r>
                    <a:r>
                      <a:rPr lang="en-US" altLang="en-US" sz="800"/>
                      <a:t>1</a:t>
                    </a:r>
                    <a:r>
                      <a:rPr lang="en-US" altLang="ja-JP" sz="800"/>
                      <a:t>,</a:t>
                    </a:r>
                    <a:r>
                      <a:rPr lang="en-US" altLang="en-US" sz="800"/>
                      <a:t>073.8</a:t>
                    </a:r>
                  </a:p>
                </c:rich>
              </c:tx>
              <c:showLegendKey val="0"/>
              <c:showVal val="1"/>
              <c:showCatName val="0"/>
              <c:showSerName val="0"/>
              <c:showPercent val="0"/>
              <c:showBubbleSize val="0"/>
            </c:dLbl>
            <c:dLbl>
              <c:idx val="1"/>
              <c:layout>
                <c:manualLayout>
                  <c:x val="-5.2009456264775406E-2"/>
                  <c:y val="2.4421562689279246E-2"/>
                </c:manualLayout>
              </c:layout>
              <c:numFmt formatCode="#,##0_ " sourceLinked="0"/>
              <c:spPr/>
              <c:txPr>
                <a:bodyPr/>
                <a:lstStyle/>
                <a:p>
                  <a:pPr>
                    <a:defRPr sz="800"/>
                  </a:pPr>
                  <a:endParaRPr lang="ja-JP"/>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Hoja1!$Q$19:$R$19</c:f>
              <c:numCache>
                <c:formatCode>yyyy"年"m"月"</c:formatCode>
                <c:ptCount val="2"/>
                <c:pt idx="0">
                  <c:v>41306</c:v>
                </c:pt>
                <c:pt idx="1">
                  <c:v>41671</c:v>
                </c:pt>
              </c:numCache>
            </c:numRef>
          </c:cat>
          <c:val>
            <c:numRef>
              <c:f>Hoja1!$Q$22:$R$22</c:f>
              <c:numCache>
                <c:formatCode>General</c:formatCode>
                <c:ptCount val="2"/>
                <c:pt idx="0">
                  <c:v>-1073.8</c:v>
                </c:pt>
                <c:pt idx="1">
                  <c:v>-1073</c:v>
                </c:pt>
              </c:numCache>
            </c:numRef>
          </c:val>
        </c:ser>
        <c:dLbls>
          <c:showLegendKey val="0"/>
          <c:showVal val="0"/>
          <c:showCatName val="0"/>
          <c:showSerName val="0"/>
          <c:showPercent val="0"/>
          <c:showBubbleSize val="0"/>
        </c:dLbls>
        <c:gapWidth val="150"/>
        <c:axId val="81195776"/>
        <c:axId val="81197312"/>
      </c:barChart>
      <c:dateAx>
        <c:axId val="81195776"/>
        <c:scaling>
          <c:orientation val="minMax"/>
        </c:scaling>
        <c:delete val="0"/>
        <c:axPos val="b"/>
        <c:numFmt formatCode="yyyy&quot;年&quot;m&quot;月&quot;" sourceLinked="1"/>
        <c:majorTickMark val="none"/>
        <c:minorTickMark val="none"/>
        <c:tickLblPos val="none"/>
        <c:crossAx val="81197312"/>
        <c:crosses val="autoZero"/>
        <c:auto val="1"/>
        <c:lblOffset val="100"/>
        <c:baseTimeUnit val="years"/>
      </c:dateAx>
      <c:valAx>
        <c:axId val="81197312"/>
        <c:scaling>
          <c:orientation val="minMax"/>
        </c:scaling>
        <c:delete val="0"/>
        <c:axPos val="l"/>
        <c:majorGridlines/>
        <c:title>
          <c:tx>
            <c:rich>
              <a:bodyPr rot="0" vert="horz"/>
              <a:lstStyle/>
              <a:p>
                <a:pPr>
                  <a:defRPr sz="800" b="0"/>
                </a:pPr>
                <a:r>
                  <a:rPr lang="ja-JP" altLang="en-US" sz="800" b="0"/>
                  <a:t>百万</a:t>
                </a:r>
                <a:endParaRPr lang="en-US" altLang="ja-JP" sz="800" b="0"/>
              </a:p>
              <a:p>
                <a:pPr>
                  <a:defRPr sz="800" b="0"/>
                </a:pPr>
                <a:r>
                  <a:rPr lang="ja-JP" altLang="en-US" sz="800" b="0"/>
                  <a:t>ドル</a:t>
                </a:r>
              </a:p>
            </c:rich>
          </c:tx>
          <c:layout>
            <c:manualLayout>
              <c:xMode val="edge"/>
              <c:yMode val="edge"/>
              <c:x val="9.0484540496267765E-2"/>
              <c:y val="2.5424129676098181E-2"/>
            </c:manualLayout>
          </c:layout>
          <c:overlay val="0"/>
        </c:title>
        <c:numFmt formatCode="#,##0_ " sourceLinked="0"/>
        <c:majorTickMark val="none"/>
        <c:minorTickMark val="none"/>
        <c:tickLblPos val="nextTo"/>
        <c:txPr>
          <a:bodyPr/>
          <a:lstStyle/>
          <a:p>
            <a:pPr>
              <a:defRPr sz="800"/>
            </a:pPr>
            <a:endParaRPr lang="ja-JP"/>
          </a:p>
        </c:txPr>
        <c:crossAx val="81195776"/>
        <c:crosses val="autoZero"/>
        <c:crossBetween val="between"/>
      </c:valAx>
      <c:dTable>
        <c:showHorzBorder val="1"/>
        <c:showVertBorder val="1"/>
        <c:showOutline val="1"/>
        <c:showKeys val="1"/>
        <c:txPr>
          <a:bodyPr/>
          <a:lstStyle/>
          <a:p>
            <a:pPr rtl="0">
              <a:defRPr sz="800"/>
            </a:pPr>
            <a:endParaRPr lang="ja-JP"/>
          </a:p>
        </c:txPr>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ja-JP" altLang="en-US" sz="900"/>
              <a:t>表</a:t>
            </a:r>
            <a:r>
              <a:rPr lang="en-US" altLang="ja-JP" sz="900"/>
              <a:t>3</a:t>
            </a:r>
            <a:r>
              <a:rPr lang="ja-JP" altLang="en-US" sz="900"/>
              <a:t>　累積貿易額　前年比較</a:t>
            </a:r>
            <a:r>
              <a:rPr lang="en-US" altLang="ja-JP" sz="900"/>
              <a:t>(1</a:t>
            </a:r>
            <a:r>
              <a:rPr lang="ja-JP" altLang="en-US" sz="900"/>
              <a:t>月</a:t>
            </a:r>
            <a:r>
              <a:rPr lang="en-US" altLang="ja-JP" sz="900"/>
              <a:t>)</a:t>
            </a:r>
            <a:endParaRPr lang="ja-JP" altLang="en-US" sz="900"/>
          </a:p>
        </c:rich>
      </c:tx>
      <c:layout>
        <c:manualLayout>
          <c:xMode val="edge"/>
          <c:yMode val="edge"/>
          <c:x val="0.25713580246913564"/>
          <c:y val="6.3492063492063502E-2"/>
        </c:manualLayout>
      </c:layout>
      <c:overlay val="0"/>
    </c:title>
    <c:autoTitleDeleted val="0"/>
    <c:plotArea>
      <c:layout>
        <c:manualLayout>
          <c:layoutTarget val="inner"/>
          <c:xMode val="edge"/>
          <c:yMode val="edge"/>
          <c:x val="0.24518051910177888"/>
          <c:y val="0.15482295482295488"/>
          <c:w val="0.75481948089822104"/>
          <c:h val="0.52024573851345524"/>
        </c:manualLayout>
      </c:layout>
      <c:barChart>
        <c:barDir val="col"/>
        <c:grouping val="clustered"/>
        <c:varyColors val="0"/>
        <c:ser>
          <c:idx val="0"/>
          <c:order val="0"/>
          <c:tx>
            <c:strRef>
              <c:f>Hoja1!$I$21</c:f>
              <c:strCache>
                <c:ptCount val="1"/>
                <c:pt idx="0">
                  <c:v>輸出</c:v>
                </c:pt>
              </c:strCache>
            </c:strRef>
          </c:tx>
          <c:invertIfNegative val="0"/>
          <c:dLbls>
            <c:dLbl>
              <c:idx val="0"/>
              <c:layout>
                <c:manualLayout>
                  <c:x val="-2.4691358024691318E-2"/>
                  <c:y val="0"/>
                </c:manualLayout>
              </c:layout>
              <c:showLegendKey val="0"/>
              <c:showVal val="1"/>
              <c:showCatName val="0"/>
              <c:showSerName val="0"/>
              <c:showPercent val="0"/>
              <c:showBubbleSize val="0"/>
            </c:dLbl>
            <c:dLbl>
              <c:idx val="1"/>
              <c:layout>
                <c:manualLayout>
                  <c:x val="-2.9629629629629641E-2"/>
                  <c:y val="0"/>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numRef>
              <c:f>Hoja1!$H$22:$H$23</c:f>
              <c:numCache>
                <c:formatCode>yyyy"年"m"月"</c:formatCode>
                <c:ptCount val="2"/>
                <c:pt idx="0">
                  <c:v>41275</c:v>
                </c:pt>
                <c:pt idx="1">
                  <c:v>41640</c:v>
                </c:pt>
              </c:numCache>
            </c:numRef>
          </c:cat>
          <c:val>
            <c:numRef>
              <c:f>Hoja1!$I$22:$I$23</c:f>
              <c:numCache>
                <c:formatCode>General</c:formatCode>
                <c:ptCount val="2"/>
                <c:pt idx="0">
                  <c:v>910.8</c:v>
                </c:pt>
                <c:pt idx="1">
                  <c:v>856.9</c:v>
                </c:pt>
              </c:numCache>
            </c:numRef>
          </c:val>
        </c:ser>
        <c:ser>
          <c:idx val="1"/>
          <c:order val="1"/>
          <c:tx>
            <c:strRef>
              <c:f>Hoja1!$J$21</c:f>
              <c:strCache>
                <c:ptCount val="1"/>
                <c:pt idx="0">
                  <c:v>輸入</c:v>
                </c:pt>
              </c:strCache>
            </c:strRef>
          </c:tx>
          <c:invertIfNegative val="0"/>
          <c:dLbls>
            <c:txPr>
              <a:bodyPr/>
              <a:lstStyle/>
              <a:p>
                <a:pPr>
                  <a:defRPr sz="800"/>
                </a:pPr>
                <a:endParaRPr lang="ja-JP"/>
              </a:p>
            </c:txPr>
            <c:showLegendKey val="0"/>
            <c:showVal val="1"/>
            <c:showCatName val="0"/>
            <c:showSerName val="0"/>
            <c:showPercent val="0"/>
            <c:showBubbleSize val="0"/>
            <c:showLeaderLines val="0"/>
          </c:dLbls>
          <c:cat>
            <c:numRef>
              <c:f>Hoja1!$H$22:$H$23</c:f>
              <c:numCache>
                <c:formatCode>yyyy"年"m"月"</c:formatCode>
                <c:ptCount val="2"/>
                <c:pt idx="0">
                  <c:v>41275</c:v>
                </c:pt>
                <c:pt idx="1">
                  <c:v>41640</c:v>
                </c:pt>
              </c:numCache>
            </c:numRef>
          </c:cat>
          <c:val>
            <c:numRef>
              <c:f>Hoja1!$J$22:$J$23</c:f>
              <c:numCache>
                <c:formatCode>General</c:formatCode>
                <c:ptCount val="2"/>
                <c:pt idx="0">
                  <c:v>1562.9</c:v>
                </c:pt>
                <c:pt idx="1">
                  <c:v>1518.3</c:v>
                </c:pt>
              </c:numCache>
            </c:numRef>
          </c:val>
        </c:ser>
        <c:ser>
          <c:idx val="2"/>
          <c:order val="2"/>
          <c:tx>
            <c:strRef>
              <c:f>Hoja1!$K$21</c:f>
              <c:strCache>
                <c:ptCount val="1"/>
                <c:pt idx="0">
                  <c:v>貿易収支</c:v>
                </c:pt>
              </c:strCache>
            </c:strRef>
          </c:tx>
          <c:invertIfNegative val="0"/>
          <c:dLbls>
            <c:dLbl>
              <c:idx val="0"/>
              <c:layout>
                <c:manualLayout>
                  <c:x val="-2.9629629629629641E-2"/>
                  <c:y val="1.9536404103333245E-2"/>
                </c:manualLayout>
              </c:layout>
              <c:showLegendKey val="0"/>
              <c:showVal val="1"/>
              <c:showCatName val="0"/>
              <c:showSerName val="0"/>
              <c:showPercent val="0"/>
              <c:showBubbleSize val="0"/>
            </c:dLbl>
            <c:dLbl>
              <c:idx val="1"/>
              <c:layout>
                <c:manualLayout>
                  <c:x val="-2.9629629629629641E-2"/>
                  <c:y val="2.4420408987338122E-2"/>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numRef>
              <c:f>Hoja1!$H$22:$H$23</c:f>
              <c:numCache>
                <c:formatCode>yyyy"年"m"月"</c:formatCode>
                <c:ptCount val="2"/>
                <c:pt idx="0">
                  <c:v>41275</c:v>
                </c:pt>
                <c:pt idx="1">
                  <c:v>41640</c:v>
                </c:pt>
              </c:numCache>
            </c:numRef>
          </c:cat>
          <c:val>
            <c:numRef>
              <c:f>Hoja1!$K$22:$K$23</c:f>
              <c:numCache>
                <c:formatCode>General</c:formatCode>
                <c:ptCount val="2"/>
                <c:pt idx="0">
                  <c:v>-652.1</c:v>
                </c:pt>
                <c:pt idx="1">
                  <c:v>-661.4</c:v>
                </c:pt>
              </c:numCache>
            </c:numRef>
          </c:val>
        </c:ser>
        <c:dLbls>
          <c:showLegendKey val="0"/>
          <c:showVal val="0"/>
          <c:showCatName val="0"/>
          <c:showSerName val="0"/>
          <c:showPercent val="0"/>
          <c:showBubbleSize val="0"/>
        </c:dLbls>
        <c:gapWidth val="150"/>
        <c:axId val="82958976"/>
        <c:axId val="82977152"/>
      </c:barChart>
      <c:dateAx>
        <c:axId val="82958976"/>
        <c:scaling>
          <c:orientation val="minMax"/>
        </c:scaling>
        <c:delete val="0"/>
        <c:axPos val="b"/>
        <c:numFmt formatCode="yyyy&quot;年&quot;m&quot;月&quot;" sourceLinked="1"/>
        <c:majorTickMark val="none"/>
        <c:minorTickMark val="none"/>
        <c:tickLblPos val="none"/>
        <c:crossAx val="82977152"/>
        <c:crosses val="autoZero"/>
        <c:auto val="1"/>
        <c:lblOffset val="100"/>
        <c:baseTimeUnit val="years"/>
      </c:dateAx>
      <c:valAx>
        <c:axId val="82977152"/>
        <c:scaling>
          <c:orientation val="minMax"/>
        </c:scaling>
        <c:delete val="0"/>
        <c:axPos val="l"/>
        <c:majorGridlines/>
        <c:title>
          <c:tx>
            <c:rich>
              <a:bodyPr rot="0" vert="horz"/>
              <a:lstStyle/>
              <a:p>
                <a:pPr>
                  <a:defRPr sz="800" b="0"/>
                </a:pPr>
                <a:r>
                  <a:rPr lang="ja-JP" altLang="en-US" sz="800" b="0"/>
                  <a:t>百万</a:t>
                </a:r>
                <a:endParaRPr lang="en-US" altLang="ja-JP" sz="800" b="0"/>
              </a:p>
              <a:p>
                <a:pPr>
                  <a:defRPr sz="800" b="0"/>
                </a:pPr>
                <a:r>
                  <a:rPr lang="ja-JP" altLang="en-US" sz="800" b="0"/>
                  <a:t>ドル</a:t>
                </a:r>
              </a:p>
            </c:rich>
          </c:tx>
          <c:layout>
            <c:manualLayout>
              <c:xMode val="edge"/>
              <c:yMode val="edge"/>
              <c:x val="9.2901331777972204E-2"/>
              <c:y val="2.5169930681741712E-2"/>
            </c:manualLayout>
          </c:layout>
          <c:overlay val="0"/>
        </c:title>
        <c:numFmt formatCode="#,##0_ " sourceLinked="0"/>
        <c:majorTickMark val="none"/>
        <c:minorTickMark val="none"/>
        <c:tickLblPos val="nextTo"/>
        <c:txPr>
          <a:bodyPr/>
          <a:lstStyle/>
          <a:p>
            <a:pPr>
              <a:defRPr sz="800"/>
            </a:pPr>
            <a:endParaRPr lang="ja-JP"/>
          </a:p>
        </c:txPr>
        <c:crossAx val="82958976"/>
        <c:crosses val="autoZero"/>
        <c:crossBetween val="between"/>
      </c:valAx>
      <c:dTable>
        <c:showHorzBorder val="1"/>
        <c:showVertBorder val="1"/>
        <c:showOutline val="1"/>
        <c:showKeys val="1"/>
        <c:txPr>
          <a:bodyPr/>
          <a:lstStyle/>
          <a:p>
            <a:pPr rtl="0">
              <a:defRPr sz="800"/>
            </a:pPr>
            <a:endParaRPr lang="ja-JP"/>
          </a:p>
        </c:txPr>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200"/>
              <a:t>表</a:t>
            </a:r>
            <a:r>
              <a:rPr lang="en-US" altLang="ja-JP" sz="1200"/>
              <a:t>5</a:t>
            </a:r>
            <a:r>
              <a:rPr lang="ja-JP" altLang="en-US" sz="1200"/>
              <a:t>　貿易推移</a:t>
            </a:r>
            <a:r>
              <a:rPr lang="en-US" altLang="ja-JP" sz="1200"/>
              <a:t>(</a:t>
            </a:r>
            <a:r>
              <a:rPr lang="ja-JP" altLang="en-US" sz="1200"/>
              <a:t>成長率</a:t>
            </a:r>
            <a:r>
              <a:rPr lang="en-US" altLang="ja-JP" sz="1200"/>
              <a:t>)</a:t>
            </a:r>
            <a:endParaRPr lang="ja-JP" altLang="en-US" sz="1200"/>
          </a:p>
        </c:rich>
      </c:tx>
      <c:layout/>
      <c:overlay val="0"/>
    </c:title>
    <c:autoTitleDeleted val="0"/>
    <c:plotArea>
      <c:layout/>
      <c:lineChart>
        <c:grouping val="standard"/>
        <c:varyColors val="0"/>
        <c:ser>
          <c:idx val="0"/>
          <c:order val="0"/>
          <c:tx>
            <c:strRef>
              <c:f>Sheet1!$H$6</c:f>
              <c:strCache>
                <c:ptCount val="1"/>
                <c:pt idx="0">
                  <c:v>輸出</c:v>
                </c:pt>
              </c:strCache>
            </c:strRef>
          </c:tx>
          <c:cat>
            <c:numRef>
              <c:f>Sheet1!$G$7:$G$20</c:f>
              <c:numCache>
                <c:formatCode>yyyy"年"mm"月"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Sheet1!$H$7:$H$20</c:f>
              <c:numCache>
                <c:formatCode>General</c:formatCode>
                <c:ptCount val="14"/>
                <c:pt idx="0">
                  <c:v>3.3</c:v>
                </c:pt>
                <c:pt idx="1">
                  <c:v>0.70000000000000062</c:v>
                </c:pt>
                <c:pt idx="2">
                  <c:v>-2.9</c:v>
                </c:pt>
                <c:pt idx="3">
                  <c:v>-1</c:v>
                </c:pt>
                <c:pt idx="4">
                  <c:v>-1.7</c:v>
                </c:pt>
                <c:pt idx="5">
                  <c:v>-1.4</c:v>
                </c:pt>
                <c:pt idx="6">
                  <c:v>-0.70000000000000062</c:v>
                </c:pt>
                <c:pt idx="7">
                  <c:v>-0.30000000000000032</c:v>
                </c:pt>
                <c:pt idx="8">
                  <c:v>0.5</c:v>
                </c:pt>
                <c:pt idx="9">
                  <c:v>1.4</c:v>
                </c:pt>
                <c:pt idx="10">
                  <c:v>1.4</c:v>
                </c:pt>
                <c:pt idx="11">
                  <c:v>1.2</c:v>
                </c:pt>
                <c:pt idx="12">
                  <c:v>-5.9</c:v>
                </c:pt>
                <c:pt idx="13">
                  <c:v>-1.4</c:v>
                </c:pt>
              </c:numCache>
            </c:numRef>
          </c:val>
          <c:smooth val="0"/>
        </c:ser>
        <c:ser>
          <c:idx val="1"/>
          <c:order val="1"/>
          <c:tx>
            <c:strRef>
              <c:f>Sheet1!$I$6</c:f>
              <c:strCache>
                <c:ptCount val="1"/>
                <c:pt idx="0">
                  <c:v>輸入</c:v>
                </c:pt>
              </c:strCache>
            </c:strRef>
          </c:tx>
          <c:cat>
            <c:numRef>
              <c:f>Sheet1!$G$7:$G$20</c:f>
              <c:numCache>
                <c:formatCode>yyyy"年"mm"月"</c:formatCode>
                <c:ptCount val="1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numCache>
            </c:numRef>
          </c:cat>
          <c:val>
            <c:numRef>
              <c:f>Sheet1!$I$7:$I$20</c:f>
              <c:numCache>
                <c:formatCode>#,##0.0</c:formatCode>
                <c:ptCount val="14"/>
                <c:pt idx="0">
                  <c:v>6.1172205099999797</c:v>
                </c:pt>
                <c:pt idx="1">
                  <c:v>4.2592513199999997</c:v>
                </c:pt>
                <c:pt idx="2">
                  <c:v>0.26091231000000031</c:v>
                </c:pt>
                <c:pt idx="3">
                  <c:v>5.2624513299999816</c:v>
                </c:pt>
                <c:pt idx="4">
                  <c:v>3.7380383500000001</c:v>
                </c:pt>
                <c:pt idx="5">
                  <c:v>2.9211301199999999</c:v>
                </c:pt>
                <c:pt idx="6">
                  <c:v>3.6010720299999988</c:v>
                </c:pt>
                <c:pt idx="7">
                  <c:v>2.5341469899999987</c:v>
                </c:pt>
                <c:pt idx="8">
                  <c:v>3.7979586400000001</c:v>
                </c:pt>
                <c:pt idx="9">
                  <c:v>3.3280350199999997</c:v>
                </c:pt>
                <c:pt idx="10">
                  <c:v>2.8856040599999999</c:v>
                </c:pt>
                <c:pt idx="11">
                  <c:v>2.3710395199999987</c:v>
                </c:pt>
                <c:pt idx="12">
                  <c:v>-2.8552482899999898</c:v>
                </c:pt>
                <c:pt idx="13">
                  <c:v>-0.92340968999999951</c:v>
                </c:pt>
              </c:numCache>
            </c:numRef>
          </c:val>
          <c:smooth val="0"/>
        </c:ser>
        <c:dLbls>
          <c:showLegendKey val="0"/>
          <c:showVal val="0"/>
          <c:showCatName val="0"/>
          <c:showSerName val="0"/>
          <c:showPercent val="0"/>
          <c:showBubbleSize val="0"/>
        </c:dLbls>
        <c:marker val="1"/>
        <c:smooth val="0"/>
        <c:axId val="83000320"/>
        <c:axId val="83043072"/>
      </c:lineChart>
      <c:dateAx>
        <c:axId val="83000320"/>
        <c:scaling>
          <c:orientation val="minMax"/>
        </c:scaling>
        <c:delete val="0"/>
        <c:axPos val="b"/>
        <c:numFmt formatCode="yyyy&quot;年&quot;mm&quot;月&quot;" sourceLinked="1"/>
        <c:majorTickMark val="none"/>
        <c:minorTickMark val="none"/>
        <c:tickLblPos val="none"/>
        <c:crossAx val="83043072"/>
        <c:crosses val="autoZero"/>
        <c:auto val="1"/>
        <c:lblOffset val="100"/>
        <c:baseTimeUnit val="months"/>
      </c:dateAx>
      <c:valAx>
        <c:axId val="83043072"/>
        <c:scaling>
          <c:orientation val="minMax"/>
        </c:scaling>
        <c:delete val="0"/>
        <c:axPos val="l"/>
        <c:majorGridlines/>
        <c:title>
          <c:tx>
            <c:rich>
              <a:bodyPr rot="0" vert="horz"/>
              <a:lstStyle/>
              <a:p>
                <a:pPr>
                  <a:defRPr/>
                </a:pPr>
                <a:r>
                  <a:rPr lang="en-US" altLang="ja-JP" b="0"/>
                  <a:t>(</a:t>
                </a:r>
                <a:r>
                  <a:rPr lang="ja-JP" altLang="en-US" b="0"/>
                  <a:t>％</a:t>
                </a:r>
                <a:r>
                  <a:rPr lang="en-US" altLang="ja-JP" b="0"/>
                  <a:t>)</a:t>
                </a:r>
                <a:endParaRPr lang="ja-JP" altLang="en-US" b="0"/>
              </a:p>
            </c:rich>
          </c:tx>
          <c:layout>
            <c:manualLayout>
              <c:xMode val="edge"/>
              <c:yMode val="edge"/>
              <c:x val="8.6021493302642527E-2"/>
              <c:y val="7.8020302609232664E-2"/>
            </c:manualLayout>
          </c:layout>
          <c:overlay val="0"/>
        </c:title>
        <c:numFmt formatCode="General" sourceLinked="1"/>
        <c:majorTickMark val="none"/>
        <c:minorTickMark val="none"/>
        <c:tickLblPos val="nextTo"/>
        <c:crossAx val="83000320"/>
        <c:crosses val="autoZero"/>
        <c:crossBetween val="between"/>
      </c:valAx>
      <c:dTable>
        <c:showHorzBorder val="1"/>
        <c:showVertBorder val="1"/>
        <c:showOutline val="1"/>
        <c:showKeys val="1"/>
        <c:txPr>
          <a:bodyPr/>
          <a:lstStyle/>
          <a:p>
            <a:pPr rtl="0">
              <a:defRPr sz="900"/>
            </a:pPr>
            <a:endParaRPr lang="ja-JP"/>
          </a:p>
        </c:txPr>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00" b="0" i="0" u="none" strike="noStrike" baseline="0">
                <a:solidFill>
                  <a:srgbClr val="000000"/>
                </a:solidFill>
                <a:latin typeface="ＭＳ Ｐゴシック"/>
                <a:ea typeface="ＭＳ Ｐゴシック"/>
                <a:cs typeface="ＭＳ Ｐゴシック"/>
              </a:defRPr>
            </a:pPr>
            <a:r>
              <a:rPr lang="ja-JP" altLang="en-US" sz="1000" b="1" i="0" u="none" strike="noStrike" baseline="0">
                <a:solidFill>
                  <a:srgbClr val="000000"/>
                </a:solidFill>
                <a:latin typeface="ＭＳ Ｐゴシック"/>
                <a:ea typeface="ＭＳ Ｐゴシック"/>
              </a:rPr>
              <a:t>表</a:t>
            </a:r>
            <a:r>
              <a:rPr lang="en-US" altLang="ja-JP" sz="1000" b="1" i="0" u="none" strike="noStrike" baseline="0">
                <a:solidFill>
                  <a:srgbClr val="000000"/>
                </a:solidFill>
                <a:latin typeface="ＭＳ Ｐゴシック"/>
                <a:ea typeface="ＭＳ Ｐゴシック"/>
              </a:rPr>
              <a:t>6</a:t>
            </a:r>
            <a:r>
              <a:rPr lang="ja-JP" altLang="en-US" sz="1000" b="1" i="0" u="none" strike="noStrike" baseline="0">
                <a:solidFill>
                  <a:srgbClr val="000000"/>
                </a:solidFill>
                <a:latin typeface="ＭＳ Ｐゴシック"/>
                <a:ea typeface="ＭＳ Ｐゴシック"/>
              </a:rPr>
              <a:t>　財政収支</a:t>
            </a:r>
            <a:r>
              <a:rPr lang="en-US" altLang="ja-JP" sz="1000" b="1" i="0" u="none" strike="noStrike" baseline="0">
                <a:solidFill>
                  <a:srgbClr val="000000"/>
                </a:solidFill>
                <a:latin typeface="ＭＳ Ｐゴシック"/>
                <a:ea typeface="ＭＳ Ｐゴシック"/>
              </a:rPr>
              <a:t>(</a:t>
            </a:r>
            <a:r>
              <a:rPr lang="ja-JP" altLang="en-US" sz="1000" b="1" i="0" u="none" strike="noStrike" baseline="0">
                <a:solidFill>
                  <a:srgbClr val="000000"/>
                </a:solidFill>
                <a:latin typeface="ＭＳ Ｐゴシック"/>
                <a:ea typeface="ＭＳ Ｐゴシック"/>
              </a:rPr>
              <a:t>中央政府）</a:t>
            </a:r>
            <a:endParaRPr lang="en-US" altLang="ja-JP" sz="1000" b="1" i="0" u="none" strike="noStrike" baseline="0">
              <a:solidFill>
                <a:srgbClr val="000000"/>
              </a:solidFill>
              <a:latin typeface="ＭＳ Ｐゴシック"/>
              <a:ea typeface="ＭＳ Ｐゴシック"/>
            </a:endParaRPr>
          </a:p>
          <a:p>
            <a:pPr algn="ctr">
              <a:defRPr sz="1000" b="0" i="0" u="none" strike="noStrike" baseline="0">
                <a:solidFill>
                  <a:srgbClr val="000000"/>
                </a:solidFill>
                <a:latin typeface="ＭＳ Ｐゴシック"/>
                <a:ea typeface="ＭＳ Ｐゴシック"/>
                <a:cs typeface="ＭＳ Ｐゴシック"/>
              </a:defRPr>
            </a:pPr>
            <a:r>
              <a:rPr lang="ja-JP" altLang="en-US" sz="1000" b="1" i="0" u="none" strike="noStrike" baseline="0">
                <a:solidFill>
                  <a:srgbClr val="000000"/>
                </a:solidFill>
                <a:latin typeface="ＭＳ Ｐゴシック"/>
                <a:ea typeface="ＭＳ Ｐゴシック"/>
              </a:rPr>
              <a:t>累計比較</a:t>
            </a:r>
          </a:p>
        </c:rich>
      </c:tx>
      <c:layout>
        <c:manualLayout>
          <c:xMode val="edge"/>
          <c:yMode val="edge"/>
          <c:x val="0.23340296748620734"/>
          <c:y val="1.8090046436503129E-3"/>
        </c:manualLayout>
      </c:layout>
      <c:overlay val="0"/>
      <c:spPr>
        <a:noFill/>
        <a:ln w="25400">
          <a:noFill/>
        </a:ln>
      </c:spPr>
    </c:title>
    <c:autoTitleDeleted val="0"/>
    <c:plotArea>
      <c:layout>
        <c:manualLayout>
          <c:layoutTarget val="inner"/>
          <c:xMode val="edge"/>
          <c:yMode val="edge"/>
          <c:x val="0.25257726814566489"/>
          <c:y val="0.1298443508514931"/>
          <c:w val="0.489038087796278"/>
          <c:h val="0.32153895397221793"/>
        </c:manualLayout>
      </c:layout>
      <c:barChart>
        <c:barDir val="col"/>
        <c:grouping val="clustered"/>
        <c:varyColors val="0"/>
        <c:ser>
          <c:idx val="0"/>
          <c:order val="0"/>
          <c:tx>
            <c:strRef>
              <c:f>'2014主要経済指標'!$L$203</c:f>
              <c:strCache>
                <c:ptCount val="1"/>
                <c:pt idx="0">
                  <c:v>歳入</c:v>
                </c:pt>
              </c:strCache>
            </c:strRef>
          </c:tx>
          <c:spPr>
            <a:solidFill>
              <a:srgbClr val="99CCFF"/>
            </a:solidFill>
            <a:ln w="25400">
              <a:noFill/>
            </a:ln>
          </c:spPr>
          <c:invertIfNegative val="0"/>
          <c:cat>
            <c:numRef>
              <c:f>'2014主要経済指標'!$M$202:$N$202</c:f>
              <c:numCache>
                <c:formatCode>yyyy"年"m"月";@</c:formatCode>
                <c:ptCount val="2"/>
                <c:pt idx="0">
                  <c:v>41275</c:v>
                </c:pt>
                <c:pt idx="1">
                  <c:v>41640</c:v>
                </c:pt>
              </c:numCache>
            </c:numRef>
          </c:cat>
          <c:val>
            <c:numRef>
              <c:f>'2014主要経済指標'!$M$203:$N$203</c:f>
              <c:numCache>
                <c:formatCode>#,##0.0;[Red]\-#,##0.0</c:formatCode>
                <c:ptCount val="2"/>
                <c:pt idx="0">
                  <c:v>257167.2</c:v>
                </c:pt>
                <c:pt idx="1">
                  <c:v>280587.59999999998</c:v>
                </c:pt>
              </c:numCache>
            </c:numRef>
          </c:val>
        </c:ser>
        <c:ser>
          <c:idx val="1"/>
          <c:order val="1"/>
          <c:tx>
            <c:strRef>
              <c:f>'2014主要経済指標'!$L$204</c:f>
              <c:strCache>
                <c:ptCount val="1"/>
                <c:pt idx="0">
                  <c:v>歳出</c:v>
                </c:pt>
              </c:strCache>
            </c:strRef>
          </c:tx>
          <c:spPr>
            <a:solidFill>
              <a:srgbClr val="CC99FF"/>
            </a:solidFill>
            <a:ln w="25400">
              <a:noFill/>
            </a:ln>
          </c:spPr>
          <c:invertIfNegative val="0"/>
          <c:cat>
            <c:numRef>
              <c:f>'2014主要経済指標'!$M$202:$N$202</c:f>
              <c:numCache>
                <c:formatCode>yyyy"年"m"月";@</c:formatCode>
                <c:ptCount val="2"/>
                <c:pt idx="0">
                  <c:v>41275</c:v>
                </c:pt>
                <c:pt idx="1">
                  <c:v>41640</c:v>
                </c:pt>
              </c:numCache>
            </c:numRef>
          </c:cat>
          <c:val>
            <c:numRef>
              <c:f>'2014主要経済指標'!$M$204:$N$204</c:f>
              <c:numCache>
                <c:formatCode>#,##0.0;[Red]\-#,##0.0</c:formatCode>
                <c:ptCount val="2"/>
                <c:pt idx="0">
                  <c:v>468736.5</c:v>
                </c:pt>
                <c:pt idx="1">
                  <c:v>475059</c:v>
                </c:pt>
              </c:numCache>
            </c:numRef>
          </c:val>
        </c:ser>
        <c:ser>
          <c:idx val="2"/>
          <c:order val="2"/>
          <c:tx>
            <c:strRef>
              <c:f>'2014主要経済指標'!$L$205</c:f>
              <c:strCache>
                <c:ptCount val="1"/>
                <c:pt idx="0">
                  <c:v>財政収支</c:v>
                </c:pt>
              </c:strCache>
            </c:strRef>
          </c:tx>
          <c:spPr>
            <a:solidFill>
              <a:srgbClr val="800000"/>
            </a:solidFill>
            <a:ln w="25400">
              <a:noFill/>
            </a:ln>
          </c:spPr>
          <c:invertIfNegative val="0"/>
          <c:cat>
            <c:numRef>
              <c:f>'2014主要経済指標'!$M$202:$N$202</c:f>
              <c:numCache>
                <c:formatCode>yyyy"年"m"月";@</c:formatCode>
                <c:ptCount val="2"/>
                <c:pt idx="0">
                  <c:v>41275</c:v>
                </c:pt>
                <c:pt idx="1">
                  <c:v>41640</c:v>
                </c:pt>
              </c:numCache>
            </c:numRef>
          </c:cat>
          <c:val>
            <c:numRef>
              <c:f>'2014主要経済指標'!$M$205:$N$205</c:f>
              <c:numCache>
                <c:formatCode>#,##0.0;[Red]\-#,##0.0</c:formatCode>
                <c:ptCount val="2"/>
                <c:pt idx="0">
                  <c:v>-211569.17027826057</c:v>
                </c:pt>
                <c:pt idx="1">
                  <c:v>-197471</c:v>
                </c:pt>
              </c:numCache>
            </c:numRef>
          </c:val>
        </c:ser>
        <c:dLbls>
          <c:showLegendKey val="0"/>
          <c:showVal val="0"/>
          <c:showCatName val="0"/>
          <c:showSerName val="0"/>
          <c:showPercent val="0"/>
          <c:showBubbleSize val="0"/>
        </c:dLbls>
        <c:gapWidth val="150"/>
        <c:axId val="83364096"/>
        <c:axId val="83369984"/>
      </c:barChart>
      <c:lineChart>
        <c:grouping val="standard"/>
        <c:varyColors val="0"/>
        <c:ser>
          <c:idx val="3"/>
          <c:order val="3"/>
          <c:tx>
            <c:strRef>
              <c:f>'2014主要経済指標'!$L$206</c:f>
              <c:strCache>
                <c:ptCount val="1"/>
                <c:pt idx="0">
                  <c:v>対GDP比</c:v>
                </c:pt>
              </c:strCache>
            </c:strRef>
          </c:tx>
          <c:spPr>
            <a:ln w="25400">
              <a:solidFill>
                <a:srgbClr val="333399"/>
              </a:solidFill>
              <a:prstDash val="solid"/>
            </a:ln>
          </c:spPr>
          <c:marker>
            <c:symbol val="circle"/>
            <c:size val="7"/>
            <c:spPr>
              <a:solidFill>
                <a:srgbClr val="333399"/>
              </a:solidFill>
              <a:ln>
                <a:solidFill>
                  <a:srgbClr val="333399"/>
                </a:solidFill>
                <a:prstDash val="solid"/>
              </a:ln>
            </c:spPr>
          </c:marker>
          <c:dLbls>
            <c:dLbl>
              <c:idx val="0"/>
              <c:layout>
                <c:manualLayout>
                  <c:x val="-9.5869044406832526E-2"/>
                  <c:y val="6.2250546440892215E-2"/>
                </c:manualLayout>
              </c:layout>
              <c:dLblPos val="r"/>
              <c:showLegendKey val="0"/>
              <c:showVal val="1"/>
              <c:showCatName val="0"/>
              <c:showSerName val="0"/>
              <c:showPercent val="0"/>
              <c:showBubbleSize val="0"/>
            </c:dLbl>
            <c:dLbl>
              <c:idx val="1"/>
              <c:layout>
                <c:manualLayout>
                  <c:x val="-5.1332368500666394E-2"/>
                  <c:y val="5.1627559932934795E-2"/>
                </c:manualLayout>
              </c:layout>
              <c:showLegendKey val="0"/>
              <c:showVal val="1"/>
              <c:showCatName val="0"/>
              <c:showSerName val="0"/>
              <c:showPercent val="0"/>
              <c:showBubbleSize val="0"/>
            </c:dLbl>
            <c:spPr>
              <a:noFill/>
              <a:ln w="25400">
                <a:noFill/>
              </a:ln>
            </c:spPr>
            <c:txPr>
              <a:bodyPr/>
              <a:lstStyle/>
              <a:p>
                <a:pPr>
                  <a:defRPr sz="1000" b="1" i="0" u="none" strike="noStrike" baseline="0">
                    <a:solidFill>
                      <a:srgbClr val="000000"/>
                    </a:solidFill>
                    <a:latin typeface="Calibri"/>
                    <a:ea typeface="Calibri"/>
                    <a:cs typeface="Calibri"/>
                  </a:defRPr>
                </a:pPr>
                <a:endParaRPr lang="ja-JP"/>
              </a:p>
            </c:txPr>
            <c:showLegendKey val="0"/>
            <c:showVal val="1"/>
            <c:showCatName val="0"/>
            <c:showSerName val="0"/>
            <c:showPercent val="0"/>
            <c:showBubbleSize val="0"/>
            <c:showLeaderLines val="0"/>
          </c:dLbls>
          <c:cat>
            <c:numRef>
              <c:f>'2014主要経済指標'!$M$202:$N$202</c:f>
              <c:numCache>
                <c:formatCode>yyyy"年"m"月";@</c:formatCode>
                <c:ptCount val="2"/>
                <c:pt idx="0">
                  <c:v>41275</c:v>
                </c:pt>
                <c:pt idx="1">
                  <c:v>41640</c:v>
                </c:pt>
              </c:numCache>
            </c:numRef>
          </c:cat>
          <c:val>
            <c:numRef>
              <c:f>'2014主要経済指標'!$M$206:$N$206</c:f>
              <c:numCache>
                <c:formatCode>0.0%</c:formatCode>
                <c:ptCount val="2"/>
                <c:pt idx="0">
                  <c:v>-9.0000000000000028E-3</c:v>
                </c:pt>
                <c:pt idx="1">
                  <c:v>-8.0000000000000227E-3</c:v>
                </c:pt>
              </c:numCache>
            </c:numRef>
          </c:val>
          <c:smooth val="0"/>
        </c:ser>
        <c:dLbls>
          <c:showLegendKey val="0"/>
          <c:showVal val="0"/>
          <c:showCatName val="0"/>
          <c:showSerName val="0"/>
          <c:showPercent val="0"/>
          <c:showBubbleSize val="0"/>
        </c:dLbls>
        <c:marker val="1"/>
        <c:smooth val="0"/>
        <c:axId val="83371904"/>
        <c:axId val="83373440"/>
      </c:lineChart>
      <c:catAx>
        <c:axId val="83364096"/>
        <c:scaling>
          <c:orientation val="minMax"/>
        </c:scaling>
        <c:delete val="0"/>
        <c:axPos val="b"/>
        <c:numFmt formatCode="yyyy&quot;年&quot;m&quot;月&quot;;@" sourceLinked="1"/>
        <c:majorTickMark val="in"/>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83369984"/>
        <c:crosses val="autoZero"/>
        <c:auto val="0"/>
        <c:lblAlgn val="ctr"/>
        <c:lblOffset val="100"/>
        <c:tickMarkSkip val="1"/>
        <c:noMultiLvlLbl val="0"/>
      </c:catAx>
      <c:valAx>
        <c:axId val="83369984"/>
        <c:scaling>
          <c:orientation val="minMax"/>
          <c:min val="-1000000"/>
        </c:scaling>
        <c:delete val="0"/>
        <c:axPos val="l"/>
        <c:majorGridlines>
          <c:spPr>
            <a:ln w="3175">
              <a:solidFill>
                <a:srgbClr val="000000"/>
              </a:solidFill>
              <a:prstDash val="sysDash"/>
            </a:ln>
          </c:spPr>
        </c:majorGridlines>
        <c:title>
          <c:tx>
            <c:rich>
              <a:bodyPr rot="0" vert="horz"/>
              <a:lstStyle/>
              <a:p>
                <a:pPr algn="ctr">
                  <a:defRPr sz="800" b="0" i="0" u="none" strike="noStrike" baseline="0">
                    <a:solidFill>
                      <a:srgbClr val="000000"/>
                    </a:solidFill>
                    <a:latin typeface="ＭＳ Ｐゴシック"/>
                    <a:ea typeface="ＭＳ Ｐゴシック"/>
                    <a:cs typeface="ＭＳ Ｐゴシック"/>
                  </a:defRPr>
                </a:pPr>
                <a:r>
                  <a:rPr lang="en-US" altLang="ja-JP" sz="800" b="0" i="0" u="none" strike="noStrike" baseline="0">
                    <a:solidFill>
                      <a:srgbClr val="000000"/>
                    </a:solidFill>
                    <a:latin typeface="ＭＳ Ｐゴシック"/>
                    <a:ea typeface="ＭＳ Ｐゴシック"/>
                  </a:rPr>
                  <a:t>(</a:t>
                </a:r>
                <a:r>
                  <a:rPr lang="ja-JP" altLang="en-US" sz="800" b="0" i="0" u="none" strike="noStrike" baseline="0">
                    <a:solidFill>
                      <a:srgbClr val="000000"/>
                    </a:solidFill>
                    <a:latin typeface="ＭＳ Ｐゴシック"/>
                    <a:ea typeface="ＭＳ Ｐゴシック"/>
                  </a:rPr>
                  <a:t>百万コロン）</a:t>
                </a:r>
              </a:p>
            </c:rich>
          </c:tx>
          <c:layout>
            <c:manualLayout>
              <c:xMode val="edge"/>
              <c:yMode val="edge"/>
              <c:x val="4.9218486472460903E-2"/>
              <c:y val="2.0215162058231099E-2"/>
            </c:manualLayout>
          </c:layout>
          <c:overlay val="0"/>
          <c:spPr>
            <a:noFill/>
            <a:ln w="25400">
              <a:noFill/>
            </a:ln>
          </c:spPr>
        </c:title>
        <c:numFmt formatCode="#,##0.0;[Red]\-#,##0.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ja-JP"/>
          </a:p>
        </c:txPr>
        <c:crossAx val="83364096"/>
        <c:crosses val="autoZero"/>
        <c:crossBetween val="between"/>
        <c:majorUnit val="500000"/>
      </c:valAx>
      <c:dateAx>
        <c:axId val="83371904"/>
        <c:scaling>
          <c:orientation val="minMax"/>
        </c:scaling>
        <c:delete val="1"/>
        <c:axPos val="t"/>
        <c:numFmt formatCode="yyyy&quot;年&quot;m&quot;月&quot;;@" sourceLinked="1"/>
        <c:majorTickMark val="out"/>
        <c:minorTickMark val="none"/>
        <c:tickLblPos val="none"/>
        <c:crossAx val="83373440"/>
        <c:crosses val="autoZero"/>
        <c:auto val="1"/>
        <c:lblOffset val="100"/>
        <c:baseTimeUnit val="years"/>
      </c:dateAx>
      <c:valAx>
        <c:axId val="83373440"/>
        <c:scaling>
          <c:orientation val="maxMin"/>
          <c:max val="5.0000000000000114E-3"/>
          <c:min val="-0.05"/>
        </c:scaling>
        <c:delete val="0"/>
        <c:axPos val="r"/>
        <c:title>
          <c:tx>
            <c:rich>
              <a:bodyPr rot="0" vert="horz"/>
              <a:lstStyle/>
              <a:p>
                <a:pPr>
                  <a:defRPr sz="800"/>
                </a:pPr>
                <a:r>
                  <a:rPr lang="ja-JP" altLang="en-US" sz="800"/>
                  <a:t>対</a:t>
                </a:r>
                <a:r>
                  <a:rPr lang="en-US" altLang="ja-JP" sz="800"/>
                  <a:t>GDP</a:t>
                </a:r>
                <a:r>
                  <a:rPr lang="ja-JP" altLang="en-US" sz="800"/>
                  <a:t>比</a:t>
                </a:r>
              </a:p>
            </c:rich>
          </c:tx>
          <c:layout>
            <c:manualLayout>
              <c:xMode val="edge"/>
              <c:yMode val="edge"/>
              <c:x val="0.74105429592385363"/>
              <c:y val="5.3218167673639065E-2"/>
            </c:manualLayout>
          </c:layout>
          <c:overlay val="0"/>
        </c:title>
        <c:numFmt formatCode="0.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ja-JP"/>
          </a:p>
        </c:txPr>
        <c:crossAx val="83371904"/>
        <c:crosses val="max"/>
        <c:crossBetween val="between"/>
        <c:majorUnit val="1.0000000000000005E-2"/>
      </c:valAx>
      <c:dTable>
        <c:showHorzBorder val="1"/>
        <c:showVertBorder val="1"/>
        <c:showOutline val="1"/>
        <c:showKeys val="1"/>
        <c:spPr>
          <a:ln w="3175">
            <a:solidFill>
              <a:srgbClr val="000000"/>
            </a:solidFill>
            <a:prstDash val="solid"/>
          </a:ln>
        </c:spPr>
        <c:txPr>
          <a:bodyPr/>
          <a:lstStyle/>
          <a:p>
            <a:pPr algn="just" rtl="0">
              <a:defRPr sz="800" b="0" i="0" u="none" strike="noStrike" baseline="0">
                <a:solidFill>
                  <a:srgbClr val="000000"/>
                </a:solidFill>
                <a:latin typeface="Arial"/>
                <a:ea typeface="Arial"/>
                <a:cs typeface="Arial"/>
              </a:defRPr>
            </a:pPr>
            <a:endParaRPr lang="ja-JP"/>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00" b="0" i="0" u="none" strike="noStrike" baseline="0">
                <a:solidFill>
                  <a:srgbClr val="000000"/>
                </a:solidFill>
                <a:latin typeface="ＭＳ Ｐゴシック"/>
                <a:ea typeface="ＭＳ Ｐゴシック"/>
                <a:cs typeface="ＭＳ Ｐゴシック"/>
              </a:defRPr>
            </a:pPr>
            <a:r>
              <a:rPr lang="ja-JP" altLang="en-US" sz="1000" b="1" i="0" u="none" strike="noStrike" baseline="0">
                <a:solidFill>
                  <a:srgbClr val="000000"/>
                </a:solidFill>
                <a:latin typeface="ＭＳ Ｐゴシック"/>
                <a:ea typeface="ＭＳ Ｐゴシック"/>
              </a:rPr>
              <a:t>表７　財政収支</a:t>
            </a:r>
            <a:r>
              <a:rPr lang="en-US" altLang="ja-JP" sz="1000" b="1" i="0" u="none" strike="noStrike" baseline="0">
                <a:solidFill>
                  <a:srgbClr val="000000"/>
                </a:solidFill>
                <a:latin typeface="ＭＳ Ｐゴシック"/>
                <a:ea typeface="ＭＳ Ｐゴシック"/>
              </a:rPr>
              <a:t>(</a:t>
            </a:r>
            <a:r>
              <a:rPr lang="ja-JP" altLang="en-US" sz="1000" b="1" i="0" u="none" strike="noStrike" baseline="0">
                <a:solidFill>
                  <a:srgbClr val="000000"/>
                </a:solidFill>
                <a:latin typeface="ＭＳ Ｐゴシック"/>
                <a:ea typeface="ＭＳ Ｐゴシック"/>
              </a:rPr>
              <a:t>中央政府）</a:t>
            </a:r>
            <a:endParaRPr lang="en-US" altLang="ja-JP" sz="1000" b="1" i="0" u="none" strike="noStrike" baseline="0">
              <a:solidFill>
                <a:srgbClr val="000000"/>
              </a:solidFill>
              <a:latin typeface="ＭＳ Ｐゴシック"/>
              <a:ea typeface="ＭＳ Ｐゴシック"/>
            </a:endParaRPr>
          </a:p>
          <a:p>
            <a:pPr algn="ctr">
              <a:defRPr sz="1000" b="0" i="0" u="none" strike="noStrike" baseline="0">
                <a:solidFill>
                  <a:srgbClr val="000000"/>
                </a:solidFill>
                <a:latin typeface="ＭＳ Ｐゴシック"/>
                <a:ea typeface="ＭＳ Ｐゴシック"/>
                <a:cs typeface="ＭＳ Ｐゴシック"/>
              </a:defRPr>
            </a:pPr>
            <a:r>
              <a:rPr lang="ja-JP" altLang="en-US" sz="1000" b="1" i="0" u="none" strike="noStrike" baseline="0">
                <a:solidFill>
                  <a:srgbClr val="000000"/>
                </a:solidFill>
                <a:latin typeface="ＭＳ Ｐゴシック"/>
                <a:ea typeface="ＭＳ Ｐゴシック"/>
              </a:rPr>
              <a:t>累計比較</a:t>
            </a:r>
          </a:p>
        </c:rich>
      </c:tx>
      <c:layout>
        <c:manualLayout>
          <c:xMode val="edge"/>
          <c:yMode val="edge"/>
          <c:x val="0.18429741058487134"/>
          <c:y val="1.9450200303909395E-3"/>
        </c:manualLayout>
      </c:layout>
      <c:overlay val="0"/>
      <c:spPr>
        <a:noFill/>
        <a:ln w="25400">
          <a:noFill/>
        </a:ln>
      </c:spPr>
    </c:title>
    <c:autoTitleDeleted val="0"/>
    <c:plotArea>
      <c:layout>
        <c:manualLayout>
          <c:layoutTarget val="inner"/>
          <c:xMode val="edge"/>
          <c:yMode val="edge"/>
          <c:x val="0.2379593175853027"/>
          <c:y val="0.12652522992266718"/>
          <c:w val="0.53312611204498361"/>
          <c:h val="0.37131613720698764"/>
        </c:manualLayout>
      </c:layout>
      <c:barChart>
        <c:barDir val="col"/>
        <c:grouping val="clustered"/>
        <c:varyColors val="0"/>
        <c:ser>
          <c:idx val="0"/>
          <c:order val="0"/>
          <c:tx>
            <c:strRef>
              <c:f>'2014主要経済指標'!$L$203</c:f>
              <c:strCache>
                <c:ptCount val="1"/>
                <c:pt idx="0">
                  <c:v>歳入</c:v>
                </c:pt>
              </c:strCache>
            </c:strRef>
          </c:tx>
          <c:spPr>
            <a:solidFill>
              <a:srgbClr val="99CCFF"/>
            </a:solidFill>
            <a:ln w="25400">
              <a:noFill/>
            </a:ln>
          </c:spPr>
          <c:invertIfNegative val="0"/>
          <c:cat>
            <c:numRef>
              <c:f>'2014主要経済指標'!$M$202:$N$202</c:f>
              <c:numCache>
                <c:formatCode>yyyy"年"m"月";@</c:formatCode>
                <c:ptCount val="2"/>
                <c:pt idx="0">
                  <c:v>41306</c:v>
                </c:pt>
                <c:pt idx="1">
                  <c:v>41671</c:v>
                </c:pt>
              </c:numCache>
            </c:numRef>
          </c:cat>
          <c:val>
            <c:numRef>
              <c:f>'2014主要経済指標'!$M$203:$N$203</c:f>
              <c:numCache>
                <c:formatCode>#,##0.0;[Red]\-#,##0.0</c:formatCode>
                <c:ptCount val="2"/>
                <c:pt idx="0">
                  <c:v>498665.07116676006</c:v>
                </c:pt>
                <c:pt idx="1">
                  <c:v>525754</c:v>
                </c:pt>
              </c:numCache>
            </c:numRef>
          </c:val>
        </c:ser>
        <c:ser>
          <c:idx val="1"/>
          <c:order val="1"/>
          <c:tx>
            <c:strRef>
              <c:f>'2014主要経済指標'!$L$204</c:f>
              <c:strCache>
                <c:ptCount val="1"/>
                <c:pt idx="0">
                  <c:v>歳出</c:v>
                </c:pt>
              </c:strCache>
            </c:strRef>
          </c:tx>
          <c:spPr>
            <a:solidFill>
              <a:srgbClr val="CC99FF"/>
            </a:solidFill>
            <a:ln w="25400">
              <a:noFill/>
            </a:ln>
          </c:spPr>
          <c:invertIfNegative val="0"/>
          <c:cat>
            <c:numRef>
              <c:f>'2014主要経済指標'!$M$202:$N$202</c:f>
              <c:numCache>
                <c:formatCode>yyyy"年"m"月";@</c:formatCode>
                <c:ptCount val="2"/>
                <c:pt idx="0">
                  <c:v>41306</c:v>
                </c:pt>
                <c:pt idx="1">
                  <c:v>41671</c:v>
                </c:pt>
              </c:numCache>
            </c:numRef>
          </c:cat>
          <c:val>
            <c:numRef>
              <c:f>'2014主要経済指標'!$M$204:$N$204</c:f>
              <c:numCache>
                <c:formatCode>#,##0.0;[Red]\-#,##0.0</c:formatCode>
                <c:ptCount val="2"/>
                <c:pt idx="0">
                  <c:v>798182.1403560699</c:v>
                </c:pt>
                <c:pt idx="1">
                  <c:v>851579</c:v>
                </c:pt>
              </c:numCache>
            </c:numRef>
          </c:val>
        </c:ser>
        <c:ser>
          <c:idx val="2"/>
          <c:order val="2"/>
          <c:tx>
            <c:strRef>
              <c:f>'2014主要経済指標'!$L$205</c:f>
              <c:strCache>
                <c:ptCount val="1"/>
                <c:pt idx="0">
                  <c:v>財政収支</c:v>
                </c:pt>
              </c:strCache>
            </c:strRef>
          </c:tx>
          <c:spPr>
            <a:solidFill>
              <a:srgbClr val="800000"/>
            </a:solidFill>
            <a:ln w="25400">
              <a:noFill/>
            </a:ln>
          </c:spPr>
          <c:invertIfNegative val="0"/>
          <c:cat>
            <c:numRef>
              <c:f>'2014主要経済指標'!$M$202:$N$202</c:f>
              <c:numCache>
                <c:formatCode>yyyy"年"m"月";@</c:formatCode>
                <c:ptCount val="2"/>
                <c:pt idx="0">
                  <c:v>41306</c:v>
                </c:pt>
                <c:pt idx="1">
                  <c:v>41671</c:v>
                </c:pt>
              </c:numCache>
            </c:numRef>
          </c:cat>
          <c:val>
            <c:numRef>
              <c:f>'2014主要経済指標'!$M$205:$N$205</c:f>
              <c:numCache>
                <c:formatCode>#,##0.0;[Red]\-#,##0.0</c:formatCode>
                <c:ptCount val="2"/>
                <c:pt idx="0">
                  <c:v>-299517.06918931083</c:v>
                </c:pt>
                <c:pt idx="1">
                  <c:v>-325825</c:v>
                </c:pt>
              </c:numCache>
            </c:numRef>
          </c:val>
        </c:ser>
        <c:dLbls>
          <c:showLegendKey val="0"/>
          <c:showVal val="0"/>
          <c:showCatName val="0"/>
          <c:showSerName val="0"/>
          <c:showPercent val="0"/>
          <c:showBubbleSize val="0"/>
        </c:dLbls>
        <c:gapWidth val="150"/>
        <c:axId val="84857600"/>
        <c:axId val="84859136"/>
      </c:barChart>
      <c:lineChart>
        <c:grouping val="standard"/>
        <c:varyColors val="0"/>
        <c:ser>
          <c:idx val="3"/>
          <c:order val="3"/>
          <c:tx>
            <c:strRef>
              <c:f>'2014主要経済指標'!$L$206</c:f>
              <c:strCache>
                <c:ptCount val="1"/>
                <c:pt idx="0">
                  <c:v>対GDP比</c:v>
                </c:pt>
              </c:strCache>
            </c:strRef>
          </c:tx>
          <c:spPr>
            <a:ln w="25400">
              <a:solidFill>
                <a:srgbClr val="333399"/>
              </a:solidFill>
              <a:prstDash val="solid"/>
            </a:ln>
          </c:spPr>
          <c:marker>
            <c:symbol val="circle"/>
            <c:size val="7"/>
            <c:spPr>
              <a:solidFill>
                <a:srgbClr val="333399"/>
              </a:solidFill>
              <a:ln>
                <a:solidFill>
                  <a:srgbClr val="333399"/>
                </a:solidFill>
                <a:prstDash val="solid"/>
              </a:ln>
            </c:spPr>
          </c:marker>
          <c:dLbls>
            <c:dLbl>
              <c:idx val="0"/>
              <c:layout>
                <c:manualLayout>
                  <c:x val="-6.2639808060802146E-2"/>
                  <c:y val="7.4791604128663008E-2"/>
                </c:manualLayout>
              </c:layout>
              <c:dLblPos val="r"/>
              <c:showLegendKey val="0"/>
              <c:showVal val="1"/>
              <c:showCatName val="0"/>
              <c:showSerName val="0"/>
              <c:showPercent val="0"/>
              <c:showBubbleSize val="0"/>
            </c:dLbl>
            <c:dLbl>
              <c:idx val="1"/>
              <c:layout>
                <c:manualLayout>
                  <c:x val="-5.5294913289213113E-2"/>
                  <c:y val="9.3186782737201837E-2"/>
                </c:manualLayout>
              </c:layout>
              <c:showLegendKey val="0"/>
              <c:showVal val="1"/>
              <c:showCatName val="0"/>
              <c:showSerName val="0"/>
              <c:showPercent val="0"/>
              <c:showBubbleSize val="0"/>
            </c:dLbl>
            <c:spPr>
              <a:noFill/>
              <a:ln w="25400">
                <a:noFill/>
              </a:ln>
            </c:spPr>
            <c:txPr>
              <a:bodyPr/>
              <a:lstStyle/>
              <a:p>
                <a:pPr>
                  <a:defRPr sz="1000" b="1" i="0" u="none" strike="noStrike" baseline="0">
                    <a:solidFill>
                      <a:srgbClr val="000000"/>
                    </a:solidFill>
                    <a:latin typeface="Calibri"/>
                    <a:ea typeface="Calibri"/>
                    <a:cs typeface="Calibri"/>
                  </a:defRPr>
                </a:pPr>
                <a:endParaRPr lang="ja-JP"/>
              </a:p>
            </c:txPr>
            <c:showLegendKey val="0"/>
            <c:showVal val="1"/>
            <c:showCatName val="0"/>
            <c:showSerName val="0"/>
            <c:showPercent val="0"/>
            <c:showBubbleSize val="0"/>
            <c:showLeaderLines val="0"/>
          </c:dLbls>
          <c:cat>
            <c:numRef>
              <c:f>'2014主要経済指標'!$M$202:$N$202</c:f>
              <c:numCache>
                <c:formatCode>yyyy"年"m"月";@</c:formatCode>
                <c:ptCount val="2"/>
                <c:pt idx="0">
                  <c:v>41306</c:v>
                </c:pt>
                <c:pt idx="1">
                  <c:v>41671</c:v>
                </c:pt>
              </c:numCache>
            </c:numRef>
          </c:cat>
          <c:val>
            <c:numRef>
              <c:f>'2014主要経済指標'!$M$206:$N$206</c:f>
              <c:numCache>
                <c:formatCode>0.0%</c:formatCode>
                <c:ptCount val="2"/>
                <c:pt idx="0">
                  <c:v>-1.1900000000000049E-2</c:v>
                </c:pt>
                <c:pt idx="1">
                  <c:v>-1.3899999999999999E-2</c:v>
                </c:pt>
              </c:numCache>
            </c:numRef>
          </c:val>
          <c:smooth val="0"/>
        </c:ser>
        <c:dLbls>
          <c:showLegendKey val="0"/>
          <c:showVal val="0"/>
          <c:showCatName val="0"/>
          <c:showSerName val="0"/>
          <c:showPercent val="0"/>
          <c:showBubbleSize val="0"/>
        </c:dLbls>
        <c:marker val="1"/>
        <c:smooth val="0"/>
        <c:axId val="91443584"/>
        <c:axId val="91445120"/>
      </c:lineChart>
      <c:catAx>
        <c:axId val="84857600"/>
        <c:scaling>
          <c:orientation val="minMax"/>
        </c:scaling>
        <c:delete val="0"/>
        <c:axPos val="b"/>
        <c:numFmt formatCode="yyyy&quot;年&quot;m&quot;月&quot;;@" sourceLinked="1"/>
        <c:majorTickMark val="in"/>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84859136"/>
        <c:crosses val="autoZero"/>
        <c:auto val="0"/>
        <c:lblAlgn val="ctr"/>
        <c:lblOffset val="100"/>
        <c:tickMarkSkip val="1"/>
        <c:noMultiLvlLbl val="0"/>
      </c:catAx>
      <c:valAx>
        <c:axId val="84859136"/>
        <c:scaling>
          <c:orientation val="minMax"/>
          <c:min val="-1000000"/>
        </c:scaling>
        <c:delete val="0"/>
        <c:axPos val="l"/>
        <c:majorGridlines>
          <c:spPr>
            <a:ln w="3175">
              <a:solidFill>
                <a:srgbClr val="000000"/>
              </a:solidFill>
              <a:prstDash val="sysDash"/>
            </a:ln>
          </c:spPr>
        </c:majorGridlines>
        <c:title>
          <c:tx>
            <c:rich>
              <a:bodyPr rot="0" vert="horz"/>
              <a:lstStyle/>
              <a:p>
                <a:pPr algn="ctr">
                  <a:defRPr sz="800" b="0" i="0" u="none" strike="noStrike" baseline="0">
                    <a:solidFill>
                      <a:srgbClr val="000000"/>
                    </a:solidFill>
                    <a:latin typeface="ＭＳ Ｐゴシック"/>
                    <a:ea typeface="ＭＳ Ｐゴシック"/>
                    <a:cs typeface="ＭＳ Ｐゴシック"/>
                  </a:defRPr>
                </a:pPr>
                <a:r>
                  <a:rPr lang="en-US" altLang="ja-JP" sz="800" b="0" i="0" u="none" strike="noStrike" baseline="0">
                    <a:solidFill>
                      <a:srgbClr val="000000"/>
                    </a:solidFill>
                    <a:latin typeface="ＭＳ Ｐゴシック"/>
                    <a:ea typeface="ＭＳ Ｐゴシック"/>
                  </a:rPr>
                  <a:t>(</a:t>
                </a:r>
                <a:r>
                  <a:rPr lang="ja-JP" altLang="en-US" sz="800" b="0" i="0" u="none" strike="noStrike" baseline="0">
                    <a:solidFill>
                      <a:srgbClr val="000000"/>
                    </a:solidFill>
                    <a:latin typeface="ＭＳ Ｐゴシック"/>
                    <a:ea typeface="ＭＳ Ｐゴシック"/>
                  </a:rPr>
                  <a:t>百万コロン）</a:t>
                </a:r>
              </a:p>
            </c:rich>
          </c:tx>
          <c:layout>
            <c:manualLayout>
              <c:xMode val="edge"/>
              <c:yMode val="edge"/>
              <c:x val="2.6673991332478875E-3"/>
              <c:y val="3.1745499897619235E-3"/>
            </c:manualLayout>
          </c:layout>
          <c:overlay val="0"/>
          <c:spPr>
            <a:noFill/>
            <a:ln w="25400">
              <a:noFill/>
            </a:ln>
          </c:spPr>
        </c:title>
        <c:numFmt formatCode="#,##0.0;[Red]\-#,##0.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ja-JP"/>
          </a:p>
        </c:txPr>
        <c:crossAx val="84857600"/>
        <c:crosses val="autoZero"/>
        <c:crossBetween val="between"/>
        <c:majorUnit val="500000"/>
      </c:valAx>
      <c:dateAx>
        <c:axId val="91443584"/>
        <c:scaling>
          <c:orientation val="minMax"/>
        </c:scaling>
        <c:delete val="1"/>
        <c:axPos val="t"/>
        <c:numFmt formatCode="yyyy&quot;年&quot;m&quot;月&quot;;@" sourceLinked="1"/>
        <c:majorTickMark val="out"/>
        <c:minorTickMark val="none"/>
        <c:tickLblPos val="none"/>
        <c:crossAx val="91445120"/>
        <c:crosses val="autoZero"/>
        <c:auto val="1"/>
        <c:lblOffset val="100"/>
        <c:baseTimeUnit val="years"/>
      </c:dateAx>
      <c:valAx>
        <c:axId val="91445120"/>
        <c:scaling>
          <c:orientation val="maxMin"/>
          <c:max val="5.0000000000000114E-3"/>
          <c:min val="-0.05"/>
        </c:scaling>
        <c:delete val="0"/>
        <c:axPos val="r"/>
        <c:title>
          <c:tx>
            <c:rich>
              <a:bodyPr rot="0" vert="horz"/>
              <a:lstStyle/>
              <a:p>
                <a:pPr>
                  <a:defRPr sz="800"/>
                </a:pPr>
                <a:r>
                  <a:rPr lang="ja-JP" altLang="en-US" sz="800"/>
                  <a:t>対</a:t>
                </a:r>
                <a:r>
                  <a:rPr lang="en-US" altLang="ja-JP" sz="800"/>
                  <a:t>GDP</a:t>
                </a:r>
                <a:r>
                  <a:rPr lang="ja-JP" altLang="en-US" sz="800"/>
                  <a:t>比</a:t>
                </a:r>
              </a:p>
            </c:rich>
          </c:tx>
          <c:layout>
            <c:manualLayout>
              <c:xMode val="edge"/>
              <c:yMode val="edge"/>
              <c:x val="0.73804138613108317"/>
              <c:y val="4.547431571053618E-2"/>
            </c:manualLayout>
          </c:layout>
          <c:overlay val="0"/>
        </c:title>
        <c:numFmt formatCode="0.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ja-JP"/>
          </a:p>
        </c:txPr>
        <c:crossAx val="91443584"/>
        <c:crosses val="max"/>
        <c:crossBetween val="between"/>
        <c:majorUnit val="1.0000000000000005E-2"/>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ja-JP"/>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1100"/>
              <a:t>表</a:t>
            </a:r>
            <a:r>
              <a:rPr lang="en-US" altLang="ja-JP" sz="1100"/>
              <a:t>8</a:t>
            </a:r>
            <a:r>
              <a:rPr lang="ja-JP" altLang="en-US" sz="1100"/>
              <a:t>　消費者物価指数</a:t>
            </a:r>
            <a:r>
              <a:rPr lang="en-US" altLang="ja-JP" sz="1100"/>
              <a:t>(</a:t>
            </a:r>
            <a:r>
              <a:rPr lang="ja-JP" altLang="en-US" sz="1100"/>
              <a:t>月間累計</a:t>
            </a:r>
            <a:r>
              <a:rPr lang="en-US" altLang="ja-JP" sz="1100"/>
              <a:t>)</a:t>
            </a:r>
            <a:endParaRPr lang="ja-JP" altLang="en-US" sz="1100"/>
          </a:p>
        </c:rich>
      </c:tx>
      <c:layout/>
      <c:overlay val="0"/>
    </c:title>
    <c:autoTitleDeleted val="0"/>
    <c:plotArea>
      <c:layout/>
      <c:lineChart>
        <c:grouping val="standard"/>
        <c:varyColors val="0"/>
        <c:ser>
          <c:idx val="0"/>
          <c:order val="0"/>
          <c:tx>
            <c:strRef>
              <c:f>Hoja1!$Q$18</c:f>
              <c:strCache>
                <c:ptCount val="1"/>
                <c:pt idx="0">
                  <c:v>2013年</c:v>
                </c:pt>
              </c:strCache>
            </c:strRef>
          </c:tx>
          <c:dLbls>
            <c:dLbl>
              <c:idx val="0"/>
              <c:layout>
                <c:manualLayout>
                  <c:x val="-6.388888888888887E-2"/>
                  <c:y val="-4.6296296296296474E-2"/>
                </c:manualLayout>
              </c:layout>
              <c:showLegendKey val="0"/>
              <c:showVal val="1"/>
              <c:showCatName val="0"/>
              <c:showSerName val="0"/>
              <c:showPercent val="0"/>
              <c:showBubbleSize val="0"/>
            </c:dLbl>
            <c:dLbl>
              <c:idx val="1"/>
              <c:layout>
                <c:manualLayout>
                  <c:x val="-7.095343680709558E-2"/>
                  <c:y val="-6.1538461538461584E-2"/>
                </c:manualLayout>
              </c:layout>
              <c:showLegendKey val="0"/>
              <c:showVal val="1"/>
              <c:showCatName val="0"/>
              <c:showSerName val="0"/>
              <c:showPercent val="0"/>
              <c:showBubbleSize val="0"/>
            </c:dLbl>
            <c:dLbl>
              <c:idx val="3"/>
              <c:layout>
                <c:manualLayout>
                  <c:x val="-6.2084257206208533E-2"/>
                  <c:y val="-5.128205128205128E-2"/>
                </c:manualLayout>
              </c:layout>
              <c:showLegendKey val="0"/>
              <c:showVal val="1"/>
              <c:showCatName val="0"/>
              <c:showSerName val="0"/>
              <c:showPercent val="0"/>
              <c:showBubbleSize val="0"/>
            </c:dLbl>
            <c:dLbl>
              <c:idx val="4"/>
              <c:layout>
                <c:manualLayout>
                  <c:x val="-4.7302291204730493E-2"/>
                  <c:y val="-7.179487179487179E-2"/>
                </c:manualLayout>
              </c:layout>
              <c:showLegendKey val="0"/>
              <c:showVal val="1"/>
              <c:showCatName val="0"/>
              <c:showSerName val="0"/>
              <c:showPercent val="0"/>
              <c:showBubbleSize val="0"/>
            </c:dLbl>
            <c:dLbl>
              <c:idx val="5"/>
              <c:layout>
                <c:manualLayout>
                  <c:x val="-3.8433111603843391E-2"/>
                  <c:y val="7.6923076923076927E-2"/>
                </c:manualLayout>
              </c:layout>
              <c:showLegendKey val="0"/>
              <c:showVal val="1"/>
              <c:showCatName val="0"/>
              <c:showSerName val="0"/>
              <c:showPercent val="0"/>
              <c:showBubbleSize val="0"/>
            </c:dLbl>
            <c:dLbl>
              <c:idx val="6"/>
              <c:layout>
                <c:manualLayout>
                  <c:x val="-5.6171470805617151E-2"/>
                  <c:y val="-5.128205128205128E-2"/>
                </c:manualLayout>
              </c:layout>
              <c:showLegendKey val="0"/>
              <c:showVal val="1"/>
              <c:showCatName val="0"/>
              <c:showSerName val="0"/>
              <c:showPercent val="0"/>
              <c:showBubbleSize val="0"/>
            </c:dLbl>
            <c:dLbl>
              <c:idx val="7"/>
              <c:layout>
                <c:manualLayout>
                  <c:x val="-3.8433111603843433E-2"/>
                  <c:y val="6.1538461538461584E-2"/>
                </c:manualLayout>
              </c:layout>
              <c:showLegendKey val="0"/>
              <c:showVal val="1"/>
              <c:showCatName val="0"/>
              <c:showSerName val="0"/>
              <c:showPercent val="0"/>
              <c:showBubbleSize val="0"/>
            </c:dLbl>
            <c:dLbl>
              <c:idx val="9"/>
              <c:layout>
                <c:manualLayout>
                  <c:x val="-4.1389504804139013E-2"/>
                  <c:y val="6.1538461538461584E-2"/>
                </c:manualLayout>
              </c:layout>
              <c:showLegendKey val="0"/>
              <c:showVal val="1"/>
              <c:showCatName val="0"/>
              <c:showSerName val="0"/>
              <c:showPercent val="0"/>
              <c:showBubbleSize val="0"/>
            </c:dLbl>
            <c:dLbl>
              <c:idx val="10"/>
              <c:layout>
                <c:manualLayout>
                  <c:x val="-2.0694752402069562E-2"/>
                  <c:y val="4.1025641025641033E-2"/>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Hoja1!$P$19:$P$30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Hoja1!$Q$19:$Q$30</c:f>
              <c:numCache>
                <c:formatCode>General</c:formatCode>
                <c:ptCount val="12"/>
                <c:pt idx="0">
                  <c:v>1.31</c:v>
                </c:pt>
                <c:pt idx="1">
                  <c:v>2.34</c:v>
                </c:pt>
                <c:pt idx="2">
                  <c:v>2.46</c:v>
                </c:pt>
                <c:pt idx="3">
                  <c:v>3.2</c:v>
                </c:pt>
                <c:pt idx="4">
                  <c:v>3.22</c:v>
                </c:pt>
                <c:pt idx="5">
                  <c:v>3.24</c:v>
                </c:pt>
                <c:pt idx="6">
                  <c:v>3.59</c:v>
                </c:pt>
                <c:pt idx="7">
                  <c:v>3.64</c:v>
                </c:pt>
                <c:pt idx="8">
                  <c:v>3.77</c:v>
                </c:pt>
                <c:pt idx="9">
                  <c:v>2.98</c:v>
                </c:pt>
                <c:pt idx="10">
                  <c:v>3.16</c:v>
                </c:pt>
                <c:pt idx="11">
                  <c:v>3.68</c:v>
                </c:pt>
              </c:numCache>
            </c:numRef>
          </c:val>
          <c:smooth val="0"/>
        </c:ser>
        <c:ser>
          <c:idx val="1"/>
          <c:order val="1"/>
          <c:tx>
            <c:strRef>
              <c:f>Hoja1!$R$18</c:f>
              <c:strCache>
                <c:ptCount val="1"/>
                <c:pt idx="0">
                  <c:v>2014年</c:v>
                </c:pt>
              </c:strCache>
            </c:strRef>
          </c:tx>
          <c:dLbls>
            <c:txPr>
              <a:bodyPr/>
              <a:lstStyle/>
              <a:p>
                <a:pPr>
                  <a:defRPr sz="800"/>
                </a:pPr>
                <a:endParaRPr lang="ja-JP"/>
              </a:p>
            </c:txPr>
            <c:showLegendKey val="0"/>
            <c:showVal val="1"/>
            <c:showCatName val="0"/>
            <c:showSerName val="0"/>
            <c:showPercent val="0"/>
            <c:showBubbleSize val="0"/>
            <c:showLeaderLines val="0"/>
          </c:dLbls>
          <c:cat>
            <c:strRef>
              <c:f>Hoja1!$P$19:$P$30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Hoja1!$R$19:$R$30</c:f>
              <c:numCache>
                <c:formatCode>General</c:formatCode>
                <c:ptCount val="12"/>
                <c:pt idx="0">
                  <c:v>0.75000000000000155</c:v>
                </c:pt>
                <c:pt idx="1">
                  <c:v>1.42</c:v>
                </c:pt>
              </c:numCache>
            </c:numRef>
          </c:val>
          <c:smooth val="0"/>
        </c:ser>
        <c:dLbls>
          <c:showLegendKey val="0"/>
          <c:showVal val="0"/>
          <c:showCatName val="0"/>
          <c:showSerName val="0"/>
          <c:showPercent val="0"/>
          <c:showBubbleSize val="0"/>
        </c:dLbls>
        <c:hiLowLines/>
        <c:marker val="1"/>
        <c:smooth val="0"/>
        <c:axId val="104650240"/>
        <c:axId val="104651776"/>
      </c:lineChart>
      <c:catAx>
        <c:axId val="104650240"/>
        <c:scaling>
          <c:orientation val="minMax"/>
        </c:scaling>
        <c:delete val="0"/>
        <c:axPos val="b"/>
        <c:numFmt formatCode="#,##0.00_);\(#,##0.00\)" sourceLinked="0"/>
        <c:majorTickMark val="none"/>
        <c:minorTickMark val="none"/>
        <c:tickLblPos val="nextTo"/>
        <c:txPr>
          <a:bodyPr rot="120000" anchor="t" anchorCtr="0"/>
          <a:lstStyle/>
          <a:p>
            <a:pPr>
              <a:defRPr sz="800"/>
            </a:pPr>
            <a:endParaRPr lang="ja-JP"/>
          </a:p>
        </c:txPr>
        <c:crossAx val="104651776"/>
        <c:crosses val="autoZero"/>
        <c:auto val="1"/>
        <c:lblAlgn val="ctr"/>
        <c:lblOffset val="100"/>
        <c:noMultiLvlLbl val="0"/>
      </c:catAx>
      <c:valAx>
        <c:axId val="104651776"/>
        <c:scaling>
          <c:orientation val="minMax"/>
        </c:scaling>
        <c:delete val="0"/>
        <c:axPos val="l"/>
        <c:majorGridlines/>
        <c:title>
          <c:tx>
            <c:rich>
              <a:bodyPr rot="0" vert="horz"/>
              <a:lstStyle/>
              <a:p>
                <a:pPr>
                  <a:defRPr sz="900" b="0"/>
                </a:pPr>
                <a:r>
                  <a:rPr lang="en-US" altLang="ja-JP" sz="900" b="0"/>
                  <a:t>(</a:t>
                </a:r>
                <a:r>
                  <a:rPr lang="ja-JP" altLang="en-US" sz="900" b="0"/>
                  <a:t>％</a:t>
                </a:r>
                <a:r>
                  <a:rPr lang="en-US" altLang="ja-JP" sz="900" b="0"/>
                  <a:t>)</a:t>
                </a:r>
                <a:endParaRPr lang="ja-JP" altLang="en-US" sz="900" b="0"/>
              </a:p>
            </c:rich>
          </c:tx>
          <c:layout>
            <c:manualLayout>
              <c:xMode val="edge"/>
              <c:yMode val="edge"/>
              <c:x val="9.1666666666667201E-2"/>
              <c:y val="4.9125838436862065E-2"/>
            </c:manualLayout>
          </c:layout>
          <c:overlay val="0"/>
        </c:title>
        <c:numFmt formatCode="General" sourceLinked="1"/>
        <c:majorTickMark val="out"/>
        <c:minorTickMark val="none"/>
        <c:tickLblPos val="nextTo"/>
        <c:crossAx val="104650240"/>
        <c:crosses val="autoZero"/>
        <c:crossBetween val="between"/>
      </c:valAx>
    </c:plotArea>
    <c:legend>
      <c:legendPos val="r"/>
      <c:layout>
        <c:manualLayout>
          <c:xMode val="edge"/>
          <c:yMode val="edge"/>
          <c:x val="0.78631189948263058"/>
          <c:y val="0.46701070058550381"/>
          <c:w val="0.19594974131559542"/>
          <c:h val="0.18546577831617242"/>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1100"/>
              <a:t>表</a:t>
            </a:r>
            <a:r>
              <a:rPr lang="en-US" altLang="ja-JP" sz="1100"/>
              <a:t>9</a:t>
            </a:r>
            <a:r>
              <a:rPr lang="ja-JP" altLang="en-US" sz="1100"/>
              <a:t>　消費者物価指数</a:t>
            </a:r>
            <a:r>
              <a:rPr lang="en-US" altLang="ja-JP" sz="1100"/>
              <a:t>(</a:t>
            </a:r>
            <a:r>
              <a:rPr lang="ja-JP" altLang="en-US" sz="1100"/>
              <a:t>年率換算</a:t>
            </a:r>
            <a:r>
              <a:rPr lang="en-US" altLang="ja-JP" sz="1100"/>
              <a:t>)</a:t>
            </a:r>
            <a:endParaRPr lang="ja-JP" altLang="en-US" sz="1100"/>
          </a:p>
        </c:rich>
      </c:tx>
      <c:layout/>
      <c:overlay val="0"/>
    </c:title>
    <c:autoTitleDeleted val="0"/>
    <c:plotArea>
      <c:layout/>
      <c:lineChart>
        <c:grouping val="standard"/>
        <c:varyColors val="0"/>
        <c:ser>
          <c:idx val="0"/>
          <c:order val="0"/>
          <c:tx>
            <c:strRef>
              <c:f>Hoja1!$N$5</c:f>
              <c:strCache>
                <c:ptCount val="1"/>
                <c:pt idx="0">
                  <c:v>2013年</c:v>
                </c:pt>
              </c:strCache>
            </c:strRef>
          </c:tx>
          <c:dLbls>
            <c:dLbl>
              <c:idx val="0"/>
              <c:layout>
                <c:manualLayout>
                  <c:x val="-5.2916828019448706E-2"/>
                  <c:y val="-4.9886621315193148E-2"/>
                </c:manualLayout>
              </c:layout>
              <c:dLblPos val="r"/>
              <c:showLegendKey val="0"/>
              <c:showVal val="1"/>
              <c:showCatName val="0"/>
              <c:showSerName val="0"/>
              <c:showPercent val="0"/>
              <c:showBubbleSize val="0"/>
            </c:dLbl>
            <c:dLbl>
              <c:idx val="1"/>
              <c:layout>
                <c:manualLayout>
                  <c:x val="-5.0184587582289886E-2"/>
                  <c:y val="-4.0816326530612471E-2"/>
                </c:manualLayout>
              </c:layout>
              <c:dLblPos val="r"/>
              <c:showLegendKey val="0"/>
              <c:showVal val="1"/>
              <c:showCatName val="0"/>
              <c:showSerName val="0"/>
              <c:showPercent val="0"/>
              <c:showBubbleSize val="0"/>
            </c:dLbl>
            <c:dLbl>
              <c:idx val="2"/>
              <c:layout>
                <c:manualLayout>
                  <c:x val="-4.1987866270814446E-2"/>
                  <c:y val="-3.1746031746031744E-2"/>
                </c:manualLayout>
              </c:layout>
              <c:dLblPos val="r"/>
              <c:showLegendKey val="0"/>
              <c:showVal val="1"/>
              <c:showCatName val="0"/>
              <c:showSerName val="0"/>
              <c:showPercent val="0"/>
              <c:showBubbleSize val="0"/>
            </c:dLbl>
            <c:dLbl>
              <c:idx val="3"/>
              <c:layout>
                <c:manualLayout>
                  <c:x val="-2.3929187181173532E-2"/>
                  <c:y val="-3.2204626107129881E-2"/>
                </c:manualLayout>
              </c:layout>
              <c:dLblPos val="r"/>
              <c:showLegendKey val="0"/>
              <c:showVal val="1"/>
              <c:showCatName val="0"/>
              <c:showSerName val="0"/>
              <c:showPercent val="0"/>
              <c:showBubbleSize val="0"/>
            </c:dLbl>
            <c:dLbl>
              <c:idx val="4"/>
              <c:layout>
                <c:manualLayout>
                  <c:x val="-5.2916828019448706E-2"/>
                  <c:y val="3.6281179138322052E-2"/>
                </c:manualLayout>
              </c:layout>
              <c:dLblPos val="r"/>
              <c:showLegendKey val="0"/>
              <c:showVal val="1"/>
              <c:showCatName val="0"/>
              <c:showSerName val="0"/>
              <c:showPercent val="0"/>
              <c:showBubbleSize val="0"/>
            </c:dLbl>
            <c:dLbl>
              <c:idx val="5"/>
              <c:layout>
                <c:manualLayout>
                  <c:x val="-3.8423063934163941E-2"/>
                  <c:y val="7.4498609022187121E-2"/>
                </c:manualLayout>
              </c:layout>
              <c:dLblPos val="r"/>
              <c:showLegendKey val="0"/>
              <c:showVal val="1"/>
              <c:showCatName val="0"/>
              <c:showSerName val="0"/>
              <c:showPercent val="0"/>
              <c:showBubbleSize val="0"/>
            </c:dLbl>
            <c:dLbl>
              <c:idx val="6"/>
              <c:layout>
                <c:manualLayout>
                  <c:x val="-5.0184587582289886E-2"/>
                  <c:y val="-4.0816326530612471E-2"/>
                </c:manualLayout>
              </c:layout>
              <c:dLblPos val="r"/>
              <c:showLegendKey val="0"/>
              <c:showVal val="1"/>
              <c:showCatName val="0"/>
              <c:showSerName val="0"/>
              <c:showPercent val="0"/>
              <c:showBubbleSize val="0"/>
            </c:dLbl>
            <c:dLbl>
              <c:idx val="7"/>
              <c:layout>
                <c:manualLayout>
                  <c:x val="-5.0184587582289886E-2"/>
                  <c:y val="-4.0816326530612471E-2"/>
                </c:manualLayout>
              </c:layout>
              <c:dLblPos val="r"/>
              <c:showLegendKey val="0"/>
              <c:showVal val="1"/>
              <c:showCatName val="0"/>
              <c:showSerName val="0"/>
              <c:showPercent val="0"/>
              <c:showBubbleSize val="0"/>
            </c:dLbl>
            <c:dLbl>
              <c:idx val="8"/>
              <c:layout>
                <c:manualLayout>
                  <c:x val="-4.3609842223446667E-2"/>
                  <c:y val="-4.499493743057411E-2"/>
                </c:manualLayout>
              </c:layout>
              <c:dLblPos val="r"/>
              <c:showLegendKey val="0"/>
              <c:showVal val="1"/>
              <c:showCatName val="0"/>
              <c:showSerName val="0"/>
              <c:showPercent val="0"/>
              <c:showBubbleSize val="0"/>
            </c:dLbl>
            <c:dLbl>
              <c:idx val="9"/>
              <c:layout>
                <c:manualLayout>
                  <c:x val="-3.2958532553633992E-2"/>
                  <c:y val="-6.9861885241872854E-2"/>
                </c:manualLayout>
              </c:layout>
              <c:dLblPos val="r"/>
              <c:showLegendKey val="0"/>
              <c:showVal val="1"/>
              <c:showCatName val="0"/>
              <c:showSerName val="0"/>
              <c:showPercent val="0"/>
              <c:showBubbleSize val="0"/>
            </c:dLbl>
            <c:dLbl>
              <c:idx val="10"/>
              <c:layout>
                <c:manualLayout>
                  <c:x val="-5.6204238578529776E-2"/>
                  <c:y val="6.2167172923609397E-2"/>
                </c:manualLayout>
              </c:layout>
              <c:dLblPos val="r"/>
              <c:showLegendKey val="0"/>
              <c:showVal val="1"/>
              <c:showCatName val="0"/>
              <c:showSerName val="0"/>
              <c:showPercent val="0"/>
              <c:showBubbleSize val="0"/>
            </c:dLbl>
            <c:dLbl>
              <c:idx val="11"/>
              <c:layout>
                <c:manualLayout>
                  <c:x val="-5.0184587582289886E-2"/>
                  <c:y val="-4.9886621315193148E-2"/>
                </c:manualLayout>
              </c:layout>
              <c:dLblPos val="r"/>
              <c:showLegendKey val="0"/>
              <c:showVal val="1"/>
              <c:showCatName val="0"/>
              <c:showSerName val="0"/>
              <c:showPercent val="0"/>
              <c:showBubbleSize val="0"/>
            </c:dLbl>
            <c:txPr>
              <a:bodyPr/>
              <a:lstStyle/>
              <a:p>
                <a:pPr>
                  <a:defRPr sz="800"/>
                </a:pPr>
                <a:endParaRPr lang="ja-JP"/>
              </a:p>
            </c:txPr>
            <c:dLblPos val="ctr"/>
            <c:showLegendKey val="0"/>
            <c:showVal val="1"/>
            <c:showCatName val="0"/>
            <c:showSerName val="0"/>
            <c:showPercent val="0"/>
            <c:showBubbleSize val="0"/>
            <c:showLeaderLines val="0"/>
          </c:dLbls>
          <c:cat>
            <c:strRef>
              <c:f>Hoja1!$M$6:$M$17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Hoja1!$N$6:$N$17</c:f>
              <c:numCache>
                <c:formatCode>#,##0.00</c:formatCode>
                <c:ptCount val="12"/>
                <c:pt idx="0">
                  <c:v>5.7367026399999999</c:v>
                </c:pt>
                <c:pt idx="1">
                  <c:v>6.5157852999999841</c:v>
                </c:pt>
                <c:pt idx="2">
                  <c:v>6.2058775199999872</c:v>
                </c:pt>
                <c:pt idx="3">
                  <c:v>6.3072692300000002</c:v>
                </c:pt>
                <c:pt idx="4">
                  <c:v>5.2840368699999765</c:v>
                </c:pt>
                <c:pt idx="5">
                  <c:v>5.1379035799999784</c:v>
                </c:pt>
                <c:pt idx="6">
                  <c:v>5.8141562899999784</c:v>
                </c:pt>
                <c:pt idx="7">
                  <c:v>5.3070005399999785</c:v>
                </c:pt>
                <c:pt idx="8">
                  <c:v>5.3718385399999882</c:v>
                </c:pt>
                <c:pt idx="9">
                  <c:v>4.1061599199999872</c:v>
                </c:pt>
                <c:pt idx="10">
                  <c:v>3.4431410600000012</c:v>
                </c:pt>
                <c:pt idx="11">
                  <c:v>3.6795406699999997</c:v>
                </c:pt>
              </c:numCache>
            </c:numRef>
          </c:val>
          <c:smooth val="0"/>
        </c:ser>
        <c:ser>
          <c:idx val="1"/>
          <c:order val="1"/>
          <c:tx>
            <c:strRef>
              <c:f>Hoja1!$O$5</c:f>
              <c:strCache>
                <c:ptCount val="1"/>
                <c:pt idx="0">
                  <c:v>2014年</c:v>
                </c:pt>
              </c:strCache>
            </c:strRef>
          </c:tx>
          <c:dLbls>
            <c:dLbl>
              <c:idx val="0"/>
              <c:layout>
                <c:manualLayout>
                  <c:x val="-5.0184587582289886E-2"/>
                  <c:y val="4.0816326530612471E-2"/>
                </c:manualLayout>
              </c:layout>
              <c:dLblPos val="r"/>
              <c:showLegendKey val="0"/>
              <c:showVal val="1"/>
              <c:showCatName val="0"/>
              <c:showSerName val="0"/>
              <c:showPercent val="0"/>
              <c:showBubbleSize val="0"/>
            </c:dLbl>
            <c:dLbl>
              <c:idx val="1"/>
              <c:layout>
                <c:manualLayout>
                  <c:x val="-5.0184587582289886E-2"/>
                  <c:y val="5.4421768707482956E-2"/>
                </c:manualLayout>
              </c:layout>
              <c:dLblPos val="r"/>
              <c:showLegendKey val="0"/>
              <c:showVal val="1"/>
              <c:showCatName val="0"/>
              <c:showSerName val="0"/>
              <c:showPercent val="0"/>
              <c:showBubbleSize val="0"/>
            </c:dLbl>
            <c:txPr>
              <a:bodyPr/>
              <a:lstStyle/>
              <a:p>
                <a:pPr>
                  <a:defRPr sz="800"/>
                </a:pPr>
                <a:endParaRPr lang="ja-JP"/>
              </a:p>
            </c:txPr>
            <c:dLblPos val="ctr"/>
            <c:showLegendKey val="0"/>
            <c:showVal val="1"/>
            <c:showCatName val="0"/>
            <c:showSerName val="0"/>
            <c:showPercent val="0"/>
            <c:showBubbleSize val="0"/>
            <c:showLeaderLines val="0"/>
          </c:dLbls>
          <c:cat>
            <c:strRef>
              <c:f>Hoja1!$M$6:$M$17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Hoja1!$O$6:$O$17</c:f>
              <c:numCache>
                <c:formatCode>#,##0.00</c:formatCode>
                <c:ptCount val="12"/>
                <c:pt idx="0">
                  <c:v>3.1040330900000002</c:v>
                </c:pt>
                <c:pt idx="1">
                  <c:v>2.7396626699999977</c:v>
                </c:pt>
              </c:numCache>
            </c:numRef>
          </c:val>
          <c:smooth val="0"/>
        </c:ser>
        <c:dLbls>
          <c:showLegendKey val="0"/>
          <c:showVal val="0"/>
          <c:showCatName val="0"/>
          <c:showSerName val="0"/>
          <c:showPercent val="0"/>
          <c:showBubbleSize val="0"/>
        </c:dLbls>
        <c:hiLowLines/>
        <c:marker val="1"/>
        <c:smooth val="0"/>
        <c:axId val="83441152"/>
        <c:axId val="83442688"/>
      </c:lineChart>
      <c:catAx>
        <c:axId val="83441152"/>
        <c:scaling>
          <c:orientation val="minMax"/>
        </c:scaling>
        <c:delete val="0"/>
        <c:axPos val="b"/>
        <c:majorTickMark val="none"/>
        <c:minorTickMark val="none"/>
        <c:tickLblPos val="nextTo"/>
        <c:txPr>
          <a:bodyPr anchor="t" anchorCtr="0"/>
          <a:lstStyle/>
          <a:p>
            <a:pPr>
              <a:defRPr sz="800"/>
            </a:pPr>
            <a:endParaRPr lang="ja-JP"/>
          </a:p>
        </c:txPr>
        <c:crossAx val="83442688"/>
        <c:crosses val="autoZero"/>
        <c:auto val="1"/>
        <c:lblAlgn val="ctr"/>
        <c:lblOffset val="100"/>
        <c:noMultiLvlLbl val="0"/>
      </c:catAx>
      <c:valAx>
        <c:axId val="83442688"/>
        <c:scaling>
          <c:orientation val="minMax"/>
        </c:scaling>
        <c:delete val="0"/>
        <c:axPos val="l"/>
        <c:majorGridlines/>
        <c:title>
          <c:tx>
            <c:rich>
              <a:bodyPr rot="0" vert="horz"/>
              <a:lstStyle/>
              <a:p>
                <a:pPr>
                  <a:defRPr/>
                </a:pPr>
                <a:r>
                  <a:rPr lang="en-US" altLang="ja-JP"/>
                  <a:t>(</a:t>
                </a:r>
                <a:r>
                  <a:rPr lang="ja-JP" altLang="en-US"/>
                  <a:t>％</a:t>
                </a:r>
                <a:r>
                  <a:rPr lang="en-US" altLang="ja-JP"/>
                  <a:t>)</a:t>
                </a:r>
                <a:endParaRPr lang="ja-JP" altLang="en-US"/>
              </a:p>
            </c:rich>
          </c:tx>
          <c:layout>
            <c:manualLayout>
              <c:xMode val="edge"/>
              <c:yMode val="edge"/>
              <c:x val="9.5628415300546929E-2"/>
              <c:y val="5.5833020872390934E-2"/>
            </c:manualLayout>
          </c:layout>
          <c:overlay val="0"/>
        </c:title>
        <c:numFmt formatCode="#,##0.00" sourceLinked="1"/>
        <c:majorTickMark val="out"/>
        <c:minorTickMark val="none"/>
        <c:tickLblPos val="nextTo"/>
        <c:crossAx val="83441152"/>
        <c:crosses val="autoZero"/>
        <c:crossBetween val="between"/>
      </c:valAx>
    </c:plotArea>
    <c:legend>
      <c:legendPos val="r"/>
      <c:layout/>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0.17577</cdr:x>
      <cdr:y>0.49439</cdr:y>
    </cdr:from>
    <cdr:to>
      <cdr:x>0.33017</cdr:x>
      <cdr:y>0.54908</cdr:y>
    </cdr:to>
    <cdr:sp macro="" textlink="">
      <cdr:nvSpPr>
        <cdr:cNvPr id="2" name="テキスト ボックス 1"/>
        <cdr:cNvSpPr txBox="1"/>
      </cdr:nvSpPr>
      <cdr:spPr>
        <a:xfrm xmlns:a="http://schemas.openxmlformats.org/drawingml/2006/main">
          <a:off x="704850" y="1667024"/>
          <a:ext cx="619124" cy="1843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b="1"/>
            <a:t>ドル建て</a:t>
          </a:r>
        </a:p>
      </cdr:txBody>
    </cdr:sp>
  </cdr:relSizeAnchor>
  <cdr:relSizeAnchor xmlns:cdr="http://schemas.openxmlformats.org/drawingml/2006/chartDrawing">
    <cdr:from>
      <cdr:x>0.14014</cdr:x>
      <cdr:y>0.42452</cdr:y>
    </cdr:from>
    <cdr:to>
      <cdr:x>0.16865</cdr:x>
      <cdr:y>0.4714</cdr:y>
    </cdr:to>
    <cdr:sp macro="" textlink="">
      <cdr:nvSpPr>
        <cdr:cNvPr id="3" name="下矢印 2"/>
        <cdr:cNvSpPr/>
      </cdr:nvSpPr>
      <cdr:spPr>
        <a:xfrm xmlns:a="http://schemas.openxmlformats.org/drawingml/2006/main" rot="10800000" flipH="1">
          <a:off x="561974" y="1431429"/>
          <a:ext cx="114300" cy="158055"/>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0.17102</cdr:x>
      <cdr:y>0.43256</cdr:y>
    </cdr:from>
    <cdr:to>
      <cdr:x>0.34442</cdr:x>
      <cdr:y>0.51589</cdr:y>
    </cdr:to>
    <cdr:sp macro="" textlink="">
      <cdr:nvSpPr>
        <cdr:cNvPr id="4" name="テキスト ボックス 3"/>
        <cdr:cNvSpPr txBox="1"/>
      </cdr:nvSpPr>
      <cdr:spPr>
        <a:xfrm xmlns:a="http://schemas.openxmlformats.org/drawingml/2006/main">
          <a:off x="685799" y="1458515"/>
          <a:ext cx="695326" cy="2809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b="1"/>
            <a:t>コロン建て</a:t>
          </a:r>
        </a:p>
      </cdr:txBody>
    </cdr:sp>
  </cdr:relSizeAnchor>
  <cdr:relSizeAnchor xmlns:cdr="http://schemas.openxmlformats.org/drawingml/2006/chartDrawing">
    <cdr:from>
      <cdr:x>0.14252</cdr:x>
      <cdr:y>0.50847</cdr:y>
    </cdr:from>
    <cdr:to>
      <cdr:x>0.17102</cdr:x>
      <cdr:y>0.5678</cdr:y>
    </cdr:to>
    <cdr:sp macro="" textlink="">
      <cdr:nvSpPr>
        <cdr:cNvPr id="5" name="上矢印 4"/>
        <cdr:cNvSpPr/>
      </cdr:nvSpPr>
      <cdr:spPr>
        <a:xfrm xmlns:a="http://schemas.openxmlformats.org/drawingml/2006/main" rot="10800000">
          <a:off x="571499" y="1714499"/>
          <a:ext cx="114299" cy="200024"/>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6399EA-05EA-49D5-9F35-CDB4566CF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791</Words>
  <Characters>4511</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外務省</Company>
  <LinksUpToDate>false</LinksUpToDate>
  <CharactersWithSpaces>5292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情報通信課</dc:creator>
  <cp:lastModifiedBy>情報通信課</cp:lastModifiedBy>
  <cp:revision>2</cp:revision>
  <cp:lastPrinted>2014-05-20T19:31:00Z</cp:lastPrinted>
  <dcterms:created xsi:type="dcterms:W3CDTF">2014-05-23T09:26:00Z</dcterms:created>
  <dcterms:modified xsi:type="dcterms:W3CDTF">2014-05-23T09:26:00Z</dcterms:modified>
</cp:coreProperties>
</file>