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C76D02" w:rsidRDefault="003B5D15" w:rsidP="00C76D02">
      <w:pPr>
        <w:jc w:val="center"/>
        <w:rPr>
          <w:rFonts w:asciiTheme="majorEastAsia" w:eastAsiaTheme="majorEastAsia" w:hAnsiTheme="majorEastAsia"/>
          <w:b/>
          <w:sz w:val="24"/>
          <w:szCs w:val="24"/>
        </w:rPr>
      </w:pPr>
      <w:r w:rsidRPr="00996F8B">
        <w:rPr>
          <w:rFonts w:asciiTheme="majorEastAsia" w:eastAsiaTheme="majorEastAsia" w:hAnsiTheme="majorEastAsia" w:hint="eastAsia"/>
          <w:b/>
          <w:sz w:val="24"/>
          <w:szCs w:val="24"/>
        </w:rPr>
        <w:t>ウルグアイ経済（</w:t>
      </w:r>
      <w:r w:rsidR="00C76D02">
        <w:rPr>
          <w:rFonts w:asciiTheme="majorEastAsia" w:eastAsiaTheme="majorEastAsia" w:hAnsiTheme="majorEastAsia" w:hint="eastAsia"/>
          <w:b/>
          <w:sz w:val="24"/>
          <w:szCs w:val="24"/>
        </w:rPr>
        <w:t>2014年5</w:t>
      </w:r>
      <w:r w:rsidRPr="00996F8B">
        <w:rPr>
          <w:rFonts w:asciiTheme="majorEastAsia" w:eastAsiaTheme="majorEastAsia" w:hAnsiTheme="majorEastAsia" w:hint="eastAsia"/>
          <w:b/>
          <w:sz w:val="24"/>
          <w:szCs w:val="24"/>
        </w:rPr>
        <w:t>月分）</w:t>
      </w:r>
    </w:p>
    <w:p w:rsidR="003B5D15" w:rsidRPr="00996F8B" w:rsidRDefault="003B5D15" w:rsidP="003B5D15">
      <w:pPr>
        <w:rPr>
          <w:rFonts w:asciiTheme="majorEastAsia" w:eastAsiaTheme="majorEastAsia" w:hAnsiTheme="majorEastAsia"/>
          <w:b/>
          <w:i/>
          <w:sz w:val="24"/>
          <w:szCs w:val="24"/>
        </w:rPr>
      </w:pPr>
    </w:p>
    <w:p w:rsidR="003B5D15" w:rsidRPr="00996F8B" w:rsidRDefault="003B5D15" w:rsidP="003B5D15">
      <w:pPr>
        <w:rPr>
          <w:rFonts w:asciiTheme="majorEastAsia" w:eastAsiaTheme="majorEastAsia" w:hAnsiTheme="majorEastAsia"/>
          <w:sz w:val="24"/>
          <w:szCs w:val="24"/>
        </w:rPr>
      </w:pPr>
      <w:r w:rsidRPr="00996F8B">
        <w:rPr>
          <w:rFonts w:asciiTheme="majorEastAsia" w:eastAsiaTheme="majorEastAsia" w:hAnsiTheme="majorEastAsia" w:hint="eastAsia"/>
          <w:sz w:val="24"/>
          <w:szCs w:val="24"/>
        </w:rPr>
        <w:t>【概況】</w:t>
      </w:r>
    </w:p>
    <w:p w:rsidR="003B5D15" w:rsidRPr="0041060A" w:rsidRDefault="003B5D15" w:rsidP="003B5D15">
      <w:pPr>
        <w:rPr>
          <w:rFonts w:asciiTheme="majorEastAsia" w:eastAsiaTheme="majorEastAsia" w:hAnsiTheme="majorEastAsia"/>
          <w:sz w:val="24"/>
          <w:szCs w:val="24"/>
        </w:rPr>
      </w:pPr>
      <w:r w:rsidRPr="0041060A">
        <w:rPr>
          <w:rFonts w:asciiTheme="majorEastAsia" w:eastAsiaTheme="majorEastAsia" w:hAnsiTheme="majorEastAsia" w:hint="eastAsia"/>
          <w:sz w:val="24"/>
          <w:szCs w:val="24"/>
        </w:rPr>
        <w:t>●対ドル為替レート</w:t>
      </w:r>
      <w:r w:rsidR="0048112F" w:rsidRPr="0041060A">
        <w:rPr>
          <w:rFonts w:asciiTheme="majorEastAsia" w:eastAsiaTheme="majorEastAsia" w:hAnsiTheme="majorEastAsia" w:hint="eastAsia"/>
          <w:sz w:val="24"/>
          <w:szCs w:val="24"/>
        </w:rPr>
        <w:t>は</w:t>
      </w:r>
      <w:r w:rsidRPr="0041060A">
        <w:rPr>
          <w:rFonts w:asciiTheme="majorEastAsia" w:eastAsiaTheme="majorEastAsia" w:hAnsiTheme="majorEastAsia" w:hint="eastAsia"/>
          <w:sz w:val="24"/>
          <w:szCs w:val="24"/>
        </w:rPr>
        <w:t>平均で2</w:t>
      </w:r>
      <w:r w:rsidR="00DE0197" w:rsidRPr="0041060A">
        <w:rPr>
          <w:rFonts w:asciiTheme="majorEastAsia" w:eastAsiaTheme="majorEastAsia" w:hAnsiTheme="majorEastAsia" w:hint="eastAsia"/>
          <w:sz w:val="24"/>
          <w:szCs w:val="24"/>
        </w:rPr>
        <w:t>3.02</w:t>
      </w:r>
      <w:r w:rsidRPr="0041060A">
        <w:rPr>
          <w:rFonts w:asciiTheme="majorEastAsia" w:eastAsiaTheme="majorEastAsia" w:hAnsiTheme="majorEastAsia" w:hint="eastAsia"/>
          <w:sz w:val="24"/>
          <w:szCs w:val="24"/>
        </w:rPr>
        <w:t>ペソ</w:t>
      </w:r>
      <w:r w:rsidR="0048112F" w:rsidRPr="0041060A">
        <w:rPr>
          <w:rFonts w:asciiTheme="majorEastAsia" w:eastAsiaTheme="majorEastAsia" w:hAnsiTheme="majorEastAsia" w:hint="eastAsia"/>
          <w:sz w:val="24"/>
          <w:szCs w:val="24"/>
        </w:rPr>
        <w:t>であ</w:t>
      </w:r>
      <w:r w:rsidRPr="0041060A">
        <w:rPr>
          <w:rFonts w:asciiTheme="majorEastAsia" w:eastAsiaTheme="majorEastAsia" w:hAnsiTheme="majorEastAsia" w:hint="eastAsia"/>
          <w:sz w:val="24"/>
          <w:szCs w:val="24"/>
        </w:rPr>
        <w:t>り，前月比で</w:t>
      </w:r>
      <w:r w:rsidR="0041060A" w:rsidRPr="0041060A">
        <w:rPr>
          <w:rFonts w:asciiTheme="majorEastAsia" w:eastAsiaTheme="majorEastAsia" w:hAnsiTheme="majorEastAsia" w:hint="eastAsia"/>
          <w:sz w:val="24"/>
          <w:szCs w:val="24"/>
        </w:rPr>
        <w:t>0.7</w:t>
      </w:r>
      <w:r w:rsidR="005C77F2">
        <w:rPr>
          <w:rFonts w:asciiTheme="majorEastAsia" w:eastAsiaTheme="majorEastAsia" w:hAnsiTheme="majorEastAsia" w:hint="eastAsia"/>
          <w:sz w:val="24"/>
          <w:szCs w:val="24"/>
        </w:rPr>
        <w:t>%</w:t>
      </w:r>
      <w:r w:rsidR="00DE0197" w:rsidRPr="0041060A">
        <w:rPr>
          <w:rFonts w:asciiTheme="majorEastAsia" w:eastAsiaTheme="majorEastAsia" w:hAnsiTheme="majorEastAsia" w:hint="eastAsia"/>
          <w:sz w:val="24"/>
          <w:szCs w:val="24"/>
        </w:rPr>
        <w:t>ドル</w:t>
      </w:r>
      <w:r w:rsidRPr="0041060A">
        <w:rPr>
          <w:rFonts w:asciiTheme="majorEastAsia" w:eastAsiaTheme="majorEastAsia" w:hAnsiTheme="majorEastAsia" w:hint="eastAsia"/>
          <w:sz w:val="24"/>
          <w:szCs w:val="24"/>
        </w:rPr>
        <w:t>高ペソ安となり，引き続きドル高傾向が続いている。</w:t>
      </w:r>
    </w:p>
    <w:p w:rsidR="003B5D15" w:rsidRPr="00CD445F" w:rsidRDefault="003B5D15" w:rsidP="003B5D15">
      <w:pPr>
        <w:jc w:val="left"/>
        <w:rPr>
          <w:rFonts w:asciiTheme="majorEastAsia" w:eastAsiaTheme="majorEastAsia" w:hAnsiTheme="majorEastAsia"/>
          <w:sz w:val="24"/>
          <w:szCs w:val="24"/>
        </w:rPr>
      </w:pPr>
      <w:r w:rsidRPr="00CD445F">
        <w:rPr>
          <w:rFonts w:asciiTheme="majorEastAsia" w:eastAsiaTheme="majorEastAsia" w:hAnsiTheme="majorEastAsia" w:hint="eastAsia"/>
          <w:sz w:val="24"/>
          <w:szCs w:val="24"/>
        </w:rPr>
        <w:t>●消費者物価指数は9.</w:t>
      </w:r>
      <w:r w:rsidR="002B5C01" w:rsidRPr="00CD445F">
        <w:rPr>
          <w:rFonts w:asciiTheme="majorEastAsia" w:eastAsiaTheme="majorEastAsia" w:hAnsiTheme="majorEastAsia" w:hint="eastAsia"/>
          <w:sz w:val="24"/>
          <w:szCs w:val="24"/>
        </w:rPr>
        <w:t>18</w:t>
      </w:r>
      <w:r w:rsidRPr="00CD445F">
        <w:rPr>
          <w:rFonts w:asciiTheme="majorEastAsia" w:eastAsiaTheme="majorEastAsia" w:hAnsiTheme="majorEastAsia" w:hint="eastAsia"/>
          <w:sz w:val="24"/>
          <w:szCs w:val="24"/>
        </w:rPr>
        <w:t>%</w:t>
      </w:r>
      <w:r w:rsidR="005C77F2">
        <w:rPr>
          <w:rFonts w:asciiTheme="majorEastAsia" w:eastAsiaTheme="majorEastAsia" w:hAnsiTheme="majorEastAsia" w:hint="eastAsia"/>
          <w:sz w:val="24"/>
          <w:szCs w:val="24"/>
        </w:rPr>
        <w:t>であり，指数は前月と同じでインフレは緩和されていない。</w:t>
      </w:r>
      <w:r w:rsidR="0041060A" w:rsidRPr="00CD445F">
        <w:rPr>
          <w:rFonts w:asciiTheme="majorEastAsia" w:eastAsiaTheme="majorEastAsia" w:hAnsiTheme="majorEastAsia" w:hint="eastAsia"/>
          <w:sz w:val="24"/>
          <w:szCs w:val="24"/>
        </w:rPr>
        <w:t>「家具・家庭用品」の価格高騰は落ちついたものの。</w:t>
      </w:r>
      <w:r w:rsidRPr="00CD445F">
        <w:rPr>
          <w:rFonts w:asciiTheme="majorEastAsia" w:eastAsiaTheme="majorEastAsia" w:hAnsiTheme="majorEastAsia" w:hint="eastAsia"/>
          <w:sz w:val="24"/>
          <w:szCs w:val="24"/>
        </w:rPr>
        <w:t>「食品</w:t>
      </w:r>
      <w:r w:rsidR="0041060A" w:rsidRPr="00CD445F">
        <w:rPr>
          <w:rFonts w:asciiTheme="majorEastAsia" w:eastAsiaTheme="majorEastAsia" w:hAnsiTheme="majorEastAsia" w:hint="eastAsia"/>
          <w:sz w:val="24"/>
          <w:szCs w:val="24"/>
        </w:rPr>
        <w:t>・ノンアルコール飲料</w:t>
      </w:r>
      <w:r w:rsidRPr="00CD445F">
        <w:rPr>
          <w:rFonts w:asciiTheme="majorEastAsia" w:eastAsiaTheme="majorEastAsia" w:hAnsiTheme="majorEastAsia" w:hint="eastAsia"/>
          <w:sz w:val="24"/>
          <w:szCs w:val="24"/>
        </w:rPr>
        <w:t>」</w:t>
      </w:r>
      <w:r w:rsidR="002B5C01" w:rsidRPr="00CD445F">
        <w:rPr>
          <w:rFonts w:asciiTheme="majorEastAsia" w:eastAsiaTheme="majorEastAsia" w:hAnsiTheme="majorEastAsia" w:hint="eastAsia"/>
          <w:sz w:val="24"/>
          <w:szCs w:val="24"/>
        </w:rPr>
        <w:t>「</w:t>
      </w:r>
      <w:r w:rsidR="0041060A" w:rsidRPr="00CD445F">
        <w:rPr>
          <w:rFonts w:asciiTheme="majorEastAsia" w:eastAsiaTheme="majorEastAsia" w:hAnsiTheme="majorEastAsia" w:hint="eastAsia"/>
          <w:sz w:val="24"/>
          <w:szCs w:val="24"/>
        </w:rPr>
        <w:t>住宅」「レストラン・ホテル</w:t>
      </w:r>
      <w:r w:rsidR="002B5C01" w:rsidRPr="00CD445F">
        <w:rPr>
          <w:rFonts w:asciiTheme="majorEastAsia" w:eastAsiaTheme="majorEastAsia" w:hAnsiTheme="majorEastAsia" w:hint="eastAsia"/>
          <w:sz w:val="24"/>
          <w:szCs w:val="24"/>
        </w:rPr>
        <w:t>」</w:t>
      </w:r>
      <w:r w:rsidR="004B48A1">
        <w:rPr>
          <w:rFonts w:asciiTheme="majorEastAsia" w:eastAsiaTheme="majorEastAsia" w:hAnsiTheme="majorEastAsia" w:hint="eastAsia"/>
          <w:sz w:val="24"/>
          <w:szCs w:val="24"/>
        </w:rPr>
        <w:t>の指数</w:t>
      </w:r>
      <w:r w:rsidR="0048112F" w:rsidRPr="00CD445F">
        <w:rPr>
          <w:rFonts w:asciiTheme="majorEastAsia" w:eastAsiaTheme="majorEastAsia" w:hAnsiTheme="majorEastAsia" w:hint="eastAsia"/>
          <w:sz w:val="24"/>
          <w:szCs w:val="24"/>
        </w:rPr>
        <w:t>が</w:t>
      </w:r>
      <w:r w:rsidR="005C77F2">
        <w:rPr>
          <w:rFonts w:asciiTheme="majorEastAsia" w:eastAsiaTheme="majorEastAsia" w:hAnsiTheme="majorEastAsia" w:hint="eastAsia"/>
          <w:sz w:val="24"/>
          <w:szCs w:val="24"/>
        </w:rPr>
        <w:t>依然として高い</w:t>
      </w:r>
      <w:r w:rsidR="0048112F" w:rsidRPr="00CD445F">
        <w:rPr>
          <w:rFonts w:asciiTheme="majorEastAsia" w:eastAsiaTheme="majorEastAsia" w:hAnsiTheme="majorEastAsia" w:hint="eastAsia"/>
          <w:sz w:val="24"/>
          <w:szCs w:val="24"/>
        </w:rPr>
        <w:t>こ</w:t>
      </w:r>
      <w:r w:rsidRPr="00CD445F">
        <w:rPr>
          <w:rFonts w:asciiTheme="majorEastAsia" w:eastAsiaTheme="majorEastAsia" w:hAnsiTheme="majorEastAsia" w:hint="eastAsia"/>
          <w:sz w:val="24"/>
          <w:szCs w:val="24"/>
        </w:rPr>
        <w:t>と等が要因。</w:t>
      </w:r>
    </w:p>
    <w:p w:rsidR="003B5D15" w:rsidRPr="00CD445F" w:rsidRDefault="003B5D15" w:rsidP="003B5D15">
      <w:pPr>
        <w:rPr>
          <w:rFonts w:asciiTheme="majorEastAsia" w:eastAsiaTheme="majorEastAsia" w:hAnsiTheme="majorEastAsia"/>
          <w:sz w:val="24"/>
          <w:szCs w:val="24"/>
        </w:rPr>
      </w:pPr>
      <w:r w:rsidRPr="00CD445F">
        <w:rPr>
          <w:rFonts w:asciiTheme="majorEastAsia" w:eastAsiaTheme="majorEastAsia" w:hAnsiTheme="majorEastAsia" w:hint="eastAsia"/>
          <w:sz w:val="24"/>
          <w:szCs w:val="24"/>
        </w:rPr>
        <w:t>●輸出額は前年同月比で</w:t>
      </w:r>
      <w:r w:rsidR="0041060A" w:rsidRPr="00CD445F">
        <w:rPr>
          <w:rFonts w:asciiTheme="majorEastAsia" w:eastAsiaTheme="majorEastAsia" w:hAnsiTheme="majorEastAsia" w:hint="eastAsia"/>
          <w:sz w:val="24"/>
          <w:szCs w:val="24"/>
        </w:rPr>
        <w:t>7.8</w:t>
      </w:r>
      <w:r w:rsidRPr="00CD445F">
        <w:rPr>
          <w:rFonts w:asciiTheme="majorEastAsia" w:eastAsiaTheme="majorEastAsia" w:hAnsiTheme="majorEastAsia" w:hint="eastAsia"/>
          <w:sz w:val="24"/>
          <w:szCs w:val="24"/>
        </w:rPr>
        <w:t>%</w:t>
      </w:r>
      <w:r w:rsidR="0041060A" w:rsidRPr="00CD445F">
        <w:rPr>
          <w:rFonts w:asciiTheme="majorEastAsia" w:eastAsiaTheme="majorEastAsia" w:hAnsiTheme="majorEastAsia" w:hint="eastAsia"/>
          <w:sz w:val="24"/>
          <w:szCs w:val="24"/>
        </w:rPr>
        <w:t>増加した。</w:t>
      </w:r>
      <w:r w:rsidR="00AA2869" w:rsidRPr="00CD445F">
        <w:rPr>
          <w:rFonts w:asciiTheme="majorEastAsia" w:eastAsiaTheme="majorEastAsia" w:hAnsiTheme="majorEastAsia" w:hint="eastAsia"/>
          <w:sz w:val="24"/>
          <w:szCs w:val="24"/>
        </w:rPr>
        <w:t>大豆の輸出量が</w:t>
      </w:r>
      <w:r w:rsidR="0041060A" w:rsidRPr="00CD445F">
        <w:rPr>
          <w:rFonts w:asciiTheme="majorEastAsia" w:eastAsiaTheme="majorEastAsia" w:hAnsiTheme="majorEastAsia" w:hint="eastAsia"/>
          <w:sz w:val="24"/>
          <w:szCs w:val="24"/>
        </w:rPr>
        <w:t>14.7%増加</w:t>
      </w:r>
      <w:r w:rsidR="00AA2869" w:rsidRPr="00CD445F">
        <w:rPr>
          <w:rFonts w:asciiTheme="majorEastAsia" w:eastAsiaTheme="majorEastAsia" w:hAnsiTheme="majorEastAsia" w:hint="eastAsia"/>
          <w:sz w:val="24"/>
          <w:szCs w:val="24"/>
        </w:rPr>
        <w:t>したこと等が原因。</w:t>
      </w:r>
      <w:r w:rsidR="00CD445F" w:rsidRPr="00CD445F">
        <w:rPr>
          <w:rFonts w:asciiTheme="majorEastAsia" w:eastAsiaTheme="majorEastAsia" w:hAnsiTheme="majorEastAsia" w:hint="eastAsia"/>
          <w:sz w:val="24"/>
          <w:szCs w:val="24"/>
        </w:rPr>
        <w:t>本年1</w:t>
      </w:r>
      <w:r w:rsidR="00CD445F">
        <w:rPr>
          <w:rFonts w:asciiTheme="majorEastAsia" w:eastAsiaTheme="majorEastAsia" w:hAnsiTheme="majorEastAsia" w:hint="eastAsia"/>
          <w:sz w:val="24"/>
          <w:szCs w:val="24"/>
        </w:rPr>
        <w:t>月からの累計</w:t>
      </w:r>
      <w:r w:rsidR="00CD445F" w:rsidRPr="00CD445F">
        <w:rPr>
          <w:rFonts w:asciiTheme="majorEastAsia" w:eastAsiaTheme="majorEastAsia" w:hAnsiTheme="majorEastAsia" w:hint="eastAsia"/>
          <w:sz w:val="24"/>
          <w:szCs w:val="24"/>
        </w:rPr>
        <w:t>で輸出額が多い品目は大豆（21.3%</w:t>
      </w:r>
      <w:r w:rsidR="00CD445F" w:rsidRPr="00CD445F">
        <w:rPr>
          <w:rFonts w:asciiTheme="majorEastAsia" w:eastAsiaTheme="majorEastAsia" w:hAnsiTheme="majorEastAsia"/>
          <w:sz w:val="24"/>
          <w:szCs w:val="24"/>
        </w:rPr>
        <w:t>）</w:t>
      </w:r>
      <w:r w:rsidR="00CD445F" w:rsidRPr="00CD445F">
        <w:rPr>
          <w:rFonts w:asciiTheme="majorEastAsia" w:eastAsiaTheme="majorEastAsia" w:hAnsiTheme="majorEastAsia" w:hint="eastAsia"/>
          <w:sz w:val="24"/>
          <w:szCs w:val="24"/>
        </w:rPr>
        <w:t>，冷凍牛肉(11.0%)，</w:t>
      </w:r>
      <w:r w:rsidR="00AA2869" w:rsidRPr="00CD445F">
        <w:rPr>
          <w:rFonts w:asciiTheme="majorEastAsia" w:eastAsiaTheme="majorEastAsia" w:hAnsiTheme="majorEastAsia" w:hint="eastAsia"/>
          <w:sz w:val="24"/>
          <w:szCs w:val="24"/>
        </w:rPr>
        <w:t>牛乳・クリーム</w:t>
      </w:r>
      <w:r w:rsidR="00CD445F" w:rsidRPr="00CD445F">
        <w:rPr>
          <w:rFonts w:asciiTheme="majorEastAsia" w:eastAsiaTheme="majorEastAsia" w:hAnsiTheme="majorEastAsia" w:hint="eastAsia"/>
          <w:sz w:val="24"/>
          <w:szCs w:val="24"/>
        </w:rPr>
        <w:t>（5.7%</w:t>
      </w:r>
      <w:r w:rsidR="00CD445F" w:rsidRPr="00CD445F">
        <w:rPr>
          <w:rFonts w:asciiTheme="majorEastAsia" w:eastAsiaTheme="majorEastAsia" w:hAnsiTheme="majorEastAsia"/>
          <w:sz w:val="24"/>
          <w:szCs w:val="24"/>
        </w:rPr>
        <w:t>）</w:t>
      </w:r>
      <w:r w:rsidR="00CD445F" w:rsidRPr="00CD445F">
        <w:rPr>
          <w:rFonts w:asciiTheme="majorEastAsia" w:eastAsiaTheme="majorEastAsia" w:hAnsiTheme="majorEastAsia" w:hint="eastAsia"/>
          <w:sz w:val="24"/>
          <w:szCs w:val="24"/>
        </w:rPr>
        <w:t>，コメ（5.4%</w:t>
      </w:r>
      <w:r w:rsidR="00CD445F" w:rsidRPr="00CD445F">
        <w:rPr>
          <w:rFonts w:asciiTheme="majorEastAsia" w:eastAsiaTheme="majorEastAsia" w:hAnsiTheme="majorEastAsia"/>
          <w:sz w:val="24"/>
          <w:szCs w:val="24"/>
        </w:rPr>
        <w:t>）</w:t>
      </w:r>
      <w:r w:rsidR="00AA2869" w:rsidRPr="00CD445F">
        <w:rPr>
          <w:rFonts w:asciiTheme="majorEastAsia" w:eastAsiaTheme="majorEastAsia" w:hAnsiTheme="majorEastAsia" w:hint="eastAsia"/>
          <w:sz w:val="24"/>
          <w:szCs w:val="24"/>
        </w:rPr>
        <w:t>。</w:t>
      </w:r>
    </w:p>
    <w:p w:rsidR="00263394" w:rsidRPr="00CD445F" w:rsidRDefault="00263394" w:rsidP="003B5D15">
      <w:pPr>
        <w:rPr>
          <w:rFonts w:asciiTheme="majorEastAsia" w:eastAsiaTheme="majorEastAsia" w:hAnsiTheme="majorEastAsia"/>
          <w:sz w:val="24"/>
          <w:szCs w:val="24"/>
        </w:rPr>
      </w:pPr>
    </w:p>
    <w:p w:rsidR="003B5D15" w:rsidRPr="004B48A1" w:rsidRDefault="003B5D15" w:rsidP="003B5D15">
      <w:pPr>
        <w:rPr>
          <w:rFonts w:asciiTheme="majorEastAsia" w:eastAsiaTheme="majorEastAsia" w:hAnsiTheme="majorEastAsia"/>
          <w:sz w:val="24"/>
          <w:szCs w:val="24"/>
        </w:rPr>
      </w:pPr>
      <w:r w:rsidRPr="004B48A1">
        <w:rPr>
          <w:rFonts w:asciiTheme="majorEastAsia" w:eastAsiaTheme="majorEastAsia" w:hAnsiTheme="majorEastAsia" w:hint="eastAsia"/>
          <w:sz w:val="24"/>
          <w:szCs w:val="24"/>
        </w:rPr>
        <w:t>【トピック】</w:t>
      </w:r>
    </w:p>
    <w:p w:rsidR="00197D6A" w:rsidRDefault="00197D6A"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１　統計</w:t>
      </w:r>
    </w:p>
    <w:p w:rsidR="00197D6A" w:rsidRDefault="00197D6A" w:rsidP="00197D6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観光スポーツ省によると，1月</w:t>
      </w:r>
      <w:r w:rsidR="005C77F2">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月</w:t>
      </w:r>
      <w:r w:rsidR="005C77F2">
        <w:rPr>
          <w:rFonts w:asciiTheme="majorEastAsia" w:eastAsiaTheme="majorEastAsia" w:hAnsiTheme="majorEastAsia" w:hint="eastAsia"/>
          <w:sz w:val="24"/>
          <w:szCs w:val="24"/>
        </w:rPr>
        <w:t>における，</w:t>
      </w:r>
      <w:r>
        <w:rPr>
          <w:rFonts w:asciiTheme="majorEastAsia" w:eastAsiaTheme="majorEastAsia" w:hAnsiTheme="majorEastAsia" w:hint="eastAsia"/>
          <w:sz w:val="24"/>
          <w:szCs w:val="24"/>
        </w:rPr>
        <w:t>ウルグアイ人の海外旅行者数は89万人であり，昨年同期比で12%増の5億ドルを消費した。同時期の海外からの当国への観光客数は111万人で，消費額は昨年同期比で10%減の</w:t>
      </w:r>
      <w:r w:rsidR="005C77F2">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億ドルであった。</w:t>
      </w:r>
    </w:p>
    <w:p w:rsidR="00197D6A" w:rsidRPr="005C77F2" w:rsidRDefault="00197D6A" w:rsidP="003B5D15">
      <w:pPr>
        <w:rPr>
          <w:rFonts w:asciiTheme="majorEastAsia" w:eastAsiaTheme="majorEastAsia" w:hAnsiTheme="majorEastAsia"/>
          <w:sz w:val="24"/>
          <w:szCs w:val="24"/>
        </w:rPr>
      </w:pPr>
    </w:p>
    <w:p w:rsidR="003B5D15" w:rsidRDefault="00197D6A"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B5D15" w:rsidRPr="00623A56">
        <w:rPr>
          <w:rFonts w:asciiTheme="majorEastAsia" w:eastAsiaTheme="majorEastAsia" w:hAnsiTheme="majorEastAsia" w:hint="eastAsia"/>
          <w:sz w:val="24"/>
          <w:szCs w:val="24"/>
        </w:rPr>
        <w:t xml:space="preserve">　</w:t>
      </w:r>
      <w:r w:rsidR="004B48A1">
        <w:rPr>
          <w:rFonts w:asciiTheme="majorEastAsia" w:eastAsiaTheme="majorEastAsia" w:hAnsiTheme="majorEastAsia" w:hint="eastAsia"/>
          <w:sz w:val="24"/>
          <w:szCs w:val="24"/>
        </w:rPr>
        <w:t>金融</w:t>
      </w:r>
    </w:p>
    <w:p w:rsidR="004B48A1" w:rsidRDefault="004B48A1" w:rsidP="004B48A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（１）30日，格付け会社ムーディーズ社はウルグアイ国債に対する格付けを</w:t>
      </w:r>
      <w:r>
        <w:rPr>
          <w:rFonts w:ascii="ＭＳ ゴシック" w:eastAsia="ＭＳ ゴシック" w:cs="ＭＳ ゴシック"/>
          <w:kern w:val="0"/>
          <w:sz w:val="24"/>
          <w:szCs w:val="24"/>
          <w:lang w:val="ja-JP"/>
        </w:rPr>
        <w:t>Baa3</w:t>
      </w:r>
      <w:r>
        <w:rPr>
          <w:rFonts w:ascii="ＭＳ ゴシック" w:eastAsia="ＭＳ ゴシック" w:cs="ＭＳ ゴシック" w:hint="eastAsia"/>
          <w:kern w:val="0"/>
          <w:sz w:val="24"/>
          <w:szCs w:val="24"/>
          <w:lang w:val="ja-JP"/>
        </w:rPr>
        <w:t>から</w:t>
      </w:r>
      <w:r>
        <w:rPr>
          <w:rFonts w:ascii="ＭＳ ゴシック" w:eastAsia="ＭＳ ゴシック" w:cs="ＭＳ ゴシック"/>
          <w:kern w:val="0"/>
          <w:sz w:val="24"/>
          <w:szCs w:val="24"/>
          <w:lang w:val="ja-JP"/>
        </w:rPr>
        <w:t>Baa2</w:t>
      </w:r>
      <w:r>
        <w:rPr>
          <w:rFonts w:ascii="ＭＳ ゴシック" w:eastAsia="ＭＳ ゴシック" w:cs="ＭＳ ゴシック" w:hint="eastAsia"/>
          <w:kern w:val="0"/>
          <w:sz w:val="24"/>
          <w:szCs w:val="24"/>
          <w:lang w:val="ja-JP"/>
        </w:rPr>
        <w:t>に引き上げた。</w:t>
      </w:r>
      <w:r>
        <w:rPr>
          <w:rFonts w:ascii="ＭＳ ゴシック" w:eastAsia="ＭＳ ゴシック" w:cs="ＭＳ ゴシック"/>
          <w:kern w:val="0"/>
          <w:sz w:val="24"/>
          <w:szCs w:val="24"/>
          <w:lang w:val="ja-JP"/>
        </w:rPr>
        <w:t>Baa2</w:t>
      </w:r>
      <w:r>
        <w:rPr>
          <w:rFonts w:ascii="ＭＳ ゴシック" w:eastAsia="ＭＳ ゴシック" w:cs="ＭＳ ゴシック" w:hint="eastAsia"/>
          <w:kern w:val="0"/>
          <w:sz w:val="24"/>
          <w:szCs w:val="24"/>
          <w:lang w:val="ja-JP"/>
        </w:rPr>
        <w:t>は他の格付け会社の</w:t>
      </w:r>
      <w:r>
        <w:rPr>
          <w:rFonts w:ascii="ＭＳ ゴシック" w:eastAsia="ＭＳ ゴシック" w:cs="ＭＳ ゴシック"/>
          <w:kern w:val="0"/>
          <w:sz w:val="24"/>
          <w:szCs w:val="24"/>
          <w:lang w:val="ja-JP"/>
        </w:rPr>
        <w:t>BBB</w:t>
      </w:r>
      <w:r>
        <w:rPr>
          <w:rFonts w:ascii="ＭＳ ゴシック" w:eastAsia="ＭＳ ゴシック" w:cs="ＭＳ ゴシック" w:hint="eastAsia"/>
          <w:kern w:val="0"/>
          <w:sz w:val="24"/>
          <w:szCs w:val="24"/>
          <w:lang w:val="ja-JP"/>
        </w:rPr>
        <w:t>に相当し，ウルグアイ国債がこのレベルのランクに格付けされたのは初めて。</w:t>
      </w:r>
    </w:p>
    <w:p w:rsidR="004B48A1" w:rsidRDefault="004B48A1"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94A20">
        <w:rPr>
          <w:rFonts w:asciiTheme="majorEastAsia" w:eastAsiaTheme="majorEastAsia" w:hAnsiTheme="majorEastAsia" w:hint="eastAsia"/>
          <w:sz w:val="24"/>
          <w:szCs w:val="24"/>
        </w:rPr>
        <w:t>25日付「エル・パイス」紙によると，2013年の国内銀行への預金</w:t>
      </w:r>
      <w:r w:rsidR="00197D6A">
        <w:rPr>
          <w:rFonts w:asciiTheme="majorEastAsia" w:eastAsiaTheme="majorEastAsia" w:hAnsiTheme="majorEastAsia" w:hint="eastAsia"/>
          <w:sz w:val="24"/>
          <w:szCs w:val="24"/>
        </w:rPr>
        <w:t>額</w:t>
      </w:r>
      <w:r w:rsidR="00D94A20">
        <w:rPr>
          <w:rFonts w:asciiTheme="majorEastAsia" w:eastAsiaTheme="majorEastAsia" w:hAnsiTheme="majorEastAsia" w:hint="eastAsia"/>
          <w:sz w:val="24"/>
          <w:szCs w:val="24"/>
        </w:rPr>
        <w:t>のうち海外居住者からの預金が占める割合は15%</w:t>
      </w:r>
      <w:r w:rsidR="007263FD">
        <w:rPr>
          <w:rFonts w:asciiTheme="majorEastAsia" w:eastAsiaTheme="majorEastAsia" w:hAnsiTheme="majorEastAsia" w:hint="eastAsia"/>
          <w:sz w:val="24"/>
          <w:szCs w:val="24"/>
        </w:rPr>
        <w:t>。</w:t>
      </w:r>
      <w:r w:rsidR="00980813">
        <w:rPr>
          <w:rFonts w:asciiTheme="majorEastAsia" w:eastAsiaTheme="majorEastAsia" w:hAnsiTheme="majorEastAsia" w:hint="eastAsia"/>
          <w:sz w:val="24"/>
          <w:szCs w:val="24"/>
        </w:rPr>
        <w:t>国内銀行は2002年のアルゼンチン経済危機に起因する</w:t>
      </w:r>
      <w:r w:rsidR="005C77F2">
        <w:rPr>
          <w:rFonts w:asciiTheme="majorEastAsia" w:eastAsiaTheme="majorEastAsia" w:hAnsiTheme="majorEastAsia" w:hint="eastAsia"/>
          <w:sz w:val="24"/>
          <w:szCs w:val="24"/>
        </w:rPr>
        <w:t>「ウ」の</w:t>
      </w:r>
      <w:r w:rsidR="00980813">
        <w:rPr>
          <w:rFonts w:asciiTheme="majorEastAsia" w:eastAsiaTheme="majorEastAsia" w:hAnsiTheme="majorEastAsia" w:hint="eastAsia"/>
          <w:sz w:val="24"/>
          <w:szCs w:val="24"/>
        </w:rPr>
        <w:t>銀行危機に教訓を得て，</w:t>
      </w:r>
      <w:r w:rsidR="00197D6A">
        <w:rPr>
          <w:rFonts w:asciiTheme="majorEastAsia" w:eastAsiaTheme="majorEastAsia" w:hAnsiTheme="majorEastAsia" w:hint="eastAsia"/>
          <w:sz w:val="24"/>
          <w:szCs w:val="24"/>
        </w:rPr>
        <w:t>国外</w:t>
      </w:r>
      <w:r w:rsidR="007263FD">
        <w:rPr>
          <w:rFonts w:asciiTheme="majorEastAsia" w:eastAsiaTheme="majorEastAsia" w:hAnsiTheme="majorEastAsia" w:hint="eastAsia"/>
          <w:sz w:val="24"/>
          <w:szCs w:val="24"/>
        </w:rPr>
        <w:t>居住者からの</w:t>
      </w:r>
      <w:r w:rsidR="00980813">
        <w:rPr>
          <w:rFonts w:asciiTheme="majorEastAsia" w:eastAsiaTheme="majorEastAsia" w:hAnsiTheme="majorEastAsia" w:hint="eastAsia"/>
          <w:sz w:val="24"/>
          <w:szCs w:val="24"/>
        </w:rPr>
        <w:t>預金</w:t>
      </w:r>
      <w:r w:rsidR="007263FD">
        <w:rPr>
          <w:rFonts w:asciiTheme="majorEastAsia" w:eastAsiaTheme="majorEastAsia" w:hAnsiTheme="majorEastAsia" w:hint="eastAsia"/>
          <w:sz w:val="24"/>
          <w:szCs w:val="24"/>
        </w:rPr>
        <w:t>比率を下げることに努め</w:t>
      </w:r>
      <w:r w:rsidR="00D94A20">
        <w:rPr>
          <w:rFonts w:asciiTheme="majorEastAsia" w:eastAsiaTheme="majorEastAsia" w:hAnsiTheme="majorEastAsia" w:hint="eastAsia"/>
          <w:sz w:val="24"/>
          <w:szCs w:val="24"/>
        </w:rPr>
        <w:t>2002年の45%</w:t>
      </w:r>
      <w:r w:rsidR="00980813">
        <w:rPr>
          <w:rFonts w:asciiTheme="majorEastAsia" w:eastAsiaTheme="majorEastAsia" w:hAnsiTheme="majorEastAsia" w:hint="eastAsia"/>
          <w:sz w:val="24"/>
          <w:szCs w:val="24"/>
        </w:rPr>
        <w:t>に比べると</w:t>
      </w:r>
      <w:r w:rsidR="00D94A20">
        <w:rPr>
          <w:rFonts w:asciiTheme="majorEastAsia" w:eastAsiaTheme="majorEastAsia" w:hAnsiTheme="majorEastAsia" w:hint="eastAsia"/>
          <w:sz w:val="24"/>
          <w:szCs w:val="24"/>
        </w:rPr>
        <w:t>大幅に減少した。</w:t>
      </w:r>
      <w:r w:rsidR="007263FD">
        <w:rPr>
          <w:rFonts w:asciiTheme="majorEastAsia" w:eastAsiaTheme="majorEastAsia" w:hAnsiTheme="majorEastAsia" w:hint="eastAsia"/>
          <w:sz w:val="24"/>
          <w:szCs w:val="24"/>
        </w:rPr>
        <w:t>しかし，居住地</w:t>
      </w:r>
      <w:r w:rsidR="00D94A20">
        <w:rPr>
          <w:rFonts w:asciiTheme="majorEastAsia" w:eastAsiaTheme="majorEastAsia" w:hAnsiTheme="majorEastAsia" w:hint="eastAsia"/>
          <w:sz w:val="24"/>
          <w:szCs w:val="24"/>
        </w:rPr>
        <w:t>別</w:t>
      </w:r>
      <w:r w:rsidR="00980813">
        <w:rPr>
          <w:rFonts w:asciiTheme="majorEastAsia" w:eastAsiaTheme="majorEastAsia" w:hAnsiTheme="majorEastAsia" w:hint="eastAsia"/>
          <w:sz w:val="24"/>
          <w:szCs w:val="24"/>
        </w:rPr>
        <w:t>預金比率は</w:t>
      </w:r>
      <w:r w:rsidR="00D94A20">
        <w:rPr>
          <w:rFonts w:asciiTheme="majorEastAsia" w:eastAsiaTheme="majorEastAsia" w:hAnsiTheme="majorEastAsia" w:hint="eastAsia"/>
          <w:sz w:val="24"/>
          <w:szCs w:val="24"/>
        </w:rPr>
        <w:t>，</w:t>
      </w:r>
      <w:r w:rsidR="007263FD">
        <w:rPr>
          <w:rFonts w:asciiTheme="majorEastAsia" w:eastAsiaTheme="majorEastAsia" w:hAnsiTheme="majorEastAsia" w:hint="eastAsia"/>
          <w:sz w:val="24"/>
          <w:szCs w:val="24"/>
        </w:rPr>
        <w:t>亜</w:t>
      </w:r>
      <w:r w:rsidR="00980813">
        <w:rPr>
          <w:rFonts w:asciiTheme="majorEastAsia" w:eastAsiaTheme="majorEastAsia" w:hAnsiTheme="majorEastAsia" w:hint="eastAsia"/>
          <w:sz w:val="24"/>
          <w:szCs w:val="24"/>
        </w:rPr>
        <w:t>が71%</w:t>
      </w:r>
      <w:r w:rsidR="007263FD">
        <w:rPr>
          <w:rFonts w:asciiTheme="majorEastAsia" w:eastAsiaTheme="majorEastAsia" w:hAnsiTheme="majorEastAsia" w:hint="eastAsia"/>
          <w:sz w:val="24"/>
          <w:szCs w:val="24"/>
        </w:rPr>
        <w:t>と依然として高く，</w:t>
      </w:r>
      <w:r w:rsidR="00980813">
        <w:rPr>
          <w:rFonts w:asciiTheme="majorEastAsia" w:eastAsiaTheme="majorEastAsia" w:hAnsiTheme="majorEastAsia" w:hint="eastAsia"/>
          <w:sz w:val="24"/>
          <w:szCs w:val="24"/>
        </w:rPr>
        <w:t>ブラジル</w:t>
      </w:r>
      <w:r w:rsidR="007263FD">
        <w:rPr>
          <w:rFonts w:asciiTheme="majorEastAsia" w:eastAsiaTheme="majorEastAsia" w:hAnsiTheme="majorEastAsia" w:hint="eastAsia"/>
          <w:sz w:val="24"/>
          <w:szCs w:val="24"/>
        </w:rPr>
        <w:t>の</w:t>
      </w:r>
      <w:r w:rsidR="00980813">
        <w:rPr>
          <w:rFonts w:asciiTheme="majorEastAsia" w:eastAsiaTheme="majorEastAsia" w:hAnsiTheme="majorEastAsia" w:hint="eastAsia"/>
          <w:sz w:val="24"/>
          <w:szCs w:val="24"/>
        </w:rPr>
        <w:t>5%</w:t>
      </w:r>
      <w:r w:rsidR="007263FD">
        <w:rPr>
          <w:rFonts w:asciiTheme="majorEastAsia" w:eastAsiaTheme="majorEastAsia" w:hAnsiTheme="majorEastAsia" w:hint="eastAsia"/>
          <w:sz w:val="24"/>
          <w:szCs w:val="24"/>
        </w:rPr>
        <w:t>を大きく引き離している。</w:t>
      </w:r>
    </w:p>
    <w:p w:rsidR="00980813" w:rsidRPr="007263FD" w:rsidRDefault="00980813" w:rsidP="003B5D15">
      <w:pPr>
        <w:rPr>
          <w:rFonts w:asciiTheme="majorEastAsia" w:eastAsiaTheme="majorEastAsia" w:hAnsiTheme="majorEastAsia"/>
          <w:sz w:val="24"/>
          <w:szCs w:val="24"/>
        </w:rPr>
      </w:pPr>
    </w:p>
    <w:p w:rsidR="004B48A1" w:rsidRPr="00257917" w:rsidRDefault="00197D6A" w:rsidP="004B48A1">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B48A1">
        <w:rPr>
          <w:rFonts w:asciiTheme="majorEastAsia" w:eastAsiaTheme="majorEastAsia" w:hAnsiTheme="majorEastAsia" w:hint="eastAsia"/>
          <w:sz w:val="24"/>
          <w:szCs w:val="24"/>
        </w:rPr>
        <w:t xml:space="preserve">　</w:t>
      </w:r>
      <w:r w:rsidR="004B48A1" w:rsidRPr="00257917">
        <w:rPr>
          <w:rFonts w:asciiTheme="majorEastAsia" w:eastAsiaTheme="majorEastAsia" w:hAnsiTheme="majorEastAsia" w:hint="eastAsia"/>
          <w:sz w:val="24"/>
          <w:szCs w:val="24"/>
        </w:rPr>
        <w:t>日系企業</w:t>
      </w:r>
    </w:p>
    <w:p w:rsidR="004B48A1" w:rsidRDefault="004B48A1" w:rsidP="004B48A1">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Theme="majorEastAsia" w:eastAsiaTheme="majorEastAsia" w:hAnsiTheme="majorEastAsia" w:cs="ＭＳ ゴシック" w:hint="eastAsia"/>
          <w:kern w:val="0"/>
          <w:sz w:val="24"/>
          <w:szCs w:val="24"/>
        </w:rPr>
        <w:t>22日付及び27日付「エル・パイス」紙は，</w:t>
      </w:r>
      <w:r>
        <w:rPr>
          <w:rFonts w:ascii="ＭＳ ゴシック" w:eastAsia="ＭＳ ゴシック" w:cs="ＭＳ ゴシック" w:hint="eastAsia"/>
          <w:kern w:val="0"/>
          <w:sz w:val="24"/>
          <w:szCs w:val="24"/>
          <w:lang w:val="ja-JP"/>
        </w:rPr>
        <w:t>エアバック製造業のタカタ・ウルグアイで，現在の繊維産業としての給与体系から金属産業の給与体系への変更を求める組合員との対立が続</w:t>
      </w:r>
      <w:r w:rsidR="0033106A">
        <w:rPr>
          <w:rFonts w:ascii="ＭＳ ゴシック" w:eastAsia="ＭＳ ゴシック" w:cs="ＭＳ ゴシック" w:hint="eastAsia"/>
          <w:kern w:val="0"/>
          <w:sz w:val="24"/>
          <w:szCs w:val="24"/>
          <w:lang w:val="ja-JP"/>
        </w:rPr>
        <w:t>いており，</w:t>
      </w:r>
      <w:r>
        <w:rPr>
          <w:rFonts w:ascii="ＭＳ ゴシック" w:eastAsia="ＭＳ ゴシック" w:cs="ＭＳ ゴシック" w:hint="eastAsia"/>
          <w:kern w:val="0"/>
          <w:sz w:val="24"/>
          <w:szCs w:val="24"/>
          <w:lang w:val="ja-JP"/>
        </w:rPr>
        <w:t>自動車部品産業の労働者を組織する金属労協（</w:t>
      </w:r>
      <w:r>
        <w:rPr>
          <w:rFonts w:ascii="ＭＳ ゴシック" w:eastAsia="ＭＳ ゴシック" w:cs="ＭＳ ゴシック"/>
          <w:kern w:val="0"/>
          <w:sz w:val="24"/>
          <w:szCs w:val="24"/>
          <w:lang w:val="ja-JP"/>
        </w:rPr>
        <w:t>Untmra)</w:t>
      </w:r>
      <w:r w:rsidR="0033106A">
        <w:rPr>
          <w:rFonts w:ascii="ＭＳ ゴシック" w:eastAsia="ＭＳ ゴシック" w:cs="ＭＳ ゴシック" w:hint="eastAsia"/>
          <w:kern w:val="0"/>
          <w:sz w:val="24"/>
          <w:szCs w:val="24"/>
          <w:lang w:val="ja-JP"/>
        </w:rPr>
        <w:t>が</w:t>
      </w:r>
      <w:r>
        <w:rPr>
          <w:rFonts w:ascii="ＭＳ ゴシック" w:eastAsia="ＭＳ ゴシック" w:cs="ＭＳ ゴシック" w:hint="eastAsia"/>
          <w:kern w:val="0"/>
          <w:sz w:val="24"/>
          <w:szCs w:val="24"/>
          <w:lang w:val="ja-JP"/>
        </w:rPr>
        <w:t>政府に対し，タカタが，繊維産業の給与体系を維持するのであれば，同社が自動車部品業者として享受している優遇税制の適用から除外するよう求める予定である旨報じた。</w:t>
      </w:r>
    </w:p>
    <w:p w:rsidR="004B48A1" w:rsidRPr="004B48A1" w:rsidRDefault="004B48A1" w:rsidP="003B5D15">
      <w:pPr>
        <w:rPr>
          <w:rFonts w:asciiTheme="majorEastAsia" w:eastAsiaTheme="majorEastAsia" w:hAnsiTheme="majorEastAsia"/>
          <w:sz w:val="24"/>
          <w:szCs w:val="24"/>
        </w:rPr>
      </w:pPr>
    </w:p>
    <w:p w:rsidR="0088032C" w:rsidRPr="008D3D37" w:rsidRDefault="00197D6A"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8032C" w:rsidRPr="008D3D37">
        <w:rPr>
          <w:rFonts w:asciiTheme="majorEastAsia" w:eastAsiaTheme="majorEastAsia" w:hAnsiTheme="majorEastAsia" w:hint="eastAsia"/>
          <w:sz w:val="24"/>
          <w:szCs w:val="24"/>
        </w:rPr>
        <w:t xml:space="preserve">　</w:t>
      </w:r>
      <w:r w:rsidR="00257917">
        <w:rPr>
          <w:rFonts w:asciiTheme="majorEastAsia" w:eastAsiaTheme="majorEastAsia" w:hAnsiTheme="majorEastAsia" w:hint="eastAsia"/>
          <w:sz w:val="24"/>
          <w:szCs w:val="24"/>
        </w:rPr>
        <w:t>対米関係</w:t>
      </w:r>
    </w:p>
    <w:p w:rsidR="0088032C" w:rsidRDefault="003C7473" w:rsidP="0088032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88032C">
        <w:rPr>
          <w:rFonts w:ascii="ＭＳ ゴシック" w:eastAsia="ＭＳ ゴシック" w:cs="ＭＳ ゴシック" w:hint="eastAsia"/>
          <w:kern w:val="0"/>
          <w:sz w:val="24"/>
          <w:szCs w:val="24"/>
          <w:lang w:val="ja-JP"/>
        </w:rPr>
        <w:t>本年</w:t>
      </w:r>
      <w:r w:rsidR="008D3D37">
        <w:rPr>
          <w:rFonts w:ascii="ＭＳ ゴシック" w:eastAsia="ＭＳ ゴシック" w:cs="ＭＳ ゴシック" w:hint="eastAsia"/>
          <w:kern w:val="0"/>
          <w:sz w:val="24"/>
          <w:szCs w:val="24"/>
          <w:lang w:val="ja-JP"/>
        </w:rPr>
        <w:t>2</w:t>
      </w:r>
      <w:r w:rsidR="0088032C">
        <w:rPr>
          <w:rFonts w:ascii="ＭＳ ゴシック" w:eastAsia="ＭＳ ゴシック" w:cs="ＭＳ ゴシック" w:hint="eastAsia"/>
          <w:kern w:val="0"/>
          <w:sz w:val="24"/>
          <w:szCs w:val="24"/>
          <w:lang w:val="ja-JP"/>
        </w:rPr>
        <w:t>月に</w:t>
      </w:r>
      <w:r>
        <w:rPr>
          <w:rFonts w:ascii="ＭＳ ゴシック" w:eastAsia="ＭＳ ゴシック" w:cs="ＭＳ ゴシック" w:hint="eastAsia"/>
          <w:kern w:val="0"/>
          <w:sz w:val="24"/>
          <w:szCs w:val="24"/>
          <w:lang w:val="ja-JP"/>
        </w:rPr>
        <w:t>コカコーラの当地代理店</w:t>
      </w:r>
      <w:r w:rsidR="008D3D37">
        <w:rPr>
          <w:rFonts w:ascii="ＭＳ ゴシック" w:eastAsia="ＭＳ ゴシック" w:cs="ＭＳ ゴシック" w:hint="eastAsia"/>
          <w:kern w:val="0"/>
          <w:sz w:val="24"/>
          <w:szCs w:val="24"/>
          <w:lang w:val="ja-JP"/>
        </w:rPr>
        <w:t>モンテビデオ・レフレスコ社</w:t>
      </w:r>
      <w:r w:rsidR="0088032C">
        <w:rPr>
          <w:rFonts w:ascii="ＭＳ ゴシック" w:eastAsia="ＭＳ ゴシック" w:cs="ＭＳ ゴシック" w:hint="eastAsia"/>
          <w:kern w:val="0"/>
          <w:sz w:val="24"/>
          <w:szCs w:val="24"/>
          <w:lang w:val="ja-JP"/>
        </w:rPr>
        <w:t>の関連運搬会社の従業員</w:t>
      </w:r>
      <w:r w:rsidR="008D3D37">
        <w:rPr>
          <w:rFonts w:ascii="ＭＳ ゴシック" w:eastAsia="ＭＳ ゴシック" w:cs="ＭＳ ゴシック" w:hint="eastAsia"/>
          <w:kern w:val="0"/>
          <w:sz w:val="24"/>
          <w:szCs w:val="24"/>
          <w:lang w:val="ja-JP"/>
        </w:rPr>
        <w:t>1</w:t>
      </w:r>
      <w:r w:rsidR="0088032C">
        <w:rPr>
          <w:rFonts w:ascii="ＭＳ ゴシック" w:eastAsia="ＭＳ ゴシック" w:cs="ＭＳ ゴシック" w:hint="eastAsia"/>
          <w:kern w:val="0"/>
          <w:sz w:val="24"/>
          <w:szCs w:val="24"/>
          <w:lang w:val="ja-JP"/>
        </w:rPr>
        <w:t>人が解雇されたことに抗議し，</w:t>
      </w:r>
      <w:r>
        <w:rPr>
          <w:rFonts w:ascii="ＭＳ ゴシック" w:eastAsia="ＭＳ ゴシック" w:cs="ＭＳ ゴシック" w:hint="eastAsia"/>
          <w:kern w:val="0"/>
          <w:sz w:val="24"/>
          <w:szCs w:val="24"/>
          <w:lang w:val="ja-JP"/>
        </w:rPr>
        <w:t>当国コカコーラ労組は</w:t>
      </w:r>
      <w:r w:rsidR="0088032C">
        <w:rPr>
          <w:rFonts w:ascii="ＭＳ ゴシック" w:eastAsia="ＭＳ ゴシック" w:cs="ＭＳ ゴシック" w:hint="eastAsia"/>
          <w:kern w:val="0"/>
          <w:sz w:val="24"/>
          <w:szCs w:val="24"/>
          <w:lang w:val="ja-JP"/>
        </w:rPr>
        <w:t>5日から9日にかけて，モンテビデオ市内の「モ」社工場出口でピケを張り，飲料を出荷するトラックの運行を妨げた。</w:t>
      </w:r>
      <w:r w:rsidR="008D3D37">
        <w:rPr>
          <w:rFonts w:ascii="ＭＳ ゴシック" w:eastAsia="ＭＳ ゴシック" w:cs="ＭＳ ゴシック" w:hint="eastAsia"/>
          <w:kern w:val="0"/>
          <w:sz w:val="24"/>
          <w:szCs w:val="24"/>
          <w:lang w:val="ja-JP"/>
        </w:rPr>
        <w:t>14日付「エル・パイス」紙は</w:t>
      </w:r>
      <w:r w:rsidR="0088032C">
        <w:rPr>
          <w:rFonts w:ascii="ＭＳ ゴシック" w:eastAsia="ＭＳ ゴシック" w:cs="ＭＳ ゴシック" w:hint="eastAsia"/>
          <w:kern w:val="0"/>
          <w:sz w:val="24"/>
          <w:szCs w:val="24"/>
          <w:lang w:val="ja-JP"/>
        </w:rPr>
        <w:t>米のコカコーラ本社幹部が，ムヒカ大統領の訪米に同行し</w:t>
      </w:r>
      <w:r w:rsidR="008D3D37">
        <w:rPr>
          <w:rFonts w:ascii="ＭＳ ゴシック" w:eastAsia="ＭＳ ゴシック" w:cs="ＭＳ ゴシック" w:hint="eastAsia"/>
          <w:kern w:val="0"/>
          <w:sz w:val="24"/>
          <w:szCs w:val="24"/>
          <w:lang w:val="ja-JP"/>
        </w:rPr>
        <w:t>た</w:t>
      </w:r>
      <w:r w:rsidR="0088032C">
        <w:rPr>
          <w:rFonts w:ascii="ＭＳ ゴシック" w:eastAsia="ＭＳ ゴシック" w:cs="ＭＳ ゴシック" w:hint="eastAsia"/>
          <w:kern w:val="0"/>
          <w:sz w:val="24"/>
          <w:szCs w:val="24"/>
          <w:lang w:val="ja-JP"/>
        </w:rPr>
        <w:t>ベルガラ経済財務相に対して，直接懸念を表明した旨</w:t>
      </w:r>
      <w:r w:rsidR="00873ECE">
        <w:rPr>
          <w:rFonts w:ascii="ＭＳ ゴシック" w:eastAsia="ＭＳ ゴシック" w:cs="ＭＳ ゴシック" w:hint="eastAsia"/>
          <w:kern w:val="0"/>
          <w:sz w:val="24"/>
          <w:szCs w:val="24"/>
          <w:lang w:val="ja-JP"/>
        </w:rPr>
        <w:t>同行筋の話として</w:t>
      </w:r>
      <w:r w:rsidR="008D3D37">
        <w:rPr>
          <w:rFonts w:ascii="ＭＳ ゴシック" w:eastAsia="ＭＳ ゴシック" w:cs="ＭＳ ゴシック" w:hint="eastAsia"/>
          <w:kern w:val="0"/>
          <w:sz w:val="24"/>
          <w:szCs w:val="24"/>
          <w:lang w:val="ja-JP"/>
        </w:rPr>
        <w:t>報じた</w:t>
      </w:r>
      <w:r w:rsidR="00873ECE">
        <w:rPr>
          <w:rFonts w:ascii="ＭＳ ゴシック" w:eastAsia="ＭＳ ゴシック" w:cs="ＭＳ ゴシック" w:hint="eastAsia"/>
          <w:kern w:val="0"/>
          <w:sz w:val="24"/>
          <w:szCs w:val="24"/>
          <w:lang w:val="ja-JP"/>
        </w:rPr>
        <w:t>が，「ベ」同相は</w:t>
      </w:r>
      <w:r w:rsidR="004B48A1">
        <w:rPr>
          <w:rFonts w:ascii="ＭＳ ゴシック" w:eastAsia="ＭＳ ゴシック" w:cs="ＭＳ ゴシック" w:hint="eastAsia"/>
          <w:kern w:val="0"/>
          <w:sz w:val="24"/>
          <w:szCs w:val="24"/>
          <w:lang w:val="ja-JP"/>
        </w:rPr>
        <w:t>事実関係の確認を</w:t>
      </w:r>
      <w:r w:rsidR="00873ECE">
        <w:rPr>
          <w:rFonts w:ascii="ＭＳ ゴシック" w:eastAsia="ＭＳ ゴシック" w:cs="ＭＳ ゴシック" w:hint="eastAsia"/>
          <w:kern w:val="0"/>
          <w:sz w:val="24"/>
          <w:szCs w:val="24"/>
          <w:lang w:val="ja-JP"/>
        </w:rPr>
        <w:t>避けた</w:t>
      </w:r>
      <w:r w:rsidR="008D3D37">
        <w:rPr>
          <w:rFonts w:ascii="ＭＳ ゴシック" w:eastAsia="ＭＳ ゴシック" w:cs="ＭＳ ゴシック" w:hint="eastAsia"/>
          <w:kern w:val="0"/>
          <w:sz w:val="24"/>
          <w:szCs w:val="24"/>
          <w:lang w:val="ja-JP"/>
        </w:rPr>
        <w:t>。</w:t>
      </w:r>
    </w:p>
    <w:p w:rsidR="0088032C" w:rsidRPr="003C7473" w:rsidRDefault="003C7473" w:rsidP="003B5D15">
      <w:pPr>
        <w:rPr>
          <w:rFonts w:asciiTheme="majorEastAsia" w:eastAsiaTheme="majorEastAsia" w:hAnsiTheme="majorEastAsia"/>
          <w:sz w:val="24"/>
          <w:szCs w:val="24"/>
        </w:rPr>
      </w:pPr>
      <w:r w:rsidRPr="003C7473">
        <w:rPr>
          <w:rFonts w:asciiTheme="majorEastAsia" w:eastAsiaTheme="majorEastAsia" w:hAnsiTheme="majorEastAsia" w:hint="eastAsia"/>
          <w:sz w:val="24"/>
          <w:szCs w:val="24"/>
        </w:rPr>
        <w:t>（２）</w:t>
      </w:r>
      <w:r w:rsidR="004B48A1">
        <w:rPr>
          <w:rFonts w:asciiTheme="majorEastAsia" w:eastAsiaTheme="majorEastAsia" w:hAnsiTheme="majorEastAsia" w:hint="eastAsia"/>
          <w:sz w:val="24"/>
          <w:szCs w:val="24"/>
        </w:rPr>
        <w:t>農牧水産省によると，</w:t>
      </w:r>
      <w:r w:rsidR="007263FD">
        <w:rPr>
          <w:rFonts w:asciiTheme="majorEastAsia" w:eastAsiaTheme="majorEastAsia" w:hAnsiTheme="majorEastAsia" w:hint="eastAsia"/>
          <w:sz w:val="24"/>
          <w:szCs w:val="24"/>
        </w:rPr>
        <w:t>米国向け柑橘類の</w:t>
      </w:r>
      <w:r w:rsidR="004B48A1">
        <w:rPr>
          <w:rFonts w:asciiTheme="majorEastAsia" w:eastAsiaTheme="majorEastAsia" w:hAnsiTheme="majorEastAsia" w:hint="eastAsia"/>
          <w:sz w:val="24"/>
          <w:szCs w:val="24"/>
        </w:rPr>
        <w:t>輸出が昨年11月に解禁されてから</w:t>
      </w:r>
      <w:r w:rsidR="007263FD">
        <w:rPr>
          <w:rFonts w:asciiTheme="majorEastAsia" w:eastAsiaTheme="majorEastAsia" w:hAnsiTheme="majorEastAsia" w:hint="eastAsia"/>
          <w:sz w:val="24"/>
          <w:szCs w:val="24"/>
        </w:rPr>
        <w:t>5月まで</w:t>
      </w:r>
      <w:r w:rsidR="004B48A1">
        <w:rPr>
          <w:rFonts w:asciiTheme="majorEastAsia" w:eastAsiaTheme="majorEastAsia" w:hAnsiTheme="majorEastAsia" w:hint="eastAsia"/>
          <w:sz w:val="24"/>
          <w:szCs w:val="24"/>
        </w:rPr>
        <w:t>の半年間で1,200トン</w:t>
      </w:r>
      <w:r w:rsidR="007263FD">
        <w:rPr>
          <w:rFonts w:asciiTheme="majorEastAsia" w:eastAsiaTheme="majorEastAsia" w:hAnsiTheme="majorEastAsia" w:hint="eastAsia"/>
          <w:sz w:val="24"/>
          <w:szCs w:val="24"/>
        </w:rPr>
        <w:t>となった。柑橘類の輸出全体に占める割合は8%。</w:t>
      </w:r>
    </w:p>
    <w:p w:rsidR="004B48A1" w:rsidRPr="007263FD" w:rsidRDefault="004B48A1" w:rsidP="003B5D15">
      <w:pPr>
        <w:rPr>
          <w:rFonts w:asciiTheme="majorEastAsia" w:eastAsiaTheme="majorEastAsia" w:hAnsiTheme="majorEastAsia"/>
          <w:sz w:val="24"/>
          <w:szCs w:val="24"/>
        </w:rPr>
      </w:pPr>
    </w:p>
    <w:p w:rsidR="008D3D37" w:rsidRPr="00A31119" w:rsidRDefault="004B48A1"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873ECE">
        <w:rPr>
          <w:rFonts w:asciiTheme="majorEastAsia" w:eastAsiaTheme="majorEastAsia" w:hAnsiTheme="majorEastAsia" w:hint="eastAsia"/>
          <w:sz w:val="24"/>
          <w:szCs w:val="24"/>
        </w:rPr>
        <w:t xml:space="preserve">　</w:t>
      </w:r>
      <w:r w:rsidR="008D3D37" w:rsidRPr="00A31119">
        <w:rPr>
          <w:rFonts w:asciiTheme="majorEastAsia" w:eastAsiaTheme="majorEastAsia" w:hAnsiTheme="majorEastAsia" w:hint="eastAsia"/>
          <w:sz w:val="24"/>
          <w:szCs w:val="24"/>
        </w:rPr>
        <w:t>対ブラジル関係</w:t>
      </w:r>
    </w:p>
    <w:p w:rsidR="00A31119" w:rsidRDefault="008D3D37" w:rsidP="00A31119">
      <w:pPr>
        <w:autoSpaceDE w:val="0"/>
        <w:autoSpaceDN w:val="0"/>
        <w:adjustRightInd w:val="0"/>
        <w:ind w:firstLineChars="100" w:firstLine="240"/>
        <w:jc w:val="left"/>
        <w:rPr>
          <w:rFonts w:ascii="ＭＳ ゴシック" w:eastAsia="ＭＳ ゴシック" w:cs="ＭＳ ゴシック"/>
          <w:kern w:val="0"/>
          <w:sz w:val="24"/>
          <w:szCs w:val="24"/>
          <w:lang w:val="ja-JP"/>
        </w:rPr>
      </w:pPr>
      <w:r w:rsidRPr="00A31119">
        <w:rPr>
          <w:rFonts w:ascii="ＭＳ ゴシック" w:eastAsia="ＭＳ ゴシック" w:cs="ＭＳ ゴシック" w:hint="eastAsia"/>
          <w:kern w:val="0"/>
          <w:sz w:val="24"/>
          <w:szCs w:val="24"/>
          <w:lang w:val="ja-JP"/>
        </w:rPr>
        <w:t>1</w:t>
      </w:r>
      <w:r>
        <w:rPr>
          <w:rFonts w:ascii="ＭＳ ゴシック" w:eastAsia="ＭＳ ゴシック" w:cs="ＭＳ ゴシック" w:hint="eastAsia"/>
          <w:kern w:val="0"/>
          <w:sz w:val="24"/>
          <w:szCs w:val="24"/>
          <w:lang w:val="ja-JP"/>
        </w:rPr>
        <w:t>6</w:t>
      </w:r>
      <w:r w:rsidR="00A31119">
        <w:rPr>
          <w:rFonts w:ascii="ＭＳ ゴシック" w:eastAsia="ＭＳ ゴシック" w:cs="ＭＳ ゴシック" w:hint="eastAsia"/>
          <w:kern w:val="0"/>
          <w:sz w:val="24"/>
          <w:szCs w:val="24"/>
          <w:lang w:val="ja-JP"/>
        </w:rPr>
        <w:t>日</w:t>
      </w:r>
      <w:r>
        <w:rPr>
          <w:rFonts w:ascii="ＭＳ ゴシック" w:eastAsia="ＭＳ ゴシック" w:cs="ＭＳ ゴシック" w:hint="eastAsia"/>
          <w:kern w:val="0"/>
          <w:sz w:val="24"/>
          <w:szCs w:val="24"/>
          <w:lang w:val="ja-JP"/>
        </w:rPr>
        <w:t>，政府は，</w:t>
      </w:r>
      <w:r w:rsidR="00873ECE">
        <w:rPr>
          <w:rFonts w:ascii="ＭＳ ゴシック" w:eastAsia="ＭＳ ゴシック" w:cs="ＭＳ ゴシック" w:hint="eastAsia"/>
          <w:kern w:val="0"/>
          <w:sz w:val="24"/>
          <w:szCs w:val="24"/>
          <w:lang w:val="ja-JP"/>
        </w:rPr>
        <w:t>ブラジル政府と</w:t>
      </w:r>
      <w:r>
        <w:rPr>
          <w:rFonts w:ascii="ＭＳ ゴシック" w:eastAsia="ＭＳ ゴシック" w:cs="ＭＳ ゴシック" w:hint="eastAsia"/>
          <w:kern w:val="0"/>
          <w:sz w:val="24"/>
          <w:szCs w:val="24"/>
          <w:lang w:val="ja-JP"/>
        </w:rPr>
        <w:t>造船・オフショア協定を結んだ。</w:t>
      </w:r>
      <w:r w:rsidR="00A31119">
        <w:rPr>
          <w:rFonts w:ascii="ＭＳ ゴシック" w:eastAsia="ＭＳ ゴシック" w:cs="ＭＳ ゴシック" w:hint="eastAsia"/>
          <w:kern w:val="0"/>
          <w:sz w:val="24"/>
          <w:szCs w:val="24"/>
          <w:lang w:val="ja-JP"/>
        </w:rPr>
        <w:t>同協定によって，</w:t>
      </w:r>
      <w:r>
        <w:rPr>
          <w:rFonts w:ascii="ＭＳ ゴシック" w:eastAsia="ＭＳ ゴシック" w:cs="ＭＳ ゴシック" w:hint="eastAsia"/>
          <w:kern w:val="0"/>
          <w:sz w:val="24"/>
          <w:szCs w:val="24"/>
          <w:lang w:val="ja-JP"/>
        </w:rPr>
        <w:t>船舶の建造</w:t>
      </w:r>
      <w:r w:rsidR="00623A56">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修理</w:t>
      </w:r>
      <w:r w:rsidR="00623A56">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メンテナンス及び船舶用機器の製造</w:t>
      </w:r>
      <w:r w:rsidR="00A31119">
        <w:rPr>
          <w:rFonts w:ascii="ＭＳ ゴシック" w:eastAsia="ＭＳ ゴシック" w:cs="ＭＳ ゴシック" w:hint="eastAsia"/>
          <w:kern w:val="0"/>
          <w:sz w:val="24"/>
          <w:szCs w:val="24"/>
          <w:lang w:val="ja-JP"/>
        </w:rPr>
        <w:t>に関し，</w:t>
      </w:r>
      <w:r>
        <w:rPr>
          <w:rFonts w:ascii="ＭＳ ゴシック" w:eastAsia="ＭＳ ゴシック" w:cs="ＭＳ ゴシック" w:hint="eastAsia"/>
          <w:kern w:val="0"/>
          <w:sz w:val="24"/>
          <w:szCs w:val="24"/>
          <w:lang w:val="ja-JP"/>
        </w:rPr>
        <w:t>両国で生産された財</w:t>
      </w:r>
      <w:r w:rsidR="00A31119">
        <w:rPr>
          <w:rFonts w:ascii="ＭＳ ゴシック" w:eastAsia="ＭＳ ゴシック" w:cs="ＭＳ ゴシック" w:hint="eastAsia"/>
          <w:kern w:val="0"/>
          <w:sz w:val="24"/>
          <w:szCs w:val="24"/>
          <w:lang w:val="ja-JP"/>
        </w:rPr>
        <w:t>及び</w:t>
      </w:r>
      <w:r>
        <w:rPr>
          <w:rFonts w:ascii="ＭＳ ゴシック" w:eastAsia="ＭＳ ゴシック" w:cs="ＭＳ ゴシック" w:hint="eastAsia"/>
          <w:kern w:val="0"/>
          <w:sz w:val="24"/>
          <w:szCs w:val="24"/>
          <w:lang w:val="ja-JP"/>
        </w:rPr>
        <w:t>サービスは相互に国内</w:t>
      </w:r>
      <w:r>
        <w:rPr>
          <w:rFonts w:ascii="ＭＳ ゴシック" w:eastAsia="ＭＳ ゴシック" w:cs="ＭＳ ゴシック" w:hint="eastAsia"/>
          <w:kern w:val="0"/>
          <w:sz w:val="24"/>
          <w:szCs w:val="24"/>
          <w:lang w:val="ja-JP"/>
        </w:rPr>
        <w:lastRenderedPageBreak/>
        <w:t>産及び国内での投資と見なされる。</w:t>
      </w:r>
      <w:r w:rsidR="00A31119">
        <w:rPr>
          <w:rFonts w:ascii="ＭＳ ゴシック" w:eastAsia="ＭＳ ゴシック" w:cs="ＭＳ ゴシック" w:hint="eastAsia"/>
          <w:kern w:val="0"/>
          <w:sz w:val="24"/>
          <w:szCs w:val="24"/>
          <w:lang w:val="ja-JP"/>
        </w:rPr>
        <w:t>オルトーニョ工業エネルギー鉱業大臣代行は，「伯経済は，油田，ガス田の開発で活況を示しており，伯の造船業及び洋上プラットホームの建設に対する多額の投資が行われることが期待される。本協定の締結により，「ウ」の造船産業は伯の巨大市場へのアクセスが可能となる」と述べた。</w:t>
      </w:r>
    </w:p>
    <w:p w:rsidR="008D3D37" w:rsidRDefault="008D3D37" w:rsidP="003B5D15">
      <w:pPr>
        <w:rPr>
          <w:rFonts w:asciiTheme="majorEastAsia" w:eastAsiaTheme="majorEastAsia" w:hAnsiTheme="majorEastAsia"/>
          <w:i/>
          <w:sz w:val="24"/>
          <w:szCs w:val="24"/>
        </w:rPr>
      </w:pPr>
    </w:p>
    <w:p w:rsidR="008C2E74" w:rsidRDefault="004B48A1" w:rsidP="00114C87">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６</w:t>
      </w:r>
      <w:r w:rsidR="008C2E74" w:rsidRPr="00B70922">
        <w:rPr>
          <w:rFonts w:asciiTheme="majorEastAsia" w:eastAsiaTheme="majorEastAsia" w:hAnsiTheme="majorEastAsia" w:cs="ＭＳ ゴシック" w:hint="eastAsia"/>
          <w:kern w:val="0"/>
          <w:sz w:val="24"/>
          <w:szCs w:val="24"/>
          <w:lang w:val="ja-JP"/>
        </w:rPr>
        <w:t xml:space="preserve">　その他</w:t>
      </w:r>
    </w:p>
    <w:p w:rsidR="00996F8B" w:rsidRPr="00B70922" w:rsidRDefault="00B70922" w:rsidP="004B48A1">
      <w:pPr>
        <w:autoSpaceDE w:val="0"/>
        <w:autoSpaceDN w:val="0"/>
        <w:adjustRightInd w:val="0"/>
        <w:ind w:firstLineChars="100" w:firstLine="240"/>
        <w:jc w:val="left"/>
        <w:rPr>
          <w:rFonts w:asciiTheme="majorEastAsia" w:eastAsiaTheme="majorEastAsia" w:hAnsiTheme="majorEastAsia" w:cs="ＭＳ ゴシック"/>
          <w:i/>
          <w:kern w:val="0"/>
          <w:sz w:val="24"/>
          <w:szCs w:val="24"/>
          <w:lang w:val="ja-JP"/>
        </w:rPr>
      </w:pPr>
      <w:r>
        <w:rPr>
          <w:rFonts w:ascii="ＭＳ ゴシック" w:eastAsia="ＭＳ ゴシック" w:cs="ＭＳ ゴシック" w:hint="eastAsia"/>
          <w:kern w:val="0"/>
          <w:sz w:val="24"/>
          <w:szCs w:val="24"/>
          <w:lang w:val="ja-JP"/>
        </w:rPr>
        <w:t>6日，</w:t>
      </w:r>
      <w:r w:rsidR="008D3D37">
        <w:rPr>
          <w:rFonts w:ascii="ＭＳ ゴシック" w:eastAsia="ＭＳ ゴシック" w:cs="ＭＳ ゴシック" w:hint="eastAsia"/>
          <w:kern w:val="0"/>
          <w:sz w:val="24"/>
          <w:szCs w:val="24"/>
          <w:lang w:val="ja-JP"/>
        </w:rPr>
        <w:t>政府は，</w:t>
      </w:r>
      <w:r>
        <w:rPr>
          <w:rFonts w:ascii="ＭＳ ゴシック" w:eastAsia="ＭＳ ゴシック" w:cs="ＭＳ ゴシック" w:hint="eastAsia"/>
          <w:kern w:val="0"/>
          <w:sz w:val="24"/>
          <w:szCs w:val="24"/>
          <w:lang w:val="ja-JP"/>
        </w:rPr>
        <w:t>米フィリップ・モリス社が「ウ」が2009年に制定した反たばこ関連法</w:t>
      </w:r>
      <w:r w:rsidR="00B9018B">
        <w:rPr>
          <w:rFonts w:ascii="ＭＳ ゴシック" w:eastAsia="ＭＳ ゴシック" w:cs="ＭＳ ゴシック" w:hint="eastAsia"/>
          <w:kern w:val="0"/>
          <w:sz w:val="24"/>
          <w:szCs w:val="24"/>
          <w:lang w:val="ja-JP"/>
        </w:rPr>
        <w:t>は</w:t>
      </w:r>
      <w:r>
        <w:rPr>
          <w:rFonts w:ascii="ＭＳ ゴシック" w:eastAsia="ＭＳ ゴシック" w:cs="ＭＳ ゴシック" w:hint="eastAsia"/>
          <w:kern w:val="0"/>
          <w:sz w:val="24"/>
          <w:szCs w:val="24"/>
          <w:lang w:val="ja-JP"/>
        </w:rPr>
        <w:t>「ウ」・スイス間の投資促進保護協定に違反しているとして国際投資紛争解決センターに提訴し現在審理中であることに関連し，弁護団の増強を発表した。</w:t>
      </w:r>
      <w:r w:rsidR="00A27593">
        <w:rPr>
          <w:rFonts w:ascii="ＭＳ ゴシック" w:eastAsia="ＭＳ ゴシック" w:cs="ＭＳ ゴシック" w:hint="eastAsia"/>
          <w:kern w:val="0"/>
          <w:sz w:val="24"/>
          <w:szCs w:val="24"/>
          <w:lang w:val="ja-JP"/>
        </w:rPr>
        <w:t>各紙</w:t>
      </w:r>
      <w:r w:rsidR="008D3D37">
        <w:rPr>
          <w:rFonts w:ascii="ＭＳ ゴシック" w:eastAsia="ＭＳ ゴシック" w:cs="ＭＳ ゴシック" w:hint="eastAsia"/>
          <w:kern w:val="0"/>
          <w:sz w:val="24"/>
          <w:szCs w:val="24"/>
          <w:lang w:val="ja-JP"/>
        </w:rPr>
        <w:t>報道によると，</w:t>
      </w:r>
      <w:r>
        <w:rPr>
          <w:rFonts w:ascii="ＭＳ ゴシック" w:eastAsia="ＭＳ ゴシック" w:cs="ＭＳ ゴシック" w:hint="eastAsia"/>
          <w:kern w:val="0"/>
          <w:sz w:val="24"/>
          <w:szCs w:val="24"/>
          <w:lang w:val="ja-JP"/>
        </w:rPr>
        <w:t>同審理で</w:t>
      </w:r>
      <w:r w:rsidR="008D3D37">
        <w:rPr>
          <w:rFonts w:ascii="ＭＳ ゴシック" w:eastAsia="ＭＳ ゴシック" w:cs="ＭＳ ゴシック" w:hint="eastAsia"/>
          <w:kern w:val="0"/>
          <w:sz w:val="24"/>
          <w:szCs w:val="24"/>
          <w:lang w:val="ja-JP"/>
        </w:rPr>
        <w:t>は</w:t>
      </w:r>
      <w:r>
        <w:rPr>
          <w:rFonts w:ascii="ＭＳ ゴシック" w:eastAsia="ＭＳ ゴシック" w:cs="ＭＳ ゴシック" w:hint="eastAsia"/>
          <w:kern w:val="0"/>
          <w:sz w:val="24"/>
          <w:szCs w:val="24"/>
          <w:lang w:val="ja-JP"/>
        </w:rPr>
        <w:t>現在まで「ウ」政府の主張がことごとく退けられている。</w:t>
      </w:r>
      <w:r w:rsidR="004B48A1">
        <w:rPr>
          <w:rFonts w:ascii="ＭＳ ゴシック" w:eastAsia="ＭＳ ゴシック" w:cs="ＭＳ ゴシック" w:hint="eastAsia"/>
          <w:kern w:val="0"/>
          <w:sz w:val="24"/>
          <w:szCs w:val="24"/>
          <w:lang w:val="ja-JP"/>
        </w:rPr>
        <w:t xml:space="preserve">　　　　　　　　　　　　　　　　　　　　　</w:t>
      </w:r>
      <w:bookmarkStart w:id="0" w:name="_GoBack"/>
      <w:bookmarkEnd w:id="0"/>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Pr="00B70922" w:rsidRDefault="0048112F" w:rsidP="00D11DD2">
      <w:pPr>
        <w:jc w:val="center"/>
        <w:rPr>
          <w:rFonts w:asciiTheme="majorEastAsia" w:eastAsiaTheme="majorEastAsia" w:hAnsiTheme="majorEastAsia"/>
          <w:b/>
          <w:i/>
          <w:sz w:val="24"/>
          <w:szCs w:val="24"/>
        </w:rPr>
      </w:pPr>
    </w:p>
    <w:p w:rsidR="0048112F" w:rsidRDefault="0048112F" w:rsidP="00D11DD2">
      <w:pPr>
        <w:jc w:val="center"/>
        <w:rPr>
          <w:rFonts w:asciiTheme="majorEastAsia" w:eastAsiaTheme="majorEastAsia" w:hAnsiTheme="majorEastAsia"/>
          <w:b/>
          <w:i/>
          <w:sz w:val="24"/>
          <w:szCs w:val="24"/>
        </w:rPr>
      </w:pPr>
    </w:p>
    <w:p w:rsidR="00197D6A" w:rsidRDefault="00197D6A" w:rsidP="00D11DD2">
      <w:pPr>
        <w:jc w:val="center"/>
        <w:rPr>
          <w:rFonts w:asciiTheme="majorEastAsia" w:eastAsiaTheme="majorEastAsia" w:hAnsiTheme="majorEastAsia"/>
          <w:b/>
          <w:i/>
          <w:sz w:val="24"/>
          <w:szCs w:val="24"/>
        </w:rPr>
      </w:pPr>
    </w:p>
    <w:p w:rsidR="00197D6A" w:rsidRDefault="00197D6A" w:rsidP="00D11DD2">
      <w:pPr>
        <w:jc w:val="center"/>
        <w:rPr>
          <w:rFonts w:asciiTheme="majorEastAsia" w:eastAsiaTheme="majorEastAsia" w:hAnsiTheme="majorEastAsia"/>
          <w:b/>
          <w:i/>
          <w:sz w:val="24"/>
          <w:szCs w:val="24"/>
        </w:rPr>
      </w:pPr>
    </w:p>
    <w:p w:rsidR="00197D6A" w:rsidRDefault="00197D6A" w:rsidP="00D11DD2">
      <w:pPr>
        <w:jc w:val="center"/>
        <w:rPr>
          <w:rFonts w:asciiTheme="majorEastAsia" w:eastAsiaTheme="majorEastAsia" w:hAnsiTheme="majorEastAsia"/>
          <w:b/>
          <w:i/>
          <w:sz w:val="24"/>
          <w:szCs w:val="24"/>
        </w:rPr>
      </w:pPr>
    </w:p>
    <w:p w:rsidR="00197D6A" w:rsidRDefault="00197D6A" w:rsidP="00D11DD2">
      <w:pPr>
        <w:jc w:val="center"/>
        <w:rPr>
          <w:rFonts w:asciiTheme="majorEastAsia" w:eastAsiaTheme="majorEastAsia" w:hAnsiTheme="majorEastAsia"/>
          <w:b/>
          <w:i/>
          <w:sz w:val="24"/>
          <w:szCs w:val="24"/>
        </w:rPr>
      </w:pPr>
    </w:p>
    <w:p w:rsidR="00197D6A" w:rsidRDefault="00197D6A" w:rsidP="00D11DD2">
      <w:pPr>
        <w:jc w:val="center"/>
        <w:rPr>
          <w:rFonts w:asciiTheme="majorEastAsia" w:eastAsiaTheme="majorEastAsia" w:hAnsiTheme="majorEastAsia"/>
          <w:b/>
          <w:i/>
          <w:sz w:val="24"/>
          <w:szCs w:val="24"/>
        </w:rPr>
      </w:pPr>
    </w:p>
    <w:p w:rsidR="00197D6A" w:rsidRDefault="00197D6A" w:rsidP="00D11DD2">
      <w:pPr>
        <w:jc w:val="center"/>
        <w:rPr>
          <w:rFonts w:asciiTheme="majorEastAsia" w:eastAsiaTheme="majorEastAsia" w:hAnsiTheme="majorEastAsia"/>
          <w:b/>
          <w:i/>
          <w:sz w:val="24"/>
          <w:szCs w:val="24"/>
        </w:rPr>
      </w:pPr>
    </w:p>
    <w:p w:rsidR="00197D6A" w:rsidRPr="00B70922" w:rsidRDefault="00197D6A" w:rsidP="00D11DD2">
      <w:pPr>
        <w:jc w:val="center"/>
        <w:rPr>
          <w:rFonts w:asciiTheme="majorEastAsia" w:eastAsiaTheme="majorEastAsia" w:hAnsiTheme="majorEastAsia"/>
          <w:b/>
          <w:i/>
          <w:sz w:val="24"/>
          <w:szCs w:val="24"/>
        </w:rPr>
      </w:pPr>
    </w:p>
    <w:p w:rsidR="00DE0197" w:rsidRDefault="00DE0197" w:rsidP="00DE0197">
      <w:pPr>
        <w:rPr>
          <w:rFonts w:asciiTheme="majorEastAsia" w:eastAsiaTheme="majorEastAsia" w:hAnsiTheme="majorEastAsia"/>
          <w:b/>
          <w:sz w:val="22"/>
        </w:rPr>
      </w:pPr>
    </w:p>
    <w:p w:rsidR="00DE0197" w:rsidRPr="00DB2AD8" w:rsidRDefault="00DE0197" w:rsidP="00DE0197">
      <w:pPr>
        <w:rPr>
          <w:rFonts w:asciiTheme="majorEastAsia" w:eastAsiaTheme="majorEastAsia" w:hAnsiTheme="majorEastAsia"/>
          <w:b/>
          <w:sz w:val="22"/>
        </w:rPr>
      </w:pPr>
    </w:p>
    <w:p w:rsidR="00DE0197" w:rsidRPr="00903440" w:rsidRDefault="00DE0197" w:rsidP="00DE0197">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136" w:tblpY="1"/>
        <w:tblOverlap w:val="never"/>
        <w:tblW w:w="10584" w:type="dxa"/>
        <w:tblLook w:val="04A0" w:firstRow="1" w:lastRow="0" w:firstColumn="1" w:lastColumn="0" w:noHBand="0" w:noVBand="1"/>
      </w:tblPr>
      <w:tblGrid>
        <w:gridCol w:w="2660"/>
        <w:gridCol w:w="1134"/>
        <w:gridCol w:w="1276"/>
        <w:gridCol w:w="1010"/>
        <w:gridCol w:w="1276"/>
        <w:gridCol w:w="1076"/>
        <w:gridCol w:w="1076"/>
        <w:gridCol w:w="1076"/>
      </w:tblGrid>
      <w:tr w:rsidR="00DE0197" w:rsidRPr="00713FF7" w:rsidTr="005C77F2">
        <w:tc>
          <w:tcPr>
            <w:tcW w:w="2660" w:type="dxa"/>
          </w:tcPr>
          <w:p w:rsidR="00DE0197" w:rsidRPr="009600FF" w:rsidRDefault="00DE0197" w:rsidP="00754603">
            <w:pPr>
              <w:rPr>
                <w:rFonts w:asciiTheme="majorEastAsia" w:eastAsiaTheme="majorEastAsia" w:hAnsiTheme="majorEastAsia"/>
                <w:sz w:val="24"/>
                <w:szCs w:val="24"/>
                <w:lang w:val="es-UY"/>
              </w:rPr>
            </w:pPr>
          </w:p>
        </w:tc>
        <w:tc>
          <w:tcPr>
            <w:tcW w:w="1134"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276"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10"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276"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76"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76"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76"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DE0197" w:rsidRPr="00713FF7" w:rsidTr="005C77F2">
        <w:tc>
          <w:tcPr>
            <w:tcW w:w="2660" w:type="dxa"/>
          </w:tcPr>
          <w:p w:rsidR="00DE0197" w:rsidRPr="00021261" w:rsidRDefault="00DE0197" w:rsidP="00754603">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34"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8.51</w:t>
            </w:r>
          </w:p>
        </w:tc>
        <w:tc>
          <w:tcPr>
            <w:tcW w:w="12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010"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9.10</w:t>
            </w:r>
          </w:p>
        </w:tc>
        <w:tc>
          <w:tcPr>
            <w:tcW w:w="12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r>
      <w:tr w:rsidR="00DE0197" w:rsidRPr="00713FF7" w:rsidTr="005C77F2">
        <w:tc>
          <w:tcPr>
            <w:tcW w:w="2660" w:type="dxa"/>
          </w:tcPr>
          <w:p w:rsidR="00DE0197" w:rsidRPr="00021261" w:rsidRDefault="00DE0197" w:rsidP="00754603">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34" w:type="dxa"/>
          </w:tcPr>
          <w:p w:rsidR="00DE0197" w:rsidRPr="0022670A" w:rsidRDefault="00DE0197" w:rsidP="00754603">
            <w:pPr>
              <w:jc w:val="center"/>
              <w:rPr>
                <w:rFonts w:asciiTheme="majorEastAsia" w:eastAsiaTheme="majorEastAsia" w:hAnsiTheme="majorEastAsia"/>
                <w:sz w:val="24"/>
                <w:szCs w:val="24"/>
              </w:rPr>
            </w:pPr>
            <w:r w:rsidRPr="0022670A">
              <w:rPr>
                <w:rFonts w:asciiTheme="majorEastAsia" w:eastAsiaTheme="majorEastAsia" w:hAnsiTheme="majorEastAsia"/>
                <w:sz w:val="24"/>
                <w:szCs w:val="24"/>
              </w:rPr>
              <w:t>6.5</w:t>
            </w:r>
          </w:p>
        </w:tc>
        <w:tc>
          <w:tcPr>
            <w:tcW w:w="1276" w:type="dxa"/>
          </w:tcPr>
          <w:p w:rsidR="00DE0197" w:rsidRDefault="00DE0197" w:rsidP="00754603">
            <w:pPr>
              <w:jc w:val="center"/>
              <w:rPr>
                <w:rFonts w:asciiTheme="majorEastAsia" w:eastAsiaTheme="majorEastAsia" w:hAnsiTheme="majorEastAsia"/>
                <w:sz w:val="24"/>
                <w:szCs w:val="24"/>
                <w:highlight w:val="yellow"/>
              </w:rPr>
            </w:pPr>
            <w:r w:rsidRPr="00FF63A6">
              <w:rPr>
                <w:rFonts w:asciiTheme="majorEastAsia" w:eastAsiaTheme="majorEastAsia" w:hAnsiTheme="majorEastAsia"/>
                <w:sz w:val="24"/>
                <w:szCs w:val="24"/>
              </w:rPr>
              <w:t>6.1</w:t>
            </w:r>
          </w:p>
        </w:tc>
        <w:tc>
          <w:tcPr>
            <w:tcW w:w="1010" w:type="dxa"/>
          </w:tcPr>
          <w:p w:rsidR="00DE0197" w:rsidRDefault="00DE0197" w:rsidP="00754603">
            <w:pPr>
              <w:jc w:val="center"/>
              <w:rPr>
                <w:rFonts w:asciiTheme="majorEastAsia" w:eastAsiaTheme="majorEastAsia" w:hAnsiTheme="majorEastAsia"/>
                <w:sz w:val="24"/>
                <w:szCs w:val="24"/>
                <w:highlight w:val="yellow"/>
              </w:rPr>
            </w:pPr>
            <w:r w:rsidRPr="00187823">
              <w:rPr>
                <w:rFonts w:asciiTheme="majorEastAsia" w:eastAsiaTheme="majorEastAsia" w:hAnsiTheme="majorEastAsia"/>
                <w:sz w:val="24"/>
                <w:szCs w:val="24"/>
              </w:rPr>
              <w:t>6.9</w:t>
            </w:r>
          </w:p>
        </w:tc>
        <w:tc>
          <w:tcPr>
            <w:tcW w:w="1276" w:type="dxa"/>
          </w:tcPr>
          <w:p w:rsidR="00DE0197" w:rsidRDefault="00DE0197" w:rsidP="00754603">
            <w:pPr>
              <w:jc w:val="center"/>
              <w:rPr>
                <w:rFonts w:asciiTheme="majorEastAsia" w:eastAsiaTheme="majorEastAsia" w:hAnsiTheme="majorEastAsia"/>
                <w:sz w:val="24"/>
                <w:szCs w:val="24"/>
                <w:highlight w:val="yellow"/>
              </w:rPr>
            </w:pPr>
            <w:r w:rsidRPr="00CD1476">
              <w:rPr>
                <w:rFonts w:asciiTheme="majorEastAsia" w:eastAsiaTheme="majorEastAsia" w:hAnsiTheme="majorEastAsia"/>
                <w:sz w:val="24"/>
                <w:szCs w:val="24"/>
              </w:rPr>
              <w:t>7.0</w:t>
            </w:r>
          </w:p>
        </w:tc>
        <w:tc>
          <w:tcPr>
            <w:tcW w:w="1076" w:type="dxa"/>
          </w:tcPr>
          <w:p w:rsidR="00DE0197" w:rsidRPr="0046663D"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6.3</w:t>
            </w:r>
          </w:p>
        </w:tc>
        <w:tc>
          <w:tcPr>
            <w:tcW w:w="1076" w:type="dxa"/>
          </w:tcPr>
          <w:p w:rsidR="00DE0197" w:rsidRPr="00F316EA"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076" w:type="dxa"/>
          </w:tcPr>
          <w:p w:rsidR="00DE0197" w:rsidRPr="00F316EA" w:rsidRDefault="00DE0197" w:rsidP="00754603">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DE0197" w:rsidRPr="00713FF7" w:rsidTr="005C77F2">
        <w:tc>
          <w:tcPr>
            <w:tcW w:w="2660" w:type="dxa"/>
          </w:tcPr>
          <w:p w:rsidR="00DE0197" w:rsidRPr="00021261" w:rsidRDefault="00DE0197" w:rsidP="00754603">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34" w:type="dxa"/>
          </w:tcPr>
          <w:p w:rsidR="00DE0197" w:rsidRPr="00F33DCB"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11.4</w:t>
            </w:r>
          </w:p>
        </w:tc>
        <w:tc>
          <w:tcPr>
            <w:tcW w:w="1276" w:type="dxa"/>
          </w:tcPr>
          <w:p w:rsidR="00DE0197" w:rsidRPr="00F33DCB"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1010" w:type="dxa"/>
          </w:tcPr>
          <w:p w:rsidR="00DE0197" w:rsidRPr="00F33DCB"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276" w:type="dxa"/>
          </w:tcPr>
          <w:p w:rsidR="00DE0197" w:rsidRPr="00F33DCB"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076" w:type="dxa"/>
          </w:tcPr>
          <w:p w:rsidR="00DE0197" w:rsidRPr="00F33DCB"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076" w:type="dxa"/>
          </w:tcPr>
          <w:p w:rsidR="00DE0197" w:rsidRPr="00F316EA"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11.9</w:t>
            </w:r>
          </w:p>
        </w:tc>
        <w:tc>
          <w:tcPr>
            <w:tcW w:w="1076" w:type="dxa"/>
          </w:tcPr>
          <w:p w:rsidR="00DE0197" w:rsidRPr="00F316EA" w:rsidRDefault="00DE0197" w:rsidP="00754603">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DE0197" w:rsidRPr="00713FF7" w:rsidTr="005C77F2">
        <w:tc>
          <w:tcPr>
            <w:tcW w:w="2660" w:type="dxa"/>
          </w:tcPr>
          <w:p w:rsidR="00DE0197" w:rsidRPr="00021261" w:rsidRDefault="00DE0197" w:rsidP="00754603">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34"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21.35</w:t>
            </w:r>
          </w:p>
        </w:tc>
        <w:tc>
          <w:tcPr>
            <w:tcW w:w="12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21.36</w:t>
            </w:r>
          </w:p>
        </w:tc>
        <w:tc>
          <w:tcPr>
            <w:tcW w:w="1010"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21.65</w:t>
            </w:r>
          </w:p>
        </w:tc>
        <w:tc>
          <w:tcPr>
            <w:tcW w:w="12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22.37</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22.64</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22.85</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23.02</w:t>
            </w:r>
          </w:p>
        </w:tc>
      </w:tr>
      <w:tr w:rsidR="00DE0197" w:rsidRPr="00713FF7" w:rsidTr="005C77F2">
        <w:tc>
          <w:tcPr>
            <w:tcW w:w="2660" w:type="dxa"/>
          </w:tcPr>
          <w:p w:rsidR="00DE0197" w:rsidRPr="00021261" w:rsidRDefault="00DE0197" w:rsidP="00754603">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34"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6,081</w:t>
            </w:r>
          </w:p>
        </w:tc>
        <w:tc>
          <w:tcPr>
            <w:tcW w:w="12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6</w:t>
            </w:r>
            <w:r>
              <w:rPr>
                <w:rFonts w:asciiTheme="majorEastAsia" w:eastAsiaTheme="majorEastAsia" w:hAnsiTheme="majorEastAsia" w:hint="eastAsia"/>
                <w:sz w:val="24"/>
                <w:szCs w:val="24"/>
              </w:rPr>
              <w:t>,</w:t>
            </w:r>
            <w:r>
              <w:rPr>
                <w:rFonts w:asciiTheme="majorEastAsia" w:eastAsiaTheme="majorEastAsia" w:hAnsiTheme="majorEastAsia"/>
                <w:sz w:val="24"/>
                <w:szCs w:val="24"/>
              </w:rPr>
              <w:t>190</w:t>
            </w:r>
          </w:p>
        </w:tc>
        <w:tc>
          <w:tcPr>
            <w:tcW w:w="1010"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372</w:t>
            </w:r>
          </w:p>
        </w:tc>
        <w:tc>
          <w:tcPr>
            <w:tcW w:w="12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589</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601</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4.600</w:t>
            </w:r>
          </w:p>
        </w:tc>
        <w:tc>
          <w:tcPr>
            <w:tcW w:w="1076" w:type="dxa"/>
          </w:tcPr>
          <w:p w:rsidR="00DE0197" w:rsidRDefault="00DE0197" w:rsidP="00754603">
            <w:pPr>
              <w:jc w:val="center"/>
              <w:rPr>
                <w:rFonts w:asciiTheme="majorEastAsia" w:eastAsiaTheme="majorEastAsia" w:hAnsiTheme="majorEastAsia"/>
                <w:sz w:val="24"/>
                <w:szCs w:val="24"/>
              </w:rPr>
            </w:pPr>
            <w:r>
              <w:rPr>
                <w:rFonts w:asciiTheme="majorEastAsia" w:eastAsiaTheme="majorEastAsia" w:hAnsiTheme="majorEastAsia"/>
                <w:sz w:val="24"/>
                <w:szCs w:val="24"/>
              </w:rPr>
              <w:t>4.999</w:t>
            </w:r>
          </w:p>
        </w:tc>
      </w:tr>
    </w:tbl>
    <w:p w:rsidR="00DE0197" w:rsidRDefault="00DE0197" w:rsidP="00DE0197">
      <w:pPr>
        <w:tabs>
          <w:tab w:val="left" w:pos="142"/>
        </w:tabs>
        <w:jc w:val="left"/>
        <w:rPr>
          <w:rFonts w:asciiTheme="majorEastAsia" w:eastAsiaTheme="majorEastAsia" w:hAnsiTheme="majorEastAsia"/>
          <w:sz w:val="20"/>
          <w:szCs w:val="20"/>
        </w:rPr>
      </w:pPr>
    </w:p>
    <w:p w:rsidR="00DE0197" w:rsidRPr="00041CD4" w:rsidRDefault="00DE0197" w:rsidP="00DE0197">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DE0197" w:rsidRDefault="00DE0197" w:rsidP="00DE0197">
      <w:pPr>
        <w:tabs>
          <w:tab w:val="left" w:pos="1320"/>
        </w:tabs>
        <w:jc w:val="left"/>
        <w:rPr>
          <w:rFonts w:asciiTheme="majorEastAsia" w:eastAsiaTheme="majorEastAsia" w:hAnsiTheme="majorEastAsia"/>
          <w:sz w:val="20"/>
          <w:szCs w:val="20"/>
          <w:lang w:val="es-UY"/>
        </w:rPr>
      </w:pPr>
    </w:p>
    <w:p w:rsidR="00DE0197" w:rsidRPr="00DB2AD8" w:rsidRDefault="00DE0197" w:rsidP="00DE0197">
      <w:pPr>
        <w:jc w:val="left"/>
        <w:rPr>
          <w:rFonts w:asciiTheme="majorEastAsia" w:eastAsiaTheme="majorEastAsia" w:hAnsiTheme="majorEastAsia"/>
          <w:sz w:val="22"/>
        </w:rPr>
      </w:pPr>
    </w:p>
    <w:p w:rsidR="00DE0197" w:rsidRPr="00A816A5" w:rsidRDefault="00DE0197" w:rsidP="00DE0197">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314" w:type="dxa"/>
        <w:tblLook w:val="04A0" w:firstRow="1" w:lastRow="0" w:firstColumn="1" w:lastColumn="0" w:noHBand="0" w:noVBand="1"/>
      </w:tblPr>
      <w:tblGrid>
        <w:gridCol w:w="2943"/>
        <w:gridCol w:w="1134"/>
        <w:gridCol w:w="1134"/>
        <w:gridCol w:w="992"/>
        <w:gridCol w:w="992"/>
        <w:gridCol w:w="992"/>
        <w:gridCol w:w="992"/>
        <w:gridCol w:w="1135"/>
      </w:tblGrid>
      <w:tr w:rsidR="00DE0197" w:rsidRPr="00713FF7" w:rsidTr="00754603">
        <w:tc>
          <w:tcPr>
            <w:tcW w:w="2943" w:type="dxa"/>
          </w:tcPr>
          <w:p w:rsidR="00DE0197" w:rsidRPr="00713FF7" w:rsidRDefault="00DE0197" w:rsidP="00754603">
            <w:pPr>
              <w:jc w:val="center"/>
              <w:rPr>
                <w:rFonts w:asciiTheme="majorEastAsia" w:eastAsiaTheme="majorEastAsia" w:hAnsiTheme="majorEastAsia"/>
                <w:sz w:val="24"/>
                <w:szCs w:val="24"/>
                <w:lang w:eastAsia="zh-TW"/>
              </w:rPr>
            </w:pPr>
          </w:p>
        </w:tc>
        <w:tc>
          <w:tcPr>
            <w:tcW w:w="1134"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11 </w:t>
            </w:r>
            <w:r>
              <w:rPr>
                <w:rFonts w:asciiTheme="majorEastAsia" w:eastAsiaTheme="majorEastAsia" w:hAnsiTheme="majorEastAsia" w:hint="eastAsia"/>
                <w:sz w:val="24"/>
                <w:szCs w:val="24"/>
              </w:rPr>
              <w:t>月</w:t>
            </w:r>
          </w:p>
        </w:tc>
        <w:tc>
          <w:tcPr>
            <w:tcW w:w="1134"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12 </w:t>
            </w:r>
            <w:r>
              <w:rPr>
                <w:rFonts w:asciiTheme="majorEastAsia" w:eastAsiaTheme="majorEastAsia" w:hAnsiTheme="majorEastAsia" w:hint="eastAsia"/>
                <w:sz w:val="24"/>
                <w:szCs w:val="24"/>
              </w:rPr>
              <w:t>月</w:t>
            </w:r>
          </w:p>
        </w:tc>
        <w:tc>
          <w:tcPr>
            <w:tcW w:w="992"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992"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992"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992"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35" w:type="dxa"/>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8.51</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9.10</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10.35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10.65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10.17</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2.88</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2.77</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2.45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2.35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2.33</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2.37</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3.58</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3.88</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4.42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4.35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3.73</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8.98</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12.92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10.76</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9.94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9.96</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9.77</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10.03</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9.89</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13.65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12.89</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13.19</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10.61</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9.88</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10.09</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10.37</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10.45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10.27</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6.59</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8.80</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10.13</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13.37</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13.51</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13.23</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0.23</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0.31</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0.34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0.55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-3.93</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8.14</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8.81</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8.84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9.86</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6.86</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6.84</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11.73</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13.39</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13.44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13.35</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13.28</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9.03</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10.24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10.75</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10.85</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11.45</w:t>
            </w:r>
          </w:p>
        </w:tc>
      </w:tr>
      <w:tr w:rsidR="00DE0197" w:rsidRPr="00713FF7" w:rsidTr="00754603">
        <w:tc>
          <w:tcPr>
            <w:tcW w:w="2943" w:type="dxa"/>
          </w:tcPr>
          <w:p w:rsidR="00DE0197" w:rsidRPr="007332F5" w:rsidRDefault="00DE0197" w:rsidP="0075460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134"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8.54</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8.47</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8.42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8.92</w:t>
            </w:r>
          </w:p>
        </w:tc>
        <w:tc>
          <w:tcPr>
            <w:tcW w:w="992"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8.90</w:t>
            </w:r>
          </w:p>
        </w:tc>
        <w:tc>
          <w:tcPr>
            <w:tcW w:w="1135" w:type="dxa"/>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9.61</w:t>
            </w:r>
          </w:p>
        </w:tc>
      </w:tr>
    </w:tbl>
    <w:p w:rsidR="00DE0197" w:rsidRDefault="00DE0197" w:rsidP="00DE0197">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DE0197" w:rsidRPr="008B6396" w:rsidRDefault="00DE0197" w:rsidP="00DE0197">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DE0197" w:rsidRPr="00ED2934" w:rsidRDefault="00DE0197" w:rsidP="00DE0197">
      <w:pPr>
        <w:tabs>
          <w:tab w:val="left" w:pos="4020"/>
        </w:tabs>
        <w:ind w:firstLineChars="1950" w:firstLine="4698"/>
        <w:rPr>
          <w:rFonts w:asciiTheme="majorEastAsia" w:eastAsiaTheme="majorEastAsia" w:hAnsiTheme="majorEastAsia"/>
          <w:b/>
          <w:sz w:val="24"/>
          <w:szCs w:val="24"/>
          <w:lang w:val="es-UY" w:eastAsia="zh-TW"/>
        </w:rPr>
      </w:pPr>
    </w:p>
    <w:p w:rsidR="00DE0197" w:rsidRDefault="00DE0197" w:rsidP="00DE0197">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10405" w:type="dxa"/>
        <w:tblInd w:w="-214" w:type="dxa"/>
        <w:tblCellMar>
          <w:left w:w="70" w:type="dxa"/>
          <w:right w:w="70" w:type="dxa"/>
        </w:tblCellMar>
        <w:tblLook w:val="04A0" w:firstRow="1" w:lastRow="0" w:firstColumn="1" w:lastColumn="0" w:noHBand="0" w:noVBand="1"/>
      </w:tblPr>
      <w:tblGrid>
        <w:gridCol w:w="1147"/>
        <w:gridCol w:w="3342"/>
        <w:gridCol w:w="1334"/>
        <w:gridCol w:w="1180"/>
        <w:gridCol w:w="1134"/>
        <w:gridCol w:w="1134"/>
        <w:gridCol w:w="1134"/>
      </w:tblGrid>
      <w:tr w:rsidR="00DE0197" w:rsidRPr="008C0FD3" w:rsidTr="00754603">
        <w:trPr>
          <w:trHeight w:val="300"/>
        </w:trPr>
        <w:tc>
          <w:tcPr>
            <w:tcW w:w="44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0197" w:rsidRPr="008C0FD3" w:rsidRDefault="00DE0197" w:rsidP="00754603">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tcPr>
          <w:p w:rsidR="00DE0197" w:rsidRDefault="00DE0197" w:rsidP="0075460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DE0197" w:rsidRPr="0018647E" w:rsidTr="00754603">
        <w:trPr>
          <w:trHeight w:val="300"/>
        </w:trPr>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579</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584</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Calibri" w:eastAsia="Times New Roman" w:hAnsi="Calibri" w:cs="Calibri"/>
                <w:color w:val="000000"/>
                <w:kern w:val="0"/>
                <w:sz w:val="22"/>
                <w:lang w:val="es-UY"/>
              </w:rPr>
            </w:pPr>
            <w:r>
              <w:rPr>
                <w:rFonts w:ascii="Calibri" w:hAnsi="Calibri" w:cs="Calibri" w:hint="eastAsia"/>
                <w:color w:val="000000"/>
                <w:kern w:val="0"/>
                <w:sz w:val="22"/>
                <w:lang w:val="es-UY"/>
              </w:rPr>
              <w:t xml:space="preserve">　</w:t>
            </w:r>
            <w:r w:rsidRPr="00CD1199">
              <w:rPr>
                <w:rFonts w:asciiTheme="majorEastAsia" w:eastAsiaTheme="majorEastAsia" w:hAnsiTheme="majorEastAsia"/>
                <w:sz w:val="24"/>
                <w:szCs w:val="24"/>
              </w:rPr>
              <w:t>713</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07096E">
              <w:rPr>
                <w:rFonts w:asciiTheme="majorEastAsia" w:eastAsiaTheme="majorEastAsia" w:hAnsiTheme="majorEastAsia"/>
                <w:sz w:val="24"/>
                <w:szCs w:val="24"/>
              </w:rPr>
              <w:t>1</w:t>
            </w:r>
            <w:r>
              <w:rPr>
                <w:rFonts w:asciiTheme="majorEastAsia" w:eastAsiaTheme="majorEastAsia" w:hAnsiTheme="majorEastAsia"/>
                <w:sz w:val="24"/>
                <w:szCs w:val="24"/>
              </w:rPr>
              <w:t>,</w:t>
            </w:r>
            <w:r w:rsidRPr="0007096E">
              <w:rPr>
                <w:rFonts w:asciiTheme="majorEastAsia" w:eastAsiaTheme="majorEastAsia" w:hAnsiTheme="majorEastAsia"/>
                <w:sz w:val="24"/>
                <w:szCs w:val="24"/>
              </w:rPr>
              <w:t>052</w:t>
            </w:r>
          </w:p>
        </w:tc>
        <w:tc>
          <w:tcPr>
            <w:tcW w:w="1134" w:type="dxa"/>
            <w:tcBorders>
              <w:top w:val="nil"/>
              <w:left w:val="nil"/>
              <w:bottom w:val="single" w:sz="4" w:space="0" w:color="auto"/>
              <w:right w:val="single" w:sz="4" w:space="0" w:color="auto"/>
            </w:tcBorders>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r>
      <w:tr w:rsidR="00DE0197" w:rsidRPr="008C0FD3" w:rsidTr="00754603">
        <w:trPr>
          <w:trHeight w:val="480"/>
        </w:trPr>
        <w:tc>
          <w:tcPr>
            <w:tcW w:w="1147" w:type="dxa"/>
            <w:vMerge/>
            <w:tcBorders>
              <w:top w:val="nil"/>
              <w:left w:val="single" w:sz="4" w:space="0" w:color="auto"/>
              <w:bottom w:val="single" w:sz="4" w:space="0" w:color="000000"/>
              <w:right w:val="single" w:sz="4" w:space="0" w:color="auto"/>
            </w:tcBorders>
            <w:vAlign w:val="center"/>
            <w:hideMark/>
          </w:tcPr>
          <w:p w:rsidR="00DE0197" w:rsidRPr="008C0FD3" w:rsidRDefault="00DE0197" w:rsidP="00754603">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8</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Pr>
                <w:rFonts w:asciiTheme="majorEastAsia" w:eastAsiaTheme="majorEastAsia" w:hAnsiTheme="majorEastAsia"/>
                <w:sz w:val="24"/>
                <w:szCs w:val="24"/>
              </w:rPr>
              <w:t>16</w:t>
            </w:r>
            <w:r>
              <w:rPr>
                <w:rFonts w:asciiTheme="majorEastAsia" w:eastAsiaTheme="majorEastAsia" w:hAnsiTheme="majorEastAsia" w:hint="eastAsia"/>
                <w:sz w:val="24"/>
                <w:szCs w:val="24"/>
              </w:rPr>
              <w:t>.2</w:t>
            </w:r>
          </w:p>
        </w:tc>
        <w:tc>
          <w:tcPr>
            <w:tcW w:w="1134" w:type="dxa"/>
            <w:tcBorders>
              <w:top w:val="nil"/>
              <w:left w:val="nil"/>
              <w:bottom w:val="single" w:sz="4" w:space="0" w:color="auto"/>
              <w:right w:val="single" w:sz="4" w:space="0" w:color="auto"/>
            </w:tcBorders>
            <w:vAlign w:val="center"/>
          </w:tcPr>
          <w:p w:rsidR="00DE0197" w:rsidRPr="00DC75C8"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-0,5</w:t>
            </w:r>
          </w:p>
        </w:tc>
        <w:tc>
          <w:tcPr>
            <w:tcW w:w="1134" w:type="dxa"/>
            <w:tcBorders>
              <w:top w:val="nil"/>
              <w:left w:val="nil"/>
              <w:bottom w:val="single" w:sz="4" w:space="0" w:color="auto"/>
              <w:right w:val="single" w:sz="4" w:space="0" w:color="auto"/>
            </w:tcBorders>
            <w:vAlign w:val="center"/>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r>
      <w:tr w:rsidR="00DE0197" w:rsidRPr="0018647E" w:rsidTr="00754603">
        <w:trPr>
          <w:trHeight w:val="480"/>
        </w:trPr>
        <w:tc>
          <w:tcPr>
            <w:tcW w:w="1147" w:type="dxa"/>
            <w:vMerge/>
            <w:tcBorders>
              <w:top w:val="nil"/>
              <w:left w:val="single" w:sz="4" w:space="0" w:color="auto"/>
              <w:bottom w:val="single" w:sz="4" w:space="0" w:color="000000"/>
              <w:right w:val="single" w:sz="4" w:space="0" w:color="auto"/>
            </w:tcBorders>
            <w:vAlign w:val="center"/>
            <w:hideMark/>
          </w:tcPr>
          <w:p w:rsidR="00DE0197" w:rsidRPr="008C0FD3" w:rsidRDefault="00DE0197" w:rsidP="00754603">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579</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139</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sidRPr="00CD1199">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CD1199">
              <w:rPr>
                <w:rFonts w:asciiTheme="majorEastAsia" w:eastAsiaTheme="majorEastAsia" w:hAnsiTheme="majorEastAsia"/>
                <w:sz w:val="24"/>
                <w:szCs w:val="24"/>
              </w:rPr>
              <w:t>831</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35377F">
              <w:rPr>
                <w:rFonts w:asciiTheme="majorEastAsia" w:eastAsiaTheme="majorEastAsia" w:hAnsiTheme="majorEastAsia"/>
                <w:sz w:val="24"/>
                <w:szCs w:val="24"/>
              </w:rPr>
              <w:t>2</w:t>
            </w:r>
            <w:r>
              <w:rPr>
                <w:rFonts w:asciiTheme="majorEastAsia" w:eastAsiaTheme="majorEastAsia" w:hAnsiTheme="majorEastAsia"/>
                <w:sz w:val="24"/>
                <w:szCs w:val="24"/>
              </w:rPr>
              <w:t>,</w:t>
            </w:r>
            <w:r w:rsidRPr="0035377F">
              <w:rPr>
                <w:rFonts w:asciiTheme="majorEastAsia" w:eastAsiaTheme="majorEastAsia" w:hAnsiTheme="majorEastAsia"/>
                <w:sz w:val="24"/>
                <w:szCs w:val="24"/>
              </w:rPr>
              <w:t>858</w:t>
            </w:r>
          </w:p>
        </w:tc>
        <w:tc>
          <w:tcPr>
            <w:tcW w:w="1134" w:type="dxa"/>
            <w:tcBorders>
              <w:top w:val="nil"/>
              <w:left w:val="nil"/>
              <w:bottom w:val="single" w:sz="4" w:space="0" w:color="auto"/>
              <w:right w:val="single" w:sz="4" w:space="0" w:color="auto"/>
            </w:tcBorders>
            <w:vAlign w:val="center"/>
          </w:tcPr>
          <w:p w:rsidR="00DE0197"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3,948</w:t>
            </w:r>
          </w:p>
        </w:tc>
      </w:tr>
      <w:tr w:rsidR="00DE0197" w:rsidRPr="0018647E" w:rsidTr="00754603">
        <w:trPr>
          <w:trHeight w:val="480"/>
        </w:trPr>
        <w:tc>
          <w:tcPr>
            <w:tcW w:w="1147" w:type="dxa"/>
            <w:vMerge/>
            <w:tcBorders>
              <w:top w:val="nil"/>
              <w:left w:val="single" w:sz="4" w:space="0" w:color="auto"/>
              <w:bottom w:val="single" w:sz="4" w:space="0" w:color="000000"/>
              <w:right w:val="single" w:sz="4" w:space="0" w:color="auto"/>
            </w:tcBorders>
            <w:vAlign w:val="center"/>
            <w:hideMark/>
          </w:tcPr>
          <w:p w:rsidR="00DE0197" w:rsidRPr="008C0FD3" w:rsidRDefault="00DE0197" w:rsidP="00754603">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-11</w:t>
            </w: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-0,3</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8C0FD3">
              <w:rPr>
                <w:rFonts w:asciiTheme="majorEastAsia" w:eastAsiaTheme="majorEastAsia" w:hAnsiTheme="majorEastAsia"/>
                <w:sz w:val="24"/>
                <w:szCs w:val="24"/>
              </w:rPr>
              <w:t> </w:t>
            </w:r>
            <w:r w:rsidRPr="00CD1199">
              <w:rPr>
                <w:rFonts w:asciiTheme="majorEastAsia" w:eastAsiaTheme="majorEastAsia" w:hAnsiTheme="majorEastAsia"/>
                <w:sz w:val="24"/>
                <w:szCs w:val="24"/>
              </w:rPr>
              <w:t>5,6</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3,6</w:t>
            </w:r>
          </w:p>
        </w:tc>
        <w:tc>
          <w:tcPr>
            <w:tcW w:w="1134" w:type="dxa"/>
            <w:tcBorders>
              <w:top w:val="nil"/>
              <w:left w:val="nil"/>
              <w:bottom w:val="single" w:sz="4" w:space="0" w:color="auto"/>
              <w:right w:val="single" w:sz="4" w:space="0" w:color="auto"/>
            </w:tcBorders>
            <w:vAlign w:val="center"/>
          </w:tcPr>
          <w:p w:rsidR="00DE0197"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5,0</w:t>
            </w:r>
          </w:p>
        </w:tc>
      </w:tr>
      <w:tr w:rsidR="00DE0197" w:rsidRPr="008C0FD3" w:rsidTr="00754603">
        <w:trPr>
          <w:trHeight w:val="300"/>
        </w:trPr>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835</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733</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59306E">
              <w:rPr>
                <w:rFonts w:asciiTheme="majorEastAsia" w:eastAsiaTheme="majorEastAsia" w:hAnsiTheme="majorEastAsia"/>
                <w:i/>
                <w:sz w:val="24"/>
                <w:szCs w:val="24"/>
              </w:rPr>
              <w:t xml:space="preserve"> </w:t>
            </w:r>
            <w:r w:rsidRPr="00D40B48">
              <w:rPr>
                <w:rFonts w:asciiTheme="majorEastAsia" w:eastAsiaTheme="majorEastAsia" w:hAnsiTheme="majorEastAsia"/>
                <w:sz w:val="24"/>
                <w:szCs w:val="24"/>
              </w:rPr>
              <w:t>714</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755</w:t>
            </w:r>
          </w:p>
        </w:tc>
        <w:tc>
          <w:tcPr>
            <w:tcW w:w="1134" w:type="dxa"/>
            <w:tcBorders>
              <w:top w:val="nil"/>
              <w:left w:val="nil"/>
              <w:bottom w:val="single" w:sz="4" w:space="0" w:color="auto"/>
              <w:right w:val="single" w:sz="4" w:space="0" w:color="auto"/>
            </w:tcBorders>
            <w:vAlign w:val="center"/>
          </w:tcPr>
          <w:p w:rsidR="00DE0197"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r>
      <w:tr w:rsidR="00DE0197" w:rsidRPr="008C0FD3" w:rsidTr="00754603">
        <w:trPr>
          <w:trHeight w:val="300"/>
        </w:trPr>
        <w:tc>
          <w:tcPr>
            <w:tcW w:w="1147" w:type="dxa"/>
            <w:vMerge/>
            <w:tcBorders>
              <w:top w:val="nil"/>
              <w:left w:val="single" w:sz="4" w:space="0" w:color="auto"/>
              <w:bottom w:val="single" w:sz="4" w:space="0" w:color="000000"/>
              <w:right w:val="single" w:sz="4" w:space="0" w:color="auto"/>
            </w:tcBorders>
            <w:vAlign w:val="center"/>
            <w:hideMark/>
          </w:tcPr>
          <w:p w:rsidR="00DE0197" w:rsidRPr="008C0FD3" w:rsidRDefault="00DE0197" w:rsidP="00754603">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13</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12</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D40B48">
              <w:rPr>
                <w:rFonts w:asciiTheme="majorEastAsia" w:eastAsiaTheme="majorEastAsia" w:hAnsiTheme="majorEastAsia"/>
                <w:sz w:val="24"/>
                <w:szCs w:val="24"/>
              </w:rPr>
              <w:t>- 1</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7</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-14,5</w:t>
            </w:r>
          </w:p>
        </w:tc>
        <w:tc>
          <w:tcPr>
            <w:tcW w:w="1134" w:type="dxa"/>
            <w:tcBorders>
              <w:top w:val="nil"/>
              <w:left w:val="nil"/>
              <w:bottom w:val="single" w:sz="4" w:space="0" w:color="auto"/>
              <w:right w:val="single" w:sz="4" w:space="0" w:color="auto"/>
            </w:tcBorders>
            <w:vAlign w:val="center"/>
          </w:tcPr>
          <w:p w:rsidR="00DE0197"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r>
      <w:tr w:rsidR="00DE0197" w:rsidRPr="008C0FD3" w:rsidTr="00754603">
        <w:trPr>
          <w:trHeight w:val="300"/>
        </w:trPr>
        <w:tc>
          <w:tcPr>
            <w:tcW w:w="1147" w:type="dxa"/>
            <w:vMerge/>
            <w:tcBorders>
              <w:top w:val="nil"/>
              <w:left w:val="single" w:sz="4" w:space="0" w:color="auto"/>
              <w:bottom w:val="single" w:sz="4" w:space="0" w:color="000000"/>
              <w:right w:val="single" w:sz="4" w:space="0" w:color="auto"/>
            </w:tcBorders>
            <w:vAlign w:val="center"/>
            <w:hideMark/>
          </w:tcPr>
          <w:p w:rsidR="00DE0197" w:rsidRPr="008C0FD3" w:rsidRDefault="00DE0197" w:rsidP="00754603">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835</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569</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013ADB">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sidRPr="00013ADB">
              <w:rPr>
                <w:rFonts w:asciiTheme="majorEastAsia" w:eastAsiaTheme="majorEastAsia" w:hAnsiTheme="majorEastAsia"/>
                <w:sz w:val="24"/>
                <w:szCs w:val="24"/>
              </w:rPr>
              <w:t>282</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3,035</w:t>
            </w:r>
          </w:p>
        </w:tc>
        <w:tc>
          <w:tcPr>
            <w:tcW w:w="1134" w:type="dxa"/>
            <w:tcBorders>
              <w:top w:val="nil"/>
              <w:left w:val="nil"/>
              <w:bottom w:val="single" w:sz="4" w:space="0" w:color="auto"/>
              <w:right w:val="single" w:sz="4" w:space="0" w:color="auto"/>
            </w:tcBorders>
            <w:vAlign w:val="center"/>
          </w:tcPr>
          <w:p w:rsidR="00DE0197"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3,879</w:t>
            </w:r>
          </w:p>
        </w:tc>
      </w:tr>
      <w:tr w:rsidR="00DE0197" w:rsidRPr="008C0FD3" w:rsidTr="00754603">
        <w:trPr>
          <w:trHeight w:val="540"/>
        </w:trPr>
        <w:tc>
          <w:tcPr>
            <w:tcW w:w="1147" w:type="dxa"/>
            <w:vMerge/>
            <w:tcBorders>
              <w:top w:val="nil"/>
              <w:left w:val="single" w:sz="4" w:space="0" w:color="auto"/>
              <w:bottom w:val="single" w:sz="4" w:space="0" w:color="000000"/>
              <w:right w:val="single" w:sz="4" w:space="0" w:color="auto"/>
            </w:tcBorders>
            <w:vAlign w:val="center"/>
            <w:hideMark/>
          </w:tcPr>
          <w:p w:rsidR="00DE0197" w:rsidRPr="008C0FD3" w:rsidRDefault="00DE0197" w:rsidP="00754603">
            <w:pPr>
              <w:jc w:val="center"/>
              <w:rPr>
                <w:rFonts w:asciiTheme="majorEastAsia" w:eastAsiaTheme="majorEastAsia" w:hAnsiTheme="majorEastAsia"/>
                <w:sz w:val="22"/>
              </w:rPr>
            </w:pPr>
          </w:p>
        </w:tc>
        <w:tc>
          <w:tcPr>
            <w:tcW w:w="3342"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13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13</w:t>
            </w: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12</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DE0197" w:rsidRPr="008C0FD3" w:rsidRDefault="00DE0197" w:rsidP="00754603">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D40B48">
              <w:rPr>
                <w:rFonts w:asciiTheme="majorEastAsia" w:eastAsiaTheme="majorEastAsia" w:hAnsiTheme="majorEastAsia"/>
                <w:sz w:val="24"/>
                <w:szCs w:val="24"/>
              </w:rPr>
              <w:t xml:space="preserve">  7</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8</w:t>
            </w:r>
          </w:p>
        </w:tc>
        <w:tc>
          <w:tcPr>
            <w:tcW w:w="1134" w:type="dxa"/>
            <w:tcBorders>
              <w:top w:val="nil"/>
              <w:left w:val="nil"/>
              <w:bottom w:val="single" w:sz="4" w:space="0" w:color="auto"/>
              <w:right w:val="single" w:sz="4" w:space="0" w:color="auto"/>
            </w:tcBorders>
            <w:vAlign w:val="center"/>
          </w:tcPr>
          <w:p w:rsidR="00DE0197" w:rsidRPr="008C0FD3"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1,2</w:t>
            </w:r>
          </w:p>
        </w:tc>
        <w:tc>
          <w:tcPr>
            <w:tcW w:w="1134" w:type="dxa"/>
            <w:tcBorders>
              <w:top w:val="nil"/>
              <w:left w:val="nil"/>
              <w:bottom w:val="single" w:sz="4" w:space="0" w:color="auto"/>
              <w:right w:val="single" w:sz="4" w:space="0" w:color="auto"/>
            </w:tcBorders>
            <w:vAlign w:val="center"/>
          </w:tcPr>
          <w:p w:rsidR="00DE0197" w:rsidRDefault="00DE0197" w:rsidP="0075460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2,9</w:t>
            </w:r>
          </w:p>
        </w:tc>
      </w:tr>
    </w:tbl>
    <w:p w:rsidR="00DE0197" w:rsidRDefault="00DE0197" w:rsidP="00DE0197">
      <w:pPr>
        <w:tabs>
          <w:tab w:val="left" w:pos="1320"/>
        </w:tabs>
        <w:ind w:leftChars="-135" w:left="1" w:hangingChars="142" w:hanging="284"/>
        <w:rPr>
          <w:rFonts w:asciiTheme="majorEastAsia" w:eastAsiaTheme="majorEastAsia" w:hAnsiTheme="majorEastAsia"/>
          <w:sz w:val="20"/>
          <w:szCs w:val="20"/>
        </w:rPr>
      </w:pPr>
    </w:p>
    <w:p w:rsidR="00DE0197" w:rsidRPr="00897E39" w:rsidRDefault="00DE0197" w:rsidP="00DE0197">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DE0197" w:rsidRDefault="00DE0197" w:rsidP="00DE0197">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ab/>
      </w:r>
    </w:p>
    <w:p w:rsidR="00DE0197" w:rsidRDefault="00DE0197" w:rsidP="00DE0197">
      <w:pPr>
        <w:tabs>
          <w:tab w:val="left" w:pos="1276"/>
        </w:tabs>
        <w:jc w:val="center"/>
        <w:rPr>
          <w:rFonts w:asciiTheme="majorEastAsia" w:eastAsiaTheme="majorEastAsia" w:hAnsiTheme="majorEastAsia"/>
          <w:b/>
          <w:sz w:val="24"/>
          <w:szCs w:val="24"/>
        </w:rPr>
      </w:pPr>
    </w:p>
    <w:p w:rsidR="005C77F2" w:rsidRDefault="005C77F2" w:rsidP="00DE0197">
      <w:pPr>
        <w:tabs>
          <w:tab w:val="left" w:pos="1276"/>
        </w:tabs>
        <w:jc w:val="center"/>
        <w:rPr>
          <w:rFonts w:asciiTheme="majorEastAsia" w:eastAsiaTheme="majorEastAsia" w:hAnsiTheme="majorEastAsia"/>
          <w:b/>
          <w:sz w:val="24"/>
          <w:szCs w:val="24"/>
        </w:rPr>
      </w:pPr>
    </w:p>
    <w:p w:rsidR="00DE0197" w:rsidRPr="0014016E" w:rsidRDefault="00DE0197" w:rsidP="00DE0197">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lastRenderedPageBreak/>
        <w:t>製造業指数(%)</w:t>
      </w:r>
    </w:p>
    <w:tbl>
      <w:tblPr>
        <w:tblStyle w:val="a3"/>
        <w:tblW w:w="10363" w:type="dxa"/>
        <w:tblInd w:w="-34" w:type="dxa"/>
        <w:tblLook w:val="04A0" w:firstRow="1" w:lastRow="0" w:firstColumn="1" w:lastColumn="0" w:noHBand="0" w:noVBand="1"/>
      </w:tblPr>
      <w:tblGrid>
        <w:gridCol w:w="2317"/>
        <w:gridCol w:w="1341"/>
        <w:gridCol w:w="1341"/>
        <w:gridCol w:w="1341"/>
        <w:gridCol w:w="1341"/>
        <w:gridCol w:w="1341"/>
        <w:gridCol w:w="1341"/>
      </w:tblGrid>
      <w:tr w:rsidR="00DE0197" w:rsidRPr="00713FF7" w:rsidTr="00754603">
        <w:tc>
          <w:tcPr>
            <w:tcW w:w="2317" w:type="dxa"/>
            <w:shd w:val="clear" w:color="auto" w:fill="auto"/>
          </w:tcPr>
          <w:p w:rsidR="00DE0197" w:rsidRPr="00713FF7" w:rsidRDefault="00DE0197" w:rsidP="00754603">
            <w:pPr>
              <w:tabs>
                <w:tab w:val="left" w:pos="1276"/>
              </w:tabs>
              <w:ind w:left="-546"/>
              <w:jc w:val="center"/>
              <w:rPr>
                <w:rFonts w:asciiTheme="majorEastAsia" w:eastAsiaTheme="majorEastAsia" w:hAnsiTheme="majorEastAsia"/>
                <w:sz w:val="24"/>
                <w:szCs w:val="24"/>
              </w:rPr>
            </w:pPr>
          </w:p>
        </w:tc>
        <w:tc>
          <w:tcPr>
            <w:tcW w:w="1341" w:type="dxa"/>
          </w:tcPr>
          <w:p w:rsidR="00DE0197" w:rsidRDefault="00DE0197" w:rsidP="0075460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341" w:type="dxa"/>
          </w:tcPr>
          <w:p w:rsidR="00DE0197" w:rsidRDefault="00DE0197" w:rsidP="0075460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341" w:type="dxa"/>
          </w:tcPr>
          <w:p w:rsidR="00DE0197" w:rsidRDefault="00DE0197" w:rsidP="0075460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341" w:type="dxa"/>
          </w:tcPr>
          <w:p w:rsidR="00DE0197" w:rsidRDefault="00DE0197" w:rsidP="0075460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341" w:type="dxa"/>
          </w:tcPr>
          <w:p w:rsidR="00DE0197" w:rsidRDefault="00DE0197" w:rsidP="0075460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341" w:type="dxa"/>
          </w:tcPr>
          <w:p w:rsidR="00DE0197" w:rsidRDefault="00DE0197" w:rsidP="0075460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-5.33</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-4.56</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-7.58</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-11.21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-21.91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-22.57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20.17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23.58</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-11.64</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-9.49</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-12.33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-13.16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-12.71</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-18.68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-16.70</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-4.37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-0.65</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r>
      <w:tr w:rsidR="00DE0197" w:rsidRPr="00713FF7" w:rsidTr="00754603">
        <w:tc>
          <w:tcPr>
            <w:tcW w:w="2317" w:type="dxa"/>
            <w:shd w:val="clear" w:color="auto" w:fill="auto"/>
          </w:tcPr>
          <w:p w:rsidR="00DE0197" w:rsidRPr="00B777D6" w:rsidRDefault="00DE0197" w:rsidP="0075460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11.88</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r>
      <w:tr w:rsidR="00DE0197" w:rsidRPr="00713FF7" w:rsidTr="00754603">
        <w:tc>
          <w:tcPr>
            <w:tcW w:w="2317" w:type="dxa"/>
            <w:shd w:val="clear" w:color="auto" w:fill="auto"/>
          </w:tcPr>
          <w:p w:rsidR="00DE0197" w:rsidRPr="00B777D6" w:rsidRDefault="00DE0197" w:rsidP="0075460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8.03</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w:t>
            </w:r>
          </w:p>
        </w:tc>
      </w:tr>
      <w:tr w:rsidR="00DE0197" w:rsidRPr="00713FF7" w:rsidTr="00754603">
        <w:tc>
          <w:tcPr>
            <w:tcW w:w="2317" w:type="dxa"/>
            <w:shd w:val="clear" w:color="auto" w:fill="auto"/>
          </w:tcPr>
          <w:p w:rsidR="00DE0197" w:rsidRPr="00B777D6" w:rsidRDefault="00DE0197" w:rsidP="0075460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70.80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77.75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52.32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78.02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56.90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35.19</w:t>
            </w:r>
          </w:p>
        </w:tc>
      </w:tr>
      <w:tr w:rsidR="00DE0197" w:rsidRPr="00713FF7" w:rsidTr="00754603">
        <w:tc>
          <w:tcPr>
            <w:tcW w:w="2317" w:type="dxa"/>
            <w:shd w:val="clear" w:color="auto" w:fill="auto"/>
          </w:tcPr>
          <w:p w:rsidR="00DE0197" w:rsidRPr="00B777D6" w:rsidRDefault="00DE0197" w:rsidP="0075460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-23.37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-22.01</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-15.00</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-14.45</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-14.76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r>
      <w:tr w:rsidR="00DE0197" w:rsidRPr="00713FF7" w:rsidTr="00754603">
        <w:tc>
          <w:tcPr>
            <w:tcW w:w="2317" w:type="dxa"/>
            <w:shd w:val="clear" w:color="auto" w:fill="auto"/>
          </w:tcPr>
          <w:p w:rsidR="00DE0197" w:rsidRPr="00B777D6" w:rsidRDefault="00DE0197" w:rsidP="0075460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3.66</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13.92</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17.24</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13.49</w:t>
            </w:r>
          </w:p>
        </w:tc>
        <w:tc>
          <w:tcPr>
            <w:tcW w:w="1341" w:type="dxa"/>
          </w:tcPr>
          <w:p w:rsidR="00DE0197" w:rsidRDefault="00DE0197" w:rsidP="0075460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r>
    </w:tbl>
    <w:p w:rsidR="00DE0197" w:rsidRDefault="00DE0197" w:rsidP="00DE0197">
      <w:pPr>
        <w:tabs>
          <w:tab w:val="left" w:pos="1276"/>
        </w:tabs>
        <w:ind w:left="1680" w:hanging="1680"/>
        <w:jc w:val="left"/>
        <w:rPr>
          <w:rFonts w:asciiTheme="majorEastAsia" w:eastAsiaTheme="majorEastAsia" w:hAnsiTheme="majorEastAsia"/>
          <w:sz w:val="20"/>
          <w:szCs w:val="20"/>
        </w:rPr>
      </w:pPr>
    </w:p>
    <w:p w:rsidR="00DE0197" w:rsidRPr="00B555C5" w:rsidRDefault="00DE0197" w:rsidP="00DE0197">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DE0197" w:rsidRPr="00903440" w:rsidRDefault="00DE0197" w:rsidP="00DE0197">
      <w:pPr>
        <w:rPr>
          <w:rFonts w:asciiTheme="majorEastAsia" w:eastAsiaTheme="majorEastAsia" w:hAnsiTheme="majorEastAsia"/>
          <w:sz w:val="24"/>
          <w:szCs w:val="24"/>
          <w:lang w:eastAsia="zh-TW"/>
        </w:rPr>
      </w:pPr>
    </w:p>
    <w:p w:rsidR="00DE0197" w:rsidRPr="00903440" w:rsidRDefault="00DE0197" w:rsidP="00DE0197">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DE0197" w:rsidRPr="004F3417" w:rsidRDefault="00DE0197" w:rsidP="00DE0197">
      <w:pPr>
        <w:jc w:val="center"/>
        <w:rPr>
          <w:rFonts w:asciiTheme="majorEastAsia" w:eastAsiaTheme="majorEastAsia" w:hAnsiTheme="majorEastAsia" w:cs="ＭＳ ゴシック"/>
          <w:b/>
          <w:i/>
          <w:sz w:val="24"/>
          <w:szCs w:val="24"/>
          <w:lang w:eastAsia="zh-TW"/>
        </w:rPr>
      </w:pPr>
    </w:p>
    <w:p w:rsidR="00DE0197" w:rsidRPr="004F3417" w:rsidRDefault="00DE0197" w:rsidP="00DE0197">
      <w:pPr>
        <w:jc w:val="center"/>
        <w:rPr>
          <w:rFonts w:asciiTheme="majorEastAsia" w:eastAsiaTheme="majorEastAsia" w:hAnsiTheme="majorEastAsia" w:cs="ＭＳ ゴシック"/>
          <w:b/>
          <w:i/>
          <w:sz w:val="24"/>
          <w:szCs w:val="24"/>
          <w:lang w:eastAsia="zh-TW"/>
        </w:rPr>
      </w:pPr>
    </w:p>
    <w:p w:rsidR="00EE587C" w:rsidRPr="00996F8B" w:rsidRDefault="00EE587C" w:rsidP="001B5C3C">
      <w:pPr>
        <w:jc w:val="center"/>
        <w:rPr>
          <w:rFonts w:asciiTheme="majorEastAsia" w:eastAsiaTheme="majorEastAsia" w:hAnsiTheme="majorEastAsia" w:cs="ＭＳ ゴシック"/>
          <w:sz w:val="24"/>
          <w:szCs w:val="24"/>
          <w:lang w:eastAsia="zh-TW"/>
        </w:rPr>
      </w:pPr>
    </w:p>
    <w:p w:rsidR="00EE587C" w:rsidRPr="00996F8B" w:rsidRDefault="00EE587C" w:rsidP="001B5C3C">
      <w:pPr>
        <w:jc w:val="center"/>
        <w:rPr>
          <w:rFonts w:asciiTheme="majorEastAsia" w:eastAsiaTheme="majorEastAsia" w:hAnsiTheme="majorEastAsia" w:cs="ＭＳ ゴシック"/>
          <w:b/>
          <w:i/>
          <w:sz w:val="24"/>
          <w:szCs w:val="24"/>
          <w:lang w:eastAsia="zh-TW"/>
        </w:rPr>
      </w:pPr>
    </w:p>
    <w:p w:rsidR="004F3417" w:rsidRPr="00996F8B" w:rsidRDefault="004F3417">
      <w:pPr>
        <w:jc w:val="center"/>
        <w:rPr>
          <w:rFonts w:asciiTheme="majorEastAsia" w:eastAsiaTheme="majorEastAsia" w:hAnsiTheme="majorEastAsia" w:cs="ＭＳ ゴシック"/>
          <w:b/>
          <w:i/>
          <w:sz w:val="24"/>
          <w:szCs w:val="24"/>
          <w:lang w:eastAsia="zh-TW"/>
        </w:rPr>
      </w:pPr>
    </w:p>
    <w:sectPr w:rsidR="004F3417" w:rsidRPr="00996F8B"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20" w:rsidRDefault="00D94A20" w:rsidP="00A94279">
      <w:r>
        <w:separator/>
      </w:r>
    </w:p>
  </w:endnote>
  <w:endnote w:type="continuationSeparator" w:id="0">
    <w:p w:rsidR="00D94A20" w:rsidRDefault="00D94A20"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D94A20" w:rsidRDefault="00D94A20">
        <w:pPr>
          <w:pStyle w:val="a6"/>
          <w:jc w:val="center"/>
        </w:pPr>
        <w:r>
          <w:fldChar w:fldCharType="begin"/>
        </w:r>
        <w:r>
          <w:instrText>PAGE   \* MERGEFORMAT</w:instrText>
        </w:r>
        <w:r>
          <w:fldChar w:fldCharType="separate"/>
        </w:r>
        <w:r w:rsidR="00C76D02" w:rsidRPr="00C76D02">
          <w:rPr>
            <w:noProof/>
            <w:lang w:val="ja-JP"/>
          </w:rPr>
          <w:t>4</w:t>
        </w:r>
        <w:r>
          <w:fldChar w:fldCharType="end"/>
        </w:r>
      </w:p>
    </w:sdtContent>
  </w:sdt>
  <w:p w:rsidR="00D94A20" w:rsidRDefault="00D94A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20" w:rsidRDefault="00D94A20" w:rsidP="00A94279">
      <w:r>
        <w:separator/>
      </w:r>
    </w:p>
  </w:footnote>
  <w:footnote w:type="continuationSeparator" w:id="0">
    <w:p w:rsidR="00D94A20" w:rsidRDefault="00D94A20"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21261"/>
    <w:rsid w:val="0003357F"/>
    <w:rsid w:val="00041CD4"/>
    <w:rsid w:val="00066A12"/>
    <w:rsid w:val="0007293B"/>
    <w:rsid w:val="0009085D"/>
    <w:rsid w:val="000917B6"/>
    <w:rsid w:val="00094C35"/>
    <w:rsid w:val="000A5809"/>
    <w:rsid w:val="000B144E"/>
    <w:rsid w:val="000D05B1"/>
    <w:rsid w:val="000E5786"/>
    <w:rsid w:val="000F4A14"/>
    <w:rsid w:val="000F659B"/>
    <w:rsid w:val="00111C0F"/>
    <w:rsid w:val="00113825"/>
    <w:rsid w:val="00114C87"/>
    <w:rsid w:val="0012521F"/>
    <w:rsid w:val="0012591A"/>
    <w:rsid w:val="00133E3B"/>
    <w:rsid w:val="0013489D"/>
    <w:rsid w:val="00156879"/>
    <w:rsid w:val="0015691A"/>
    <w:rsid w:val="00185A5C"/>
    <w:rsid w:val="00197D6A"/>
    <w:rsid w:val="001B5C3C"/>
    <w:rsid w:val="001C22A1"/>
    <w:rsid w:val="001C2CCB"/>
    <w:rsid w:val="001C41D4"/>
    <w:rsid w:val="001C7604"/>
    <w:rsid w:val="001D7C68"/>
    <w:rsid w:val="001E6C8B"/>
    <w:rsid w:val="001F161E"/>
    <w:rsid w:val="001F55ED"/>
    <w:rsid w:val="001F6182"/>
    <w:rsid w:val="00204C7E"/>
    <w:rsid w:val="00212995"/>
    <w:rsid w:val="0022636F"/>
    <w:rsid w:val="0022670A"/>
    <w:rsid w:val="002432C0"/>
    <w:rsid w:val="002543DA"/>
    <w:rsid w:val="00257917"/>
    <w:rsid w:val="00263394"/>
    <w:rsid w:val="0026569B"/>
    <w:rsid w:val="00271845"/>
    <w:rsid w:val="00282E52"/>
    <w:rsid w:val="00285A60"/>
    <w:rsid w:val="002950EF"/>
    <w:rsid w:val="002A2A5C"/>
    <w:rsid w:val="002B0C60"/>
    <w:rsid w:val="002B1F76"/>
    <w:rsid w:val="002B3AC8"/>
    <w:rsid w:val="002B464C"/>
    <w:rsid w:val="002B5C01"/>
    <w:rsid w:val="002C1E94"/>
    <w:rsid w:val="002E085E"/>
    <w:rsid w:val="002E70B2"/>
    <w:rsid w:val="00305C6D"/>
    <w:rsid w:val="00322311"/>
    <w:rsid w:val="00327064"/>
    <w:rsid w:val="0033106A"/>
    <w:rsid w:val="00371F6C"/>
    <w:rsid w:val="00373629"/>
    <w:rsid w:val="00375F3C"/>
    <w:rsid w:val="00377A54"/>
    <w:rsid w:val="00394AB1"/>
    <w:rsid w:val="003A7C84"/>
    <w:rsid w:val="003B5D15"/>
    <w:rsid w:val="003C3B0C"/>
    <w:rsid w:val="003C7473"/>
    <w:rsid w:val="003D2312"/>
    <w:rsid w:val="003D2E49"/>
    <w:rsid w:val="003E0DA2"/>
    <w:rsid w:val="00401203"/>
    <w:rsid w:val="0040174A"/>
    <w:rsid w:val="00404064"/>
    <w:rsid w:val="0041060A"/>
    <w:rsid w:val="00416342"/>
    <w:rsid w:val="004234FF"/>
    <w:rsid w:val="00435ED6"/>
    <w:rsid w:val="00442CBE"/>
    <w:rsid w:val="00453CD8"/>
    <w:rsid w:val="0045644A"/>
    <w:rsid w:val="004620AF"/>
    <w:rsid w:val="00464148"/>
    <w:rsid w:val="00465BFA"/>
    <w:rsid w:val="00475C5F"/>
    <w:rsid w:val="00476736"/>
    <w:rsid w:val="0048112F"/>
    <w:rsid w:val="00493E30"/>
    <w:rsid w:val="00494934"/>
    <w:rsid w:val="00497F2D"/>
    <w:rsid w:val="004B2EC2"/>
    <w:rsid w:val="004B48A1"/>
    <w:rsid w:val="004B4DC2"/>
    <w:rsid w:val="004C1107"/>
    <w:rsid w:val="004D4594"/>
    <w:rsid w:val="004E59D2"/>
    <w:rsid w:val="004E651A"/>
    <w:rsid w:val="004E7313"/>
    <w:rsid w:val="004F3417"/>
    <w:rsid w:val="004F5D22"/>
    <w:rsid w:val="0050771F"/>
    <w:rsid w:val="00514DBD"/>
    <w:rsid w:val="00516F9D"/>
    <w:rsid w:val="00520751"/>
    <w:rsid w:val="005220C2"/>
    <w:rsid w:val="00524D4E"/>
    <w:rsid w:val="00541E5C"/>
    <w:rsid w:val="005435AD"/>
    <w:rsid w:val="005441D9"/>
    <w:rsid w:val="005503EF"/>
    <w:rsid w:val="00551072"/>
    <w:rsid w:val="00556528"/>
    <w:rsid w:val="00564479"/>
    <w:rsid w:val="005776C1"/>
    <w:rsid w:val="00594ADF"/>
    <w:rsid w:val="005A2989"/>
    <w:rsid w:val="005B756E"/>
    <w:rsid w:val="005C06AC"/>
    <w:rsid w:val="005C755F"/>
    <w:rsid w:val="005C77F2"/>
    <w:rsid w:val="005E0A46"/>
    <w:rsid w:val="005E7D1C"/>
    <w:rsid w:val="005F4348"/>
    <w:rsid w:val="00603A9B"/>
    <w:rsid w:val="00623A56"/>
    <w:rsid w:val="00624556"/>
    <w:rsid w:val="00631EF6"/>
    <w:rsid w:val="006348E9"/>
    <w:rsid w:val="00677632"/>
    <w:rsid w:val="00682A54"/>
    <w:rsid w:val="00692F56"/>
    <w:rsid w:val="006A01C2"/>
    <w:rsid w:val="006A3730"/>
    <w:rsid w:val="006A764B"/>
    <w:rsid w:val="006B2252"/>
    <w:rsid w:val="006C2E57"/>
    <w:rsid w:val="006C5A35"/>
    <w:rsid w:val="006C6A6B"/>
    <w:rsid w:val="006E68DE"/>
    <w:rsid w:val="006F4BE2"/>
    <w:rsid w:val="006F5B81"/>
    <w:rsid w:val="00703628"/>
    <w:rsid w:val="00712FD9"/>
    <w:rsid w:val="00713FF7"/>
    <w:rsid w:val="007263FD"/>
    <w:rsid w:val="00735406"/>
    <w:rsid w:val="00744656"/>
    <w:rsid w:val="0074678E"/>
    <w:rsid w:val="00754603"/>
    <w:rsid w:val="00757454"/>
    <w:rsid w:val="00760BFF"/>
    <w:rsid w:val="00762F0C"/>
    <w:rsid w:val="00766D67"/>
    <w:rsid w:val="00774D25"/>
    <w:rsid w:val="00777BFF"/>
    <w:rsid w:val="00783C14"/>
    <w:rsid w:val="0079060A"/>
    <w:rsid w:val="007A4E1B"/>
    <w:rsid w:val="007B170F"/>
    <w:rsid w:val="007B5EC9"/>
    <w:rsid w:val="007C169E"/>
    <w:rsid w:val="007C31E2"/>
    <w:rsid w:val="007D02F2"/>
    <w:rsid w:val="007D0AD2"/>
    <w:rsid w:val="007D6289"/>
    <w:rsid w:val="007D7CF1"/>
    <w:rsid w:val="007F3113"/>
    <w:rsid w:val="00811431"/>
    <w:rsid w:val="00820670"/>
    <w:rsid w:val="008300D3"/>
    <w:rsid w:val="00840799"/>
    <w:rsid w:val="00850E5E"/>
    <w:rsid w:val="008556D1"/>
    <w:rsid w:val="00867BF1"/>
    <w:rsid w:val="00867C24"/>
    <w:rsid w:val="00873ECE"/>
    <w:rsid w:val="0088032C"/>
    <w:rsid w:val="00897E39"/>
    <w:rsid w:val="008A6889"/>
    <w:rsid w:val="008A6C56"/>
    <w:rsid w:val="008B1612"/>
    <w:rsid w:val="008B6396"/>
    <w:rsid w:val="008C03AD"/>
    <w:rsid w:val="008C2E74"/>
    <w:rsid w:val="008C3757"/>
    <w:rsid w:val="008C40DB"/>
    <w:rsid w:val="008D1233"/>
    <w:rsid w:val="008D3D37"/>
    <w:rsid w:val="008E12F7"/>
    <w:rsid w:val="008E5054"/>
    <w:rsid w:val="008F3591"/>
    <w:rsid w:val="008F7BC6"/>
    <w:rsid w:val="00900E10"/>
    <w:rsid w:val="00903440"/>
    <w:rsid w:val="00911110"/>
    <w:rsid w:val="00930BCE"/>
    <w:rsid w:val="0093309B"/>
    <w:rsid w:val="00940965"/>
    <w:rsid w:val="00943F2E"/>
    <w:rsid w:val="00951138"/>
    <w:rsid w:val="00951FCA"/>
    <w:rsid w:val="00955952"/>
    <w:rsid w:val="00956134"/>
    <w:rsid w:val="009600FF"/>
    <w:rsid w:val="009603AF"/>
    <w:rsid w:val="0096761D"/>
    <w:rsid w:val="00970B09"/>
    <w:rsid w:val="009725D8"/>
    <w:rsid w:val="009728F2"/>
    <w:rsid w:val="0097322B"/>
    <w:rsid w:val="00980813"/>
    <w:rsid w:val="00984A3C"/>
    <w:rsid w:val="00993558"/>
    <w:rsid w:val="00995BDC"/>
    <w:rsid w:val="00995FD9"/>
    <w:rsid w:val="00996F8B"/>
    <w:rsid w:val="009A4FD8"/>
    <w:rsid w:val="009C0239"/>
    <w:rsid w:val="009D267A"/>
    <w:rsid w:val="009E262C"/>
    <w:rsid w:val="00A2197E"/>
    <w:rsid w:val="00A27593"/>
    <w:rsid w:val="00A31119"/>
    <w:rsid w:val="00A43E6F"/>
    <w:rsid w:val="00A53D08"/>
    <w:rsid w:val="00A6086F"/>
    <w:rsid w:val="00A61A78"/>
    <w:rsid w:val="00A66F61"/>
    <w:rsid w:val="00A816A5"/>
    <w:rsid w:val="00A91F1B"/>
    <w:rsid w:val="00A94279"/>
    <w:rsid w:val="00AA2869"/>
    <w:rsid w:val="00AB0BDF"/>
    <w:rsid w:val="00AB4A5E"/>
    <w:rsid w:val="00AC382F"/>
    <w:rsid w:val="00AC3BFE"/>
    <w:rsid w:val="00AC4506"/>
    <w:rsid w:val="00AD02F6"/>
    <w:rsid w:val="00AD0B23"/>
    <w:rsid w:val="00AD28B6"/>
    <w:rsid w:val="00AE2EE6"/>
    <w:rsid w:val="00B00CFC"/>
    <w:rsid w:val="00B03F3F"/>
    <w:rsid w:val="00B070E7"/>
    <w:rsid w:val="00B10E46"/>
    <w:rsid w:val="00B134F4"/>
    <w:rsid w:val="00B16323"/>
    <w:rsid w:val="00B2075A"/>
    <w:rsid w:val="00B23B56"/>
    <w:rsid w:val="00B375E2"/>
    <w:rsid w:val="00B37F1C"/>
    <w:rsid w:val="00B555C5"/>
    <w:rsid w:val="00B62814"/>
    <w:rsid w:val="00B67868"/>
    <w:rsid w:val="00B70922"/>
    <w:rsid w:val="00B71505"/>
    <w:rsid w:val="00B777D6"/>
    <w:rsid w:val="00B803EB"/>
    <w:rsid w:val="00B878D2"/>
    <w:rsid w:val="00B9018B"/>
    <w:rsid w:val="00BB4413"/>
    <w:rsid w:val="00BC5CCA"/>
    <w:rsid w:val="00BD39DB"/>
    <w:rsid w:val="00BE55E9"/>
    <w:rsid w:val="00BE61B6"/>
    <w:rsid w:val="00BF4E44"/>
    <w:rsid w:val="00C007F5"/>
    <w:rsid w:val="00C02B88"/>
    <w:rsid w:val="00C02D09"/>
    <w:rsid w:val="00C15DF8"/>
    <w:rsid w:val="00C252D1"/>
    <w:rsid w:val="00C277E5"/>
    <w:rsid w:val="00C303D2"/>
    <w:rsid w:val="00C4107E"/>
    <w:rsid w:val="00C447C1"/>
    <w:rsid w:val="00C50A28"/>
    <w:rsid w:val="00C54BFA"/>
    <w:rsid w:val="00C559B2"/>
    <w:rsid w:val="00C61184"/>
    <w:rsid w:val="00C72D0C"/>
    <w:rsid w:val="00C76BD3"/>
    <w:rsid w:val="00C76D02"/>
    <w:rsid w:val="00C86CC1"/>
    <w:rsid w:val="00C92132"/>
    <w:rsid w:val="00CA2459"/>
    <w:rsid w:val="00CC320E"/>
    <w:rsid w:val="00CD2574"/>
    <w:rsid w:val="00CD38C0"/>
    <w:rsid w:val="00CD445F"/>
    <w:rsid w:val="00CE0958"/>
    <w:rsid w:val="00CE3A9E"/>
    <w:rsid w:val="00CE6747"/>
    <w:rsid w:val="00CF3621"/>
    <w:rsid w:val="00D00962"/>
    <w:rsid w:val="00D10ACB"/>
    <w:rsid w:val="00D11DD2"/>
    <w:rsid w:val="00D26FF2"/>
    <w:rsid w:val="00D317FC"/>
    <w:rsid w:val="00D350F1"/>
    <w:rsid w:val="00D41302"/>
    <w:rsid w:val="00D47F4F"/>
    <w:rsid w:val="00D56611"/>
    <w:rsid w:val="00D83F69"/>
    <w:rsid w:val="00D93620"/>
    <w:rsid w:val="00D94A20"/>
    <w:rsid w:val="00D950CC"/>
    <w:rsid w:val="00DB508B"/>
    <w:rsid w:val="00DC32EE"/>
    <w:rsid w:val="00DC5E87"/>
    <w:rsid w:val="00DD2DBB"/>
    <w:rsid w:val="00DE0197"/>
    <w:rsid w:val="00DE0B4D"/>
    <w:rsid w:val="00DF30EA"/>
    <w:rsid w:val="00DF37B7"/>
    <w:rsid w:val="00E03061"/>
    <w:rsid w:val="00E032AB"/>
    <w:rsid w:val="00E2590C"/>
    <w:rsid w:val="00E2774F"/>
    <w:rsid w:val="00E5477A"/>
    <w:rsid w:val="00E70CF5"/>
    <w:rsid w:val="00E732CC"/>
    <w:rsid w:val="00E836F4"/>
    <w:rsid w:val="00E83CB0"/>
    <w:rsid w:val="00E9501B"/>
    <w:rsid w:val="00EB7C02"/>
    <w:rsid w:val="00EC0EA3"/>
    <w:rsid w:val="00EC2B28"/>
    <w:rsid w:val="00EC606D"/>
    <w:rsid w:val="00ED14D6"/>
    <w:rsid w:val="00ED2934"/>
    <w:rsid w:val="00EE587C"/>
    <w:rsid w:val="00EE6BE2"/>
    <w:rsid w:val="00F00B66"/>
    <w:rsid w:val="00F00F52"/>
    <w:rsid w:val="00F041DE"/>
    <w:rsid w:val="00F1196D"/>
    <w:rsid w:val="00F214A0"/>
    <w:rsid w:val="00F231BE"/>
    <w:rsid w:val="00F31341"/>
    <w:rsid w:val="00F316EA"/>
    <w:rsid w:val="00F32D15"/>
    <w:rsid w:val="00F33936"/>
    <w:rsid w:val="00F33DCB"/>
    <w:rsid w:val="00F4701B"/>
    <w:rsid w:val="00F47DAD"/>
    <w:rsid w:val="00F56800"/>
    <w:rsid w:val="00F62281"/>
    <w:rsid w:val="00F66008"/>
    <w:rsid w:val="00F71255"/>
    <w:rsid w:val="00F734C9"/>
    <w:rsid w:val="00F77A6B"/>
    <w:rsid w:val="00F8396A"/>
    <w:rsid w:val="00F83ACA"/>
    <w:rsid w:val="00F86D6E"/>
    <w:rsid w:val="00FB6EFC"/>
    <w:rsid w:val="00FE5B0A"/>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BB0FA-C657-48F5-BD51-ADC4C818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3450</Characters>
  <Application>Microsoft Office Word</Application>
  <DocSecurity>0</DocSecurity>
  <Lines>28</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2014-06-13T14:45:00Z</cp:lastPrinted>
  <dcterms:created xsi:type="dcterms:W3CDTF">2014-06-18T08:59:00Z</dcterms:created>
  <dcterms:modified xsi:type="dcterms:W3CDTF">2014-06-18T08:59:00Z</dcterms:modified>
</cp:coreProperties>
</file>