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drawings/drawing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DA7" w:rsidRPr="00515DA7" w:rsidRDefault="00515DA7" w:rsidP="00515DA7">
      <w:pPr>
        <w:jc w:val="center"/>
        <w:rPr>
          <w:rFonts w:ascii="Century" w:eastAsia="ＭＳ 明朝" w:hAnsi="Century" w:cs="Times New Roman"/>
        </w:rPr>
      </w:pPr>
      <w:r w:rsidRPr="00515DA7">
        <w:rPr>
          <w:rFonts w:ascii="Century" w:eastAsia="ＭＳ 明朝" w:hAnsi="Century" w:cs="Times New Roman" w:hint="eastAsia"/>
        </w:rPr>
        <w:t>コスタリカ経済</w:t>
      </w:r>
      <w:r w:rsidR="00FD68B4">
        <w:rPr>
          <w:rFonts w:ascii="Century" w:eastAsia="ＭＳ 明朝" w:hAnsi="Century" w:cs="Times New Roman" w:hint="eastAsia"/>
        </w:rPr>
        <w:t>（</w:t>
      </w:r>
      <w:r w:rsidRPr="00515DA7">
        <w:rPr>
          <w:rFonts w:ascii="Century" w:eastAsia="ＭＳ 明朝" w:hAnsi="Century" w:cs="Times New Roman"/>
        </w:rPr>
        <w:t>2014</w:t>
      </w:r>
      <w:r w:rsidRPr="00515DA7">
        <w:rPr>
          <w:rFonts w:ascii="Century" w:eastAsia="ＭＳ 明朝" w:hAnsi="Century" w:cs="Times New Roman" w:hint="eastAsia"/>
        </w:rPr>
        <w:t>年</w:t>
      </w:r>
      <w:r w:rsidRPr="00515DA7">
        <w:rPr>
          <w:rFonts w:ascii="Century" w:eastAsia="ＭＳ 明朝" w:hAnsi="Century" w:cs="Times New Roman" w:hint="eastAsia"/>
        </w:rPr>
        <w:t>3</w:t>
      </w:r>
      <w:r w:rsidRPr="00515DA7">
        <w:rPr>
          <w:rFonts w:ascii="Century" w:eastAsia="ＭＳ 明朝" w:hAnsi="Century" w:cs="Times New Roman" w:hint="eastAsia"/>
        </w:rPr>
        <w:t>月・</w:t>
      </w:r>
      <w:r w:rsidRPr="00515DA7">
        <w:rPr>
          <w:rFonts w:ascii="Century" w:eastAsia="ＭＳ 明朝" w:hAnsi="Century" w:cs="Times New Roman" w:hint="eastAsia"/>
        </w:rPr>
        <w:t>4</w:t>
      </w:r>
      <w:r w:rsidRPr="00515DA7">
        <w:rPr>
          <w:rFonts w:ascii="Century" w:eastAsia="ＭＳ 明朝" w:hAnsi="Century" w:cs="Times New Roman" w:hint="eastAsia"/>
        </w:rPr>
        <w:t>月）</w:t>
      </w:r>
    </w:p>
    <w:p w:rsidR="00FD68B4" w:rsidRDefault="00FD68B4" w:rsidP="00515DA7">
      <w:pPr>
        <w:rPr>
          <w:rFonts w:ascii="Century" w:eastAsia="ＭＳ 明朝" w:hAnsi="Century" w:cs="Times New Roman" w:hint="eastAsia"/>
        </w:rPr>
      </w:pPr>
    </w:p>
    <w:p w:rsidR="00515DA7" w:rsidRPr="00515DA7" w:rsidRDefault="00515DA7" w:rsidP="00515DA7">
      <w:pPr>
        <w:rPr>
          <w:rFonts w:ascii="Century" w:eastAsia="ＭＳ 明朝" w:hAnsi="Century" w:cs="Times New Roman"/>
        </w:rPr>
      </w:pPr>
      <w:r w:rsidRPr="00515DA7">
        <w:rPr>
          <w:rFonts w:ascii="Century" w:eastAsia="ＭＳ 明朝" w:hAnsi="Century" w:cs="Times New Roman" w:hint="eastAsia"/>
        </w:rPr>
        <w:t>出典</w:t>
      </w:r>
      <w:r w:rsidRPr="00515DA7">
        <w:rPr>
          <w:rFonts w:ascii="Century" w:eastAsia="ＭＳ 明朝" w:hAnsi="Century" w:cs="Times New Roman"/>
        </w:rPr>
        <w:t>:</w:t>
      </w:r>
      <w:r w:rsidRPr="00515DA7">
        <w:rPr>
          <w:rFonts w:ascii="Century" w:eastAsia="ＭＳ 明朝" w:hAnsi="Century" w:cs="Times New Roman" w:hint="eastAsia"/>
        </w:rPr>
        <w:t>コスタリカ中央銀行および財務省</w:t>
      </w:r>
      <w:r w:rsidRPr="00515DA7">
        <w:rPr>
          <w:rFonts w:ascii="Century" w:eastAsia="ＭＳ 明朝" w:hAnsi="Century" w:cs="Times New Roman"/>
        </w:rPr>
        <w:t>(</w:t>
      </w:r>
      <w:r w:rsidRPr="00515DA7">
        <w:rPr>
          <w:rFonts w:ascii="Century" w:eastAsia="ＭＳ 明朝" w:hAnsi="Century" w:cs="Times New Roman" w:hint="eastAsia"/>
        </w:rPr>
        <w:t>3</w:t>
      </w:r>
      <w:r w:rsidRPr="00515DA7">
        <w:rPr>
          <w:rFonts w:ascii="Century" w:eastAsia="ＭＳ 明朝" w:hAnsi="Century" w:cs="Times New Roman" w:hint="eastAsia"/>
        </w:rPr>
        <w:t>～</w:t>
      </w:r>
      <w:r w:rsidRPr="00515DA7">
        <w:rPr>
          <w:rFonts w:ascii="Century" w:eastAsia="ＭＳ 明朝" w:hAnsi="Century" w:cs="Times New Roman" w:hint="eastAsia"/>
        </w:rPr>
        <w:t>4</w:t>
      </w:r>
      <w:r w:rsidRPr="00515DA7">
        <w:rPr>
          <w:rFonts w:ascii="Century" w:eastAsia="ＭＳ 明朝" w:hAnsi="Century" w:cs="Times New Roman" w:hint="eastAsia"/>
        </w:rPr>
        <w:t>月分数値</w:t>
      </w:r>
      <w:r w:rsidRPr="00515DA7">
        <w:rPr>
          <w:rFonts w:ascii="Century" w:eastAsia="ＭＳ 明朝" w:hAnsi="Century" w:cs="Times New Roman"/>
        </w:rPr>
        <w:t>)</w:t>
      </w:r>
    </w:p>
    <w:p w:rsidR="00515DA7" w:rsidRPr="00515DA7" w:rsidRDefault="00515DA7" w:rsidP="00FD68B4">
      <w:pPr>
        <w:jc w:val="left"/>
        <w:rPr>
          <w:rFonts w:ascii="Century" w:eastAsia="ＭＳ 明朝" w:hAnsi="Century" w:cs="Times New Roman"/>
        </w:rPr>
      </w:pPr>
      <w:bookmarkStart w:id="0" w:name="_GoBack"/>
      <w:bookmarkEnd w:id="0"/>
      <w:r w:rsidRPr="00515DA7">
        <w:rPr>
          <w:rFonts w:ascii="Century" w:eastAsia="ＭＳ 明朝" w:hAnsi="Century" w:cs="Times New Roman" w:hint="eastAsia"/>
        </w:rPr>
        <w:t>主な出来事については当地新聞記事</w:t>
      </w:r>
      <w:r w:rsidRPr="00515DA7">
        <w:rPr>
          <w:rFonts w:ascii="Century" w:eastAsia="ＭＳ 明朝" w:hAnsi="Century" w:cs="Times New Roman"/>
          <w:vertAlign w:val="superscript"/>
        </w:rPr>
        <w:footnoteReference w:id="1"/>
      </w:r>
      <w:r w:rsidRPr="00515DA7">
        <w:rPr>
          <w:rFonts w:ascii="Century" w:eastAsia="ＭＳ 明朝" w:hAnsi="Century" w:cs="Times New Roman" w:hint="eastAsia"/>
        </w:rPr>
        <w:t>による。</w:t>
      </w:r>
    </w:p>
    <w:p w:rsidR="00515DA7" w:rsidRPr="00515DA7" w:rsidRDefault="00515DA7" w:rsidP="00515DA7">
      <w:pPr>
        <w:rPr>
          <w:rFonts w:ascii="Century" w:eastAsia="ＭＳ 明朝" w:hAnsi="Century" w:cs="Times New Roman"/>
        </w:rPr>
      </w:pPr>
    </w:p>
    <w:p w:rsidR="00515DA7" w:rsidRPr="00515DA7" w:rsidRDefault="00515DA7" w:rsidP="00515DA7">
      <w:pPr>
        <w:rPr>
          <w:rFonts w:ascii="Century" w:eastAsia="ＭＳ 明朝" w:hAnsi="Century" w:cs="Times New Roman"/>
        </w:rPr>
      </w:pPr>
      <w:r w:rsidRPr="00515DA7">
        <w:rPr>
          <w:rFonts w:ascii="Century" w:eastAsia="ＭＳ 明朝" w:hAnsi="Century" w:cs="Times New Roman"/>
        </w:rPr>
        <w:t>1</w:t>
      </w:r>
      <w:r w:rsidRPr="00515DA7">
        <w:rPr>
          <w:rFonts w:ascii="Century" w:eastAsia="ＭＳ 明朝" w:hAnsi="Century" w:cs="Times New Roman" w:hint="eastAsia"/>
        </w:rPr>
        <w:t xml:space="preserve">　経済活動指標</w:t>
      </w:r>
    </w:p>
    <w:p w:rsidR="00515DA7" w:rsidRDefault="00515DA7" w:rsidP="002A3986">
      <w:pPr>
        <w:jc w:val="left"/>
        <w:rPr>
          <w:rFonts w:ascii="Century" w:eastAsia="ＭＳ 明朝" w:hAnsi="Century" w:cs="Times New Roman"/>
        </w:rPr>
      </w:pPr>
      <w:r w:rsidRPr="00515DA7">
        <w:rPr>
          <w:rFonts w:ascii="Century" w:eastAsia="ＭＳ 明朝" w:hAnsi="Century" w:cs="Times New Roman" w:hint="eastAsia"/>
        </w:rPr>
        <w:t>●</w:t>
      </w:r>
      <w:r w:rsidRPr="00515DA7">
        <w:rPr>
          <w:rFonts w:ascii="Century" w:eastAsia="ＭＳ 明朝" w:hAnsi="Century" w:cs="Times New Roman" w:hint="eastAsia"/>
        </w:rPr>
        <w:t>3</w:t>
      </w:r>
      <w:r w:rsidRPr="00515DA7">
        <w:rPr>
          <w:rFonts w:ascii="Century" w:eastAsia="ＭＳ 明朝" w:hAnsi="Century" w:cs="Times New Roman" w:hint="eastAsia"/>
        </w:rPr>
        <w:t>月の経済活動指標は、</w:t>
      </w:r>
      <w:r w:rsidR="00A66838">
        <w:rPr>
          <w:rFonts w:ascii="Century" w:eastAsia="ＭＳ 明朝" w:hAnsi="Century" w:cs="Times New Roman" w:hint="eastAsia"/>
        </w:rPr>
        <w:t>2</w:t>
      </w:r>
      <w:r w:rsidR="00A66838">
        <w:rPr>
          <w:rFonts w:ascii="Century" w:eastAsia="ＭＳ 明朝" w:hAnsi="Century" w:cs="Times New Roman" w:hint="eastAsia"/>
        </w:rPr>
        <w:t>月と同様に</w:t>
      </w:r>
      <w:r w:rsidR="00117AD7">
        <w:rPr>
          <w:rFonts w:ascii="Century" w:eastAsia="ＭＳ 明朝" w:hAnsi="Century" w:cs="Times New Roman" w:hint="eastAsia"/>
        </w:rPr>
        <w:t>金融・保険、</w:t>
      </w:r>
      <w:r w:rsidRPr="00515DA7">
        <w:rPr>
          <w:rFonts w:ascii="Century" w:eastAsia="ＭＳ 明朝" w:hAnsi="Century" w:cs="Times New Roman" w:hint="eastAsia"/>
        </w:rPr>
        <w:t>金融仲介サービス等のサービス</w:t>
      </w:r>
      <w:r w:rsidR="00117AD7">
        <w:rPr>
          <w:rFonts w:ascii="Century" w:eastAsia="ＭＳ 明朝" w:hAnsi="Century" w:cs="Times New Roman" w:hint="eastAsia"/>
        </w:rPr>
        <w:t>産業及び</w:t>
      </w:r>
      <w:r w:rsidR="00C753FE">
        <w:rPr>
          <w:rFonts w:ascii="Century" w:eastAsia="ＭＳ 明朝" w:hAnsi="Century" w:cs="Times New Roman" w:hint="eastAsia"/>
        </w:rPr>
        <w:t>農林漁業、</w:t>
      </w:r>
      <w:r w:rsidR="007F32A9">
        <w:rPr>
          <w:rFonts w:ascii="Century" w:eastAsia="ＭＳ 明朝" w:hAnsi="Century" w:cs="Times New Roman" w:hint="eastAsia"/>
        </w:rPr>
        <w:t>建設業にお</w:t>
      </w:r>
      <w:r w:rsidRPr="00515DA7">
        <w:rPr>
          <w:rFonts w:ascii="Century" w:eastAsia="ＭＳ 明朝" w:hAnsi="Century" w:cs="Times New Roman" w:hint="eastAsia"/>
        </w:rPr>
        <w:t>いて引き続き成長が見られたことと</w:t>
      </w:r>
      <w:r w:rsidR="007B6A5F">
        <w:rPr>
          <w:rFonts w:ascii="Century" w:eastAsia="ＭＳ 明朝" w:hAnsi="Century" w:cs="Times New Roman" w:hint="eastAsia"/>
        </w:rPr>
        <w:t>、当国の主要産業である製造業でも昨年を上回る数値を記録したことにより</w:t>
      </w:r>
      <w:r w:rsidRPr="00515DA7">
        <w:rPr>
          <w:rFonts w:ascii="Century" w:eastAsia="ＭＳ 明朝" w:hAnsi="Century" w:cs="Times New Roman" w:hint="eastAsia"/>
        </w:rPr>
        <w:t>、全体で昨年</w:t>
      </w:r>
      <w:r w:rsidR="00117AD7">
        <w:rPr>
          <w:rFonts w:ascii="Century" w:eastAsia="ＭＳ 明朝" w:hAnsi="Century" w:cs="Times New Roman" w:hint="eastAsia"/>
        </w:rPr>
        <w:t>同期</w:t>
      </w:r>
      <w:r w:rsidRPr="00515DA7">
        <w:rPr>
          <w:rFonts w:ascii="Century" w:eastAsia="ＭＳ 明朝" w:hAnsi="Century" w:cs="Times New Roman" w:hint="eastAsia"/>
        </w:rPr>
        <w:t>の値を</w:t>
      </w:r>
      <w:r w:rsidR="003F2826">
        <w:rPr>
          <w:rFonts w:ascii="Century" w:eastAsia="ＭＳ 明朝" w:hAnsi="Century" w:cs="Times New Roman" w:hint="eastAsia"/>
        </w:rPr>
        <w:t>2</w:t>
      </w:r>
      <w:r w:rsidRPr="00515DA7">
        <w:rPr>
          <w:rFonts w:ascii="Century" w:eastAsia="ＭＳ 明朝" w:hAnsi="Century" w:cs="Times New Roman" w:hint="eastAsia"/>
        </w:rPr>
        <w:t>.10</w:t>
      </w:r>
      <w:r w:rsidRPr="00515DA7">
        <w:rPr>
          <w:rFonts w:ascii="Century" w:eastAsia="ＭＳ 明朝" w:hAnsi="Century" w:cs="Times New Roman" w:hint="eastAsia"/>
        </w:rPr>
        <w:t>ポイント上回る</w:t>
      </w:r>
      <w:r w:rsidR="003F2826">
        <w:rPr>
          <w:rFonts w:ascii="Century" w:eastAsia="ＭＳ 明朝" w:hAnsi="Century" w:cs="Times New Roman" w:hint="eastAsia"/>
        </w:rPr>
        <w:t>4</w:t>
      </w:r>
      <w:r w:rsidRPr="00515DA7">
        <w:rPr>
          <w:rFonts w:ascii="Century" w:eastAsia="ＭＳ 明朝" w:hAnsi="Century" w:cs="Times New Roman" w:hint="eastAsia"/>
        </w:rPr>
        <w:t>.30</w:t>
      </w:r>
      <w:r w:rsidR="00117AD7">
        <w:rPr>
          <w:rFonts w:ascii="Century" w:eastAsia="ＭＳ 明朝" w:hAnsi="Century" w:cs="Times New Roman" w:hint="eastAsia"/>
        </w:rPr>
        <w:t>％の</w:t>
      </w:r>
      <w:r w:rsidRPr="00515DA7">
        <w:rPr>
          <w:rFonts w:ascii="Century" w:eastAsia="ＭＳ 明朝" w:hAnsi="Century" w:cs="Times New Roman" w:hint="eastAsia"/>
        </w:rPr>
        <w:t>成長率を記録した。</w:t>
      </w:r>
    </w:p>
    <w:p w:rsidR="003F2826" w:rsidRPr="00515DA7" w:rsidRDefault="003F2826" w:rsidP="002A3986">
      <w:pPr>
        <w:jc w:val="left"/>
        <w:rPr>
          <w:rFonts w:ascii="Century" w:eastAsia="ＭＳ 明朝" w:hAnsi="Century" w:cs="Times New Roman"/>
        </w:rPr>
      </w:pPr>
      <w:r>
        <w:rPr>
          <w:rFonts w:ascii="Century" w:eastAsia="ＭＳ 明朝" w:hAnsi="Century" w:cs="Times New Roman" w:hint="eastAsia"/>
        </w:rPr>
        <w:t>●</w:t>
      </w:r>
      <w:r>
        <w:rPr>
          <w:rFonts w:ascii="Century" w:eastAsia="ＭＳ 明朝" w:hAnsi="Century" w:cs="Times New Roman" w:hint="eastAsia"/>
        </w:rPr>
        <w:t>4</w:t>
      </w:r>
      <w:r w:rsidR="0015268A">
        <w:rPr>
          <w:rFonts w:ascii="Century" w:eastAsia="ＭＳ 明朝" w:hAnsi="Century" w:cs="Times New Roman" w:hint="eastAsia"/>
        </w:rPr>
        <w:t>月も前述の産業において前年同期</w:t>
      </w:r>
      <w:r w:rsidR="007F32A9">
        <w:rPr>
          <w:rFonts w:ascii="Century" w:eastAsia="ＭＳ 明朝" w:hAnsi="Century" w:cs="Times New Roman" w:hint="eastAsia"/>
        </w:rPr>
        <w:t>の数値</w:t>
      </w:r>
      <w:r w:rsidR="0015268A">
        <w:rPr>
          <w:rFonts w:ascii="Century" w:eastAsia="ＭＳ 明朝" w:hAnsi="Century" w:cs="Times New Roman" w:hint="eastAsia"/>
        </w:rPr>
        <w:t>を上回る</w:t>
      </w:r>
      <w:r w:rsidR="007F32A9">
        <w:rPr>
          <w:rFonts w:ascii="Century" w:eastAsia="ＭＳ 明朝" w:hAnsi="Century" w:cs="Times New Roman" w:hint="eastAsia"/>
        </w:rPr>
        <w:t>成長率</w:t>
      </w:r>
      <w:r w:rsidR="00C753FE">
        <w:rPr>
          <w:rFonts w:ascii="Century" w:eastAsia="ＭＳ 明朝" w:hAnsi="Century" w:cs="Times New Roman" w:hint="eastAsia"/>
        </w:rPr>
        <w:t>を記録し、</w:t>
      </w:r>
      <w:r>
        <w:rPr>
          <w:rFonts w:ascii="Century" w:eastAsia="ＭＳ 明朝" w:hAnsi="Century" w:cs="Times New Roman" w:hint="eastAsia"/>
        </w:rPr>
        <w:t>全体で</w:t>
      </w:r>
      <w:r w:rsidR="00C753FE">
        <w:rPr>
          <w:rFonts w:ascii="Century" w:eastAsia="ＭＳ 明朝" w:hAnsi="Century" w:cs="Times New Roman" w:hint="eastAsia"/>
        </w:rPr>
        <w:t>は</w:t>
      </w:r>
      <w:r>
        <w:rPr>
          <w:rFonts w:ascii="Century" w:eastAsia="ＭＳ 明朝" w:hAnsi="Century" w:cs="Times New Roman" w:hint="eastAsia"/>
        </w:rPr>
        <w:t>昨年の値を</w:t>
      </w:r>
      <w:r>
        <w:rPr>
          <w:rFonts w:ascii="Century" w:eastAsia="ＭＳ 明朝" w:hAnsi="Century" w:cs="Times New Roman" w:hint="eastAsia"/>
        </w:rPr>
        <w:t>2.20</w:t>
      </w:r>
      <w:r>
        <w:rPr>
          <w:rFonts w:ascii="Century" w:eastAsia="ＭＳ 明朝" w:hAnsi="Century" w:cs="Times New Roman" w:hint="eastAsia"/>
        </w:rPr>
        <w:t>ポイント上回る</w:t>
      </w:r>
      <w:r>
        <w:rPr>
          <w:rFonts w:ascii="Century" w:eastAsia="ＭＳ 明朝" w:hAnsi="Century" w:cs="Times New Roman" w:hint="eastAsia"/>
        </w:rPr>
        <w:t>4.60</w:t>
      </w:r>
      <w:r w:rsidR="007F32A9">
        <w:rPr>
          <w:rFonts w:ascii="Century" w:eastAsia="ＭＳ 明朝" w:hAnsi="Century" w:cs="Times New Roman" w:hint="eastAsia"/>
        </w:rPr>
        <w:t>％の</w:t>
      </w:r>
      <w:r>
        <w:rPr>
          <w:rFonts w:ascii="Century" w:eastAsia="ＭＳ 明朝" w:hAnsi="Century" w:cs="Times New Roman" w:hint="eastAsia"/>
        </w:rPr>
        <w:t>成長率を記録した。</w:t>
      </w:r>
    </w:p>
    <w:p w:rsidR="00515DA7" w:rsidRPr="00515DA7" w:rsidRDefault="00515DA7" w:rsidP="002A3986">
      <w:pPr>
        <w:jc w:val="left"/>
        <w:rPr>
          <w:rFonts w:ascii="Century" w:eastAsia="ＭＳ 明朝" w:hAnsi="Century" w:cs="Times New Roman"/>
        </w:rPr>
      </w:pPr>
      <w:r w:rsidRPr="00515DA7">
        <w:rPr>
          <w:rFonts w:ascii="Century" w:eastAsia="ＭＳ 明朝" w:hAnsi="Century" w:cs="Times New Roman" w:hint="eastAsia"/>
        </w:rPr>
        <w:t>●</w:t>
      </w:r>
      <w:r w:rsidRPr="00515DA7">
        <w:rPr>
          <w:rFonts w:ascii="Century" w:eastAsia="ＭＳ 明朝" w:hAnsi="Century" w:cs="Times New Roman" w:hint="eastAsia"/>
        </w:rPr>
        <w:t>4</w:t>
      </w:r>
      <w:r w:rsidR="0015268A">
        <w:rPr>
          <w:rFonts w:ascii="Century" w:eastAsia="ＭＳ 明朝" w:hAnsi="Century" w:cs="Times New Roman" w:hint="eastAsia"/>
        </w:rPr>
        <w:t>月に</w:t>
      </w:r>
      <w:r w:rsidR="006F7500">
        <w:rPr>
          <w:rFonts w:ascii="Century" w:eastAsia="ＭＳ 明朝" w:hAnsi="Century" w:cs="Times New Roman" w:hint="eastAsia"/>
        </w:rPr>
        <w:t>インテル社は</w:t>
      </w:r>
      <w:r w:rsidRPr="00515DA7">
        <w:rPr>
          <w:rFonts w:ascii="Century" w:eastAsia="ＭＳ 明朝" w:hAnsi="Century" w:cs="Times New Roman" w:hint="eastAsia"/>
        </w:rPr>
        <w:t>コスタリカ</w:t>
      </w:r>
      <w:r w:rsidR="00D82390">
        <w:rPr>
          <w:rFonts w:ascii="Century" w:eastAsia="ＭＳ 明朝" w:hAnsi="Century" w:cs="Times New Roman" w:hint="eastAsia"/>
        </w:rPr>
        <w:t>における</w:t>
      </w:r>
      <w:r w:rsidRPr="00515DA7">
        <w:rPr>
          <w:rFonts w:ascii="Century" w:eastAsia="ＭＳ 明朝" w:hAnsi="Century" w:cs="Times New Roman" w:hint="eastAsia"/>
        </w:rPr>
        <w:t>生産部門</w:t>
      </w:r>
      <w:r w:rsidR="00D82390">
        <w:rPr>
          <w:rFonts w:ascii="Century" w:eastAsia="ＭＳ 明朝" w:hAnsi="Century" w:cs="Times New Roman" w:hint="eastAsia"/>
        </w:rPr>
        <w:t>の</w:t>
      </w:r>
      <w:r w:rsidRPr="00515DA7">
        <w:rPr>
          <w:rFonts w:ascii="Century" w:eastAsia="ＭＳ 明朝" w:hAnsi="Century" w:cs="Times New Roman" w:hint="eastAsia"/>
        </w:rPr>
        <w:t>閉鎖を発表し</w:t>
      </w:r>
      <w:r w:rsidR="0015268A">
        <w:rPr>
          <w:rFonts w:ascii="Century" w:eastAsia="ＭＳ 明朝" w:hAnsi="Century" w:cs="Times New Roman" w:hint="eastAsia"/>
        </w:rPr>
        <w:t>た</w:t>
      </w:r>
      <w:r w:rsidR="006F7500">
        <w:rPr>
          <w:rFonts w:ascii="Century" w:eastAsia="ＭＳ 明朝" w:hAnsi="Century" w:cs="Times New Roman" w:hint="eastAsia"/>
        </w:rPr>
        <w:t>。同</w:t>
      </w:r>
      <w:r w:rsidR="0015268A">
        <w:rPr>
          <w:rFonts w:ascii="Century" w:eastAsia="ＭＳ 明朝" w:hAnsi="Century" w:cs="Times New Roman" w:hint="eastAsia"/>
        </w:rPr>
        <w:t>社は</w:t>
      </w:r>
      <w:r w:rsidRPr="00515DA7">
        <w:rPr>
          <w:rFonts w:ascii="Century" w:eastAsia="ＭＳ 明朝" w:hAnsi="Century" w:cs="Times New Roman" w:hint="eastAsia"/>
        </w:rPr>
        <w:t>、</w:t>
      </w:r>
      <w:r w:rsidRPr="00515DA7">
        <w:rPr>
          <w:rFonts w:ascii="Century" w:eastAsia="ＭＳ 明朝" w:hAnsi="Century" w:cs="Times New Roman" w:hint="eastAsia"/>
        </w:rPr>
        <w:t>97</w:t>
      </w:r>
      <w:r w:rsidRPr="00515DA7">
        <w:rPr>
          <w:rFonts w:ascii="Century" w:eastAsia="ＭＳ 明朝" w:hAnsi="Century" w:cs="Times New Roman" w:hint="eastAsia"/>
        </w:rPr>
        <w:t>年から</w:t>
      </w:r>
      <w:r w:rsidRPr="00515DA7">
        <w:rPr>
          <w:rFonts w:ascii="Century" w:eastAsia="ＭＳ 明朝" w:hAnsi="Century" w:cs="Times New Roman" w:hint="eastAsia"/>
        </w:rPr>
        <w:t>2011</w:t>
      </w:r>
      <w:r w:rsidR="006F7500">
        <w:rPr>
          <w:rFonts w:ascii="Century" w:eastAsia="ＭＳ 明朝" w:hAnsi="Century" w:cs="Times New Roman" w:hint="eastAsia"/>
        </w:rPr>
        <w:t>年にかけて</w:t>
      </w:r>
      <w:r w:rsidR="0015268A">
        <w:rPr>
          <w:rFonts w:ascii="Century" w:eastAsia="ＭＳ 明朝" w:hAnsi="Century" w:cs="Times New Roman" w:hint="eastAsia"/>
        </w:rPr>
        <w:t>コスタリカへの外国</w:t>
      </w:r>
      <w:r w:rsidRPr="00515DA7">
        <w:rPr>
          <w:rFonts w:ascii="Century" w:eastAsia="ＭＳ 明朝" w:hAnsi="Century" w:cs="Times New Roman" w:hint="eastAsia"/>
        </w:rPr>
        <w:t>直接投資額の</w:t>
      </w:r>
      <w:r w:rsidRPr="00515DA7">
        <w:rPr>
          <w:rFonts w:ascii="Century" w:eastAsia="ＭＳ 明朝" w:hAnsi="Century" w:cs="Times New Roman" w:hint="eastAsia"/>
        </w:rPr>
        <w:t>3</w:t>
      </w:r>
      <w:r w:rsidRPr="00515DA7">
        <w:rPr>
          <w:rFonts w:ascii="Century" w:eastAsia="ＭＳ 明朝" w:hAnsi="Century" w:cs="Times New Roman" w:hint="eastAsia"/>
        </w:rPr>
        <w:t>～</w:t>
      </w:r>
      <w:r w:rsidRPr="00515DA7">
        <w:rPr>
          <w:rFonts w:ascii="Century" w:eastAsia="ＭＳ 明朝" w:hAnsi="Century" w:cs="Times New Roman" w:hint="eastAsia"/>
        </w:rPr>
        <w:t>6</w:t>
      </w:r>
      <w:r w:rsidRPr="00515DA7">
        <w:rPr>
          <w:rFonts w:ascii="Century" w:eastAsia="ＭＳ 明朝" w:hAnsi="Century" w:cs="Times New Roman" w:hint="eastAsia"/>
        </w:rPr>
        <w:t>％を</w:t>
      </w:r>
      <w:r w:rsidR="00D82390">
        <w:rPr>
          <w:rFonts w:ascii="Century" w:eastAsia="ＭＳ 明朝" w:hAnsi="Century" w:cs="Times New Roman" w:hint="eastAsia"/>
        </w:rPr>
        <w:t>占めており</w:t>
      </w:r>
      <w:r w:rsidRPr="00515DA7">
        <w:rPr>
          <w:rFonts w:ascii="Century" w:eastAsia="ＭＳ 明朝" w:hAnsi="Century" w:cs="Times New Roman" w:hint="eastAsia"/>
        </w:rPr>
        <w:t>、また</w:t>
      </w:r>
      <w:r w:rsidRPr="00515DA7">
        <w:rPr>
          <w:rFonts w:ascii="Century" w:eastAsia="ＭＳ 明朝" w:hAnsi="Century" w:cs="Times New Roman" w:hint="eastAsia"/>
        </w:rPr>
        <w:t>2012</w:t>
      </w:r>
      <w:r w:rsidRPr="00515DA7">
        <w:rPr>
          <w:rFonts w:ascii="Century" w:eastAsia="ＭＳ 明朝" w:hAnsi="Century" w:cs="Times New Roman" w:hint="eastAsia"/>
        </w:rPr>
        <w:t>年には</w:t>
      </w:r>
      <w:r w:rsidR="006F7500">
        <w:rPr>
          <w:rFonts w:ascii="Century" w:eastAsia="ＭＳ 明朝" w:hAnsi="Century" w:cs="Times New Roman" w:hint="eastAsia"/>
        </w:rPr>
        <w:t>その生産額が</w:t>
      </w:r>
      <w:r w:rsidRPr="00515DA7">
        <w:rPr>
          <w:rFonts w:ascii="Century" w:eastAsia="ＭＳ 明朝" w:hAnsi="Century" w:cs="Times New Roman" w:hint="eastAsia"/>
        </w:rPr>
        <w:t>GDP</w:t>
      </w:r>
      <w:r w:rsidRPr="00515DA7">
        <w:rPr>
          <w:rFonts w:ascii="Century" w:eastAsia="ＭＳ 明朝" w:hAnsi="Century" w:cs="Times New Roman" w:hint="eastAsia"/>
        </w:rPr>
        <w:t>の</w:t>
      </w:r>
      <w:r w:rsidRPr="00515DA7">
        <w:rPr>
          <w:rFonts w:ascii="Century" w:eastAsia="ＭＳ 明朝" w:hAnsi="Century" w:cs="Times New Roman" w:hint="eastAsia"/>
        </w:rPr>
        <w:t>6</w:t>
      </w:r>
      <w:r w:rsidRPr="00515DA7">
        <w:rPr>
          <w:rFonts w:ascii="Century" w:eastAsia="ＭＳ 明朝" w:hAnsi="Century" w:cs="Times New Roman" w:hint="eastAsia"/>
        </w:rPr>
        <w:t>％を</w:t>
      </w:r>
      <w:r w:rsidR="00D82390">
        <w:rPr>
          <w:rFonts w:ascii="Century" w:eastAsia="ＭＳ 明朝" w:hAnsi="Century" w:cs="Times New Roman" w:hint="eastAsia"/>
        </w:rPr>
        <w:t>占める</w:t>
      </w:r>
      <w:r w:rsidR="008014B5">
        <w:rPr>
          <w:rFonts w:ascii="Century" w:eastAsia="ＭＳ 明朝" w:hAnsi="Century" w:cs="Times New Roman" w:hint="eastAsia"/>
        </w:rPr>
        <w:t>な</w:t>
      </w:r>
      <w:r w:rsidR="00F9089C">
        <w:rPr>
          <w:rFonts w:ascii="Century" w:eastAsia="ＭＳ 明朝" w:hAnsi="Century" w:cs="Times New Roman" w:hint="eastAsia"/>
        </w:rPr>
        <w:t>ど国内</w:t>
      </w:r>
      <w:r w:rsidR="006F7500">
        <w:rPr>
          <w:rFonts w:ascii="Century" w:eastAsia="ＭＳ 明朝" w:hAnsi="Century" w:cs="Times New Roman" w:hint="eastAsia"/>
        </w:rPr>
        <w:t>製造業における</w:t>
      </w:r>
      <w:r w:rsidR="008014B5">
        <w:rPr>
          <w:rFonts w:ascii="Century" w:eastAsia="ＭＳ 明朝" w:hAnsi="Century" w:cs="Times New Roman" w:hint="eastAsia"/>
        </w:rPr>
        <w:t>代表的企業であった。そのため</w:t>
      </w:r>
      <w:r w:rsidRPr="00515DA7">
        <w:rPr>
          <w:rFonts w:ascii="Century" w:eastAsia="ＭＳ 明朝" w:hAnsi="Century" w:cs="Times New Roman" w:hint="eastAsia"/>
        </w:rPr>
        <w:t>、</w:t>
      </w:r>
      <w:r w:rsidR="008014B5">
        <w:rPr>
          <w:rFonts w:ascii="Century" w:eastAsia="ＭＳ 明朝" w:hAnsi="Century" w:cs="Times New Roman" w:hint="eastAsia"/>
        </w:rPr>
        <w:t>今回の同社の再編は、今後の国内製造業</w:t>
      </w:r>
      <w:r w:rsidR="00BB29E0">
        <w:rPr>
          <w:rFonts w:ascii="Century" w:eastAsia="ＭＳ 明朝" w:hAnsi="Century" w:cs="Times New Roman" w:hint="eastAsia"/>
        </w:rPr>
        <w:t>の</w:t>
      </w:r>
      <w:r w:rsidRPr="00515DA7">
        <w:rPr>
          <w:rFonts w:ascii="Century" w:eastAsia="ＭＳ 明朝" w:hAnsi="Century" w:cs="Times New Roman" w:hint="eastAsia"/>
        </w:rPr>
        <w:t>成長率に影響を及ぼす</w:t>
      </w:r>
      <w:r w:rsidR="008014B5">
        <w:rPr>
          <w:rFonts w:ascii="Century" w:eastAsia="ＭＳ 明朝" w:hAnsi="Century" w:cs="Times New Roman" w:hint="eastAsia"/>
        </w:rPr>
        <w:t>可能性がある</w:t>
      </w:r>
      <w:r w:rsidRPr="00515DA7">
        <w:rPr>
          <w:rFonts w:ascii="Century" w:eastAsia="ＭＳ 明朝" w:hAnsi="Century" w:cs="Times New Roman" w:hint="eastAsia"/>
        </w:rPr>
        <w:t>。</w:t>
      </w:r>
    </w:p>
    <w:p w:rsidR="00515DA7" w:rsidRPr="00515DA7" w:rsidRDefault="00073955" w:rsidP="00515DA7">
      <w:pPr>
        <w:rPr>
          <w:rFonts w:ascii="Century" w:eastAsia="ＭＳ 明朝" w:hAnsi="Century" w:cs="Times New Roman"/>
          <w:lang w:eastAsia="zh-TW"/>
        </w:rPr>
      </w:pPr>
      <w:r w:rsidRPr="00E202D2">
        <w:rPr>
          <w:b/>
          <w:noProof/>
        </w:rPr>
        <w:drawing>
          <wp:inline distT="0" distB="0" distL="0" distR="0" wp14:anchorId="780ECDFF" wp14:editId="6B01B5D5">
            <wp:extent cx="5400675" cy="3752850"/>
            <wp:effectExtent l="0" t="0" r="9525" b="1905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15DA7" w:rsidRDefault="00515DA7" w:rsidP="00515DA7">
      <w:pPr>
        <w:rPr>
          <w:rFonts w:ascii="Century" w:eastAsia="ＭＳ 明朝" w:hAnsi="Century" w:cs="Times New Roman"/>
        </w:rPr>
      </w:pPr>
    </w:p>
    <w:p w:rsidR="00515DA7" w:rsidRPr="00515DA7" w:rsidRDefault="00515DA7" w:rsidP="00515DA7">
      <w:pPr>
        <w:rPr>
          <w:rFonts w:ascii="Century" w:eastAsia="ＭＳ 明朝" w:hAnsi="Century" w:cs="Times New Roman"/>
        </w:rPr>
      </w:pPr>
      <w:r w:rsidRPr="00515DA7">
        <w:rPr>
          <w:rFonts w:ascii="Century" w:eastAsia="ＭＳ 明朝" w:hAnsi="Century" w:cs="Times New Roman"/>
        </w:rPr>
        <w:t>2</w:t>
      </w:r>
      <w:r w:rsidRPr="00515DA7">
        <w:rPr>
          <w:rFonts w:ascii="Century" w:eastAsia="ＭＳ 明朝" w:hAnsi="Century" w:cs="Times New Roman" w:hint="eastAsia"/>
        </w:rPr>
        <w:t xml:space="preserve">　貿易</w:t>
      </w:r>
    </w:p>
    <w:p w:rsidR="000925DD" w:rsidRDefault="00515DA7" w:rsidP="003759DC">
      <w:pPr>
        <w:jc w:val="left"/>
        <w:rPr>
          <w:rFonts w:ascii="Century" w:eastAsia="ＭＳ 明朝" w:hAnsi="Century" w:cs="Times New Roman"/>
          <w:color w:val="000000"/>
        </w:rPr>
      </w:pPr>
      <w:r w:rsidRPr="00515DA7">
        <w:rPr>
          <w:rFonts w:ascii="Century" w:eastAsia="ＭＳ 明朝" w:hAnsi="Century" w:cs="Times New Roman" w:hint="eastAsia"/>
        </w:rPr>
        <w:lastRenderedPageBreak/>
        <w:t>●</w:t>
      </w:r>
      <w:r w:rsidRPr="00515DA7">
        <w:rPr>
          <w:rFonts w:ascii="Century" w:eastAsia="ＭＳ 明朝" w:hAnsi="Century" w:cs="Times New Roman" w:hint="eastAsia"/>
          <w:color w:val="000000"/>
        </w:rPr>
        <w:t>貿易額</w:t>
      </w:r>
      <w:r w:rsidRPr="00515DA7">
        <w:rPr>
          <w:rFonts w:ascii="Century" w:eastAsia="ＭＳ 明朝" w:hAnsi="Century" w:cs="Times New Roman"/>
          <w:color w:val="000000"/>
        </w:rPr>
        <w:t>(</w:t>
      </w:r>
      <w:r w:rsidRPr="00515DA7">
        <w:rPr>
          <w:rFonts w:ascii="Century" w:eastAsia="ＭＳ 明朝" w:hAnsi="Century" w:cs="Times New Roman" w:hint="eastAsia"/>
          <w:color w:val="000000"/>
        </w:rPr>
        <w:t>表</w:t>
      </w:r>
      <w:r w:rsidRPr="00515DA7">
        <w:rPr>
          <w:rFonts w:ascii="Century" w:eastAsia="ＭＳ 明朝" w:hAnsi="Century" w:cs="Times New Roman"/>
          <w:color w:val="000000"/>
        </w:rPr>
        <w:t>2)</w:t>
      </w:r>
      <w:r w:rsidRPr="00515DA7">
        <w:rPr>
          <w:rFonts w:ascii="Century" w:eastAsia="ＭＳ 明朝" w:hAnsi="Century" w:cs="Times New Roman" w:hint="eastAsia"/>
          <w:color w:val="000000"/>
        </w:rPr>
        <w:t>に関し、輸入額は</w:t>
      </w:r>
      <w:r w:rsidRPr="00515DA7">
        <w:rPr>
          <w:rFonts w:ascii="Century" w:eastAsia="ＭＳ 明朝" w:hAnsi="Century" w:cs="Times New Roman" w:hint="eastAsia"/>
          <w:color w:val="000000"/>
        </w:rPr>
        <w:t>3</w:t>
      </w:r>
      <w:r w:rsidRPr="00515DA7">
        <w:rPr>
          <w:rFonts w:ascii="Century" w:eastAsia="ＭＳ 明朝" w:hAnsi="Century" w:cs="Times New Roman" w:hint="eastAsia"/>
          <w:color w:val="000000"/>
        </w:rPr>
        <w:t>月が</w:t>
      </w:r>
      <w:r w:rsidRPr="00515DA7">
        <w:rPr>
          <w:rFonts w:ascii="Century" w:eastAsia="ＭＳ 明朝" w:hAnsi="Century" w:cs="Times New Roman" w:hint="eastAsia"/>
          <w:color w:val="000000"/>
        </w:rPr>
        <w:t>1,607.1</w:t>
      </w:r>
      <w:r w:rsidRPr="00515DA7">
        <w:rPr>
          <w:rFonts w:ascii="Century" w:eastAsia="ＭＳ 明朝" w:hAnsi="Century" w:cs="Times New Roman" w:hint="eastAsia"/>
          <w:color w:val="000000"/>
        </w:rPr>
        <w:t>百万ドル</w:t>
      </w:r>
      <w:r w:rsidRPr="00515DA7">
        <w:rPr>
          <w:rFonts w:ascii="Century" w:eastAsia="ＭＳ 明朝" w:hAnsi="Century" w:cs="Times New Roman"/>
          <w:color w:val="000000"/>
        </w:rPr>
        <w:t>(</w:t>
      </w:r>
      <w:r w:rsidRPr="00515DA7">
        <w:rPr>
          <w:rFonts w:ascii="Century" w:eastAsia="ＭＳ 明朝" w:hAnsi="Century" w:cs="Times New Roman" w:hint="eastAsia"/>
          <w:color w:val="000000"/>
        </w:rPr>
        <w:t>前年比▲</w:t>
      </w:r>
      <w:r w:rsidRPr="00515DA7">
        <w:rPr>
          <w:rFonts w:ascii="Century" w:eastAsia="ＭＳ 明朝" w:hAnsi="Century" w:cs="Times New Roman" w:hint="eastAsia"/>
          <w:color w:val="000000"/>
        </w:rPr>
        <w:t>8.1</w:t>
      </w:r>
      <w:r w:rsidRPr="00515DA7">
        <w:rPr>
          <w:rFonts w:ascii="Century" w:eastAsia="ＭＳ 明朝" w:hAnsi="Century" w:cs="Times New Roman"/>
          <w:color w:val="000000"/>
        </w:rPr>
        <w:t>%)</w:t>
      </w:r>
      <w:r w:rsidRPr="00515DA7">
        <w:rPr>
          <w:rFonts w:ascii="Century" w:eastAsia="ＭＳ 明朝" w:hAnsi="Century" w:cs="Times New Roman" w:hint="eastAsia"/>
          <w:color w:val="000000"/>
        </w:rPr>
        <w:t>、</w:t>
      </w:r>
      <w:r w:rsidRPr="00515DA7">
        <w:rPr>
          <w:rFonts w:ascii="Century" w:eastAsia="ＭＳ 明朝" w:hAnsi="Century" w:cs="Times New Roman" w:hint="eastAsia"/>
          <w:color w:val="000000"/>
        </w:rPr>
        <w:t>4</w:t>
      </w:r>
      <w:r w:rsidRPr="00515DA7">
        <w:rPr>
          <w:rFonts w:ascii="Century" w:eastAsia="ＭＳ 明朝" w:hAnsi="Century" w:cs="Times New Roman" w:hint="eastAsia"/>
          <w:color w:val="000000"/>
        </w:rPr>
        <w:t>月が</w:t>
      </w:r>
      <w:r w:rsidRPr="00515DA7">
        <w:rPr>
          <w:rFonts w:ascii="Century" w:eastAsia="ＭＳ 明朝" w:hAnsi="Century" w:cs="Times New Roman" w:hint="eastAsia"/>
          <w:color w:val="000000"/>
        </w:rPr>
        <w:t>1,485.4</w:t>
      </w:r>
      <w:r w:rsidRPr="00515DA7">
        <w:rPr>
          <w:rFonts w:ascii="Century" w:eastAsia="ＭＳ 明朝" w:hAnsi="Century" w:cs="Times New Roman" w:hint="eastAsia"/>
          <w:color w:val="000000"/>
        </w:rPr>
        <w:t>百万ドル</w:t>
      </w:r>
      <w:r w:rsidRPr="00515DA7">
        <w:rPr>
          <w:rFonts w:ascii="Century" w:eastAsia="ＭＳ 明朝" w:hAnsi="Century" w:cs="Times New Roman"/>
          <w:color w:val="000000"/>
        </w:rPr>
        <w:t>(</w:t>
      </w:r>
      <w:r w:rsidRPr="00515DA7">
        <w:rPr>
          <w:rFonts w:ascii="Century" w:eastAsia="ＭＳ 明朝" w:hAnsi="Century" w:cs="Times New Roman" w:hint="eastAsia"/>
          <w:color w:val="000000"/>
        </w:rPr>
        <w:t>前年比プラス</w:t>
      </w:r>
      <w:r w:rsidRPr="00515DA7">
        <w:rPr>
          <w:rFonts w:ascii="Century" w:eastAsia="ＭＳ 明朝" w:hAnsi="Century" w:cs="Times New Roman" w:hint="eastAsia"/>
          <w:color w:val="000000"/>
        </w:rPr>
        <w:t>8.1</w:t>
      </w:r>
      <w:r w:rsidRPr="00515DA7">
        <w:rPr>
          <w:rFonts w:ascii="Century" w:eastAsia="ＭＳ 明朝" w:hAnsi="Century" w:cs="Times New Roman" w:hint="eastAsia"/>
          <w:color w:val="000000"/>
        </w:rPr>
        <w:t>％</w:t>
      </w:r>
      <w:r w:rsidRPr="00515DA7">
        <w:rPr>
          <w:rFonts w:ascii="Century" w:eastAsia="ＭＳ 明朝" w:hAnsi="Century" w:cs="Times New Roman"/>
          <w:color w:val="000000"/>
        </w:rPr>
        <w:t>)</w:t>
      </w:r>
      <w:r w:rsidRPr="00515DA7">
        <w:rPr>
          <w:rFonts w:ascii="Century" w:eastAsia="ＭＳ 明朝" w:hAnsi="Century" w:cs="Times New Roman" w:hint="eastAsia"/>
          <w:color w:val="000000"/>
        </w:rPr>
        <w:t>となった。輸出額は</w:t>
      </w:r>
      <w:r w:rsidRPr="00515DA7">
        <w:rPr>
          <w:rFonts w:ascii="Century" w:eastAsia="ＭＳ 明朝" w:hAnsi="Century" w:cs="Times New Roman" w:hint="eastAsia"/>
          <w:color w:val="000000"/>
        </w:rPr>
        <w:t>3</w:t>
      </w:r>
      <w:r w:rsidRPr="00515DA7">
        <w:rPr>
          <w:rFonts w:ascii="Century" w:eastAsia="ＭＳ 明朝" w:hAnsi="Century" w:cs="Times New Roman" w:hint="eastAsia"/>
          <w:color w:val="000000"/>
        </w:rPr>
        <w:t>月が</w:t>
      </w:r>
      <w:r w:rsidRPr="00515DA7">
        <w:rPr>
          <w:rFonts w:ascii="Century" w:eastAsia="ＭＳ 明朝" w:hAnsi="Century" w:cs="Times New Roman" w:hint="eastAsia"/>
          <w:color w:val="000000"/>
        </w:rPr>
        <w:t>1,021.7</w:t>
      </w:r>
      <w:r w:rsidRPr="00515DA7">
        <w:rPr>
          <w:rFonts w:ascii="Century" w:eastAsia="ＭＳ 明朝" w:hAnsi="Century" w:cs="Times New Roman" w:hint="eastAsia"/>
          <w:color w:val="000000"/>
        </w:rPr>
        <w:t>百万ドル</w:t>
      </w:r>
      <w:r w:rsidRPr="00515DA7">
        <w:rPr>
          <w:rFonts w:ascii="Century" w:eastAsia="ＭＳ 明朝" w:hAnsi="Century" w:cs="Times New Roman"/>
          <w:color w:val="000000"/>
        </w:rPr>
        <w:t>(</w:t>
      </w:r>
      <w:r w:rsidRPr="00515DA7">
        <w:rPr>
          <w:rFonts w:ascii="Century" w:eastAsia="ＭＳ 明朝" w:hAnsi="Century" w:cs="Times New Roman" w:hint="eastAsia"/>
          <w:color w:val="000000"/>
        </w:rPr>
        <w:t>前年比プラス</w:t>
      </w:r>
      <w:r w:rsidRPr="00515DA7">
        <w:rPr>
          <w:rFonts w:ascii="Century" w:eastAsia="ＭＳ 明朝" w:hAnsi="Century" w:cs="Times New Roman" w:hint="eastAsia"/>
          <w:color w:val="000000"/>
        </w:rPr>
        <w:t>0.6</w:t>
      </w:r>
      <w:r w:rsidRPr="00515DA7">
        <w:rPr>
          <w:rFonts w:ascii="Century" w:eastAsia="ＭＳ 明朝" w:hAnsi="Century" w:cs="Times New Roman"/>
          <w:color w:val="000000"/>
        </w:rPr>
        <w:t>%)</w:t>
      </w:r>
      <w:r w:rsidRPr="00515DA7">
        <w:rPr>
          <w:rFonts w:ascii="Century" w:eastAsia="ＭＳ 明朝" w:hAnsi="Century" w:cs="Times New Roman" w:hint="eastAsia"/>
          <w:color w:val="000000"/>
        </w:rPr>
        <w:t>、</w:t>
      </w:r>
      <w:r w:rsidRPr="00515DA7">
        <w:rPr>
          <w:rFonts w:ascii="Century" w:eastAsia="ＭＳ 明朝" w:hAnsi="Century" w:cs="Times New Roman" w:hint="eastAsia"/>
          <w:color w:val="000000"/>
        </w:rPr>
        <w:t>4</w:t>
      </w:r>
      <w:r w:rsidRPr="00515DA7">
        <w:rPr>
          <w:rFonts w:ascii="Century" w:eastAsia="ＭＳ 明朝" w:hAnsi="Century" w:cs="Times New Roman" w:hint="eastAsia"/>
          <w:color w:val="000000"/>
        </w:rPr>
        <w:t>月が</w:t>
      </w:r>
      <w:r w:rsidRPr="00515DA7">
        <w:rPr>
          <w:rFonts w:ascii="Century" w:eastAsia="ＭＳ 明朝" w:hAnsi="Century" w:cs="Times New Roman" w:hint="eastAsia"/>
          <w:color w:val="000000"/>
        </w:rPr>
        <w:t>986.3</w:t>
      </w:r>
      <w:r w:rsidRPr="00515DA7">
        <w:rPr>
          <w:rFonts w:ascii="Century" w:eastAsia="ＭＳ 明朝" w:hAnsi="Century" w:cs="Times New Roman" w:hint="eastAsia"/>
          <w:color w:val="000000"/>
        </w:rPr>
        <w:t>百万ドル</w:t>
      </w:r>
      <w:r w:rsidRPr="00515DA7">
        <w:rPr>
          <w:rFonts w:ascii="Century" w:eastAsia="ＭＳ 明朝" w:hAnsi="Century" w:cs="Times New Roman"/>
          <w:color w:val="000000"/>
        </w:rPr>
        <w:t>(</w:t>
      </w:r>
      <w:r w:rsidRPr="00515DA7">
        <w:rPr>
          <w:rFonts w:ascii="Century" w:eastAsia="ＭＳ 明朝" w:hAnsi="Century" w:cs="Times New Roman" w:hint="eastAsia"/>
          <w:color w:val="000000"/>
        </w:rPr>
        <w:t>前年比▲</w:t>
      </w:r>
      <w:r w:rsidRPr="00515DA7">
        <w:rPr>
          <w:rFonts w:ascii="Century" w:eastAsia="ＭＳ 明朝" w:hAnsi="Century" w:cs="Times New Roman" w:hint="eastAsia"/>
          <w:color w:val="000000"/>
        </w:rPr>
        <w:t>1.6</w:t>
      </w:r>
      <w:r w:rsidRPr="00515DA7">
        <w:rPr>
          <w:rFonts w:ascii="Century" w:eastAsia="ＭＳ 明朝" w:hAnsi="Century" w:cs="Times New Roman" w:hint="eastAsia"/>
          <w:color w:val="000000"/>
        </w:rPr>
        <w:t>％</w:t>
      </w:r>
      <w:r w:rsidRPr="00515DA7">
        <w:rPr>
          <w:rFonts w:ascii="Century" w:eastAsia="ＭＳ 明朝" w:hAnsi="Century" w:cs="Times New Roman"/>
          <w:color w:val="000000"/>
        </w:rPr>
        <w:t>)</w:t>
      </w:r>
      <w:r w:rsidRPr="00515DA7">
        <w:rPr>
          <w:rFonts w:ascii="Century" w:eastAsia="ＭＳ 明朝" w:hAnsi="Century" w:cs="Times New Roman" w:hint="eastAsia"/>
          <w:color w:val="000000"/>
        </w:rPr>
        <w:t>となった。</w:t>
      </w:r>
    </w:p>
    <w:p w:rsidR="00515DA7" w:rsidRPr="00515DA7" w:rsidRDefault="000925DD" w:rsidP="003759DC">
      <w:pPr>
        <w:jc w:val="left"/>
        <w:rPr>
          <w:rFonts w:ascii="Century" w:eastAsia="ＭＳ 明朝" w:hAnsi="Century" w:cs="Times New Roman"/>
          <w:color w:val="000000"/>
        </w:rPr>
      </w:pPr>
      <w:r>
        <w:rPr>
          <w:rFonts w:ascii="Century" w:eastAsia="ＭＳ 明朝" w:hAnsi="Century" w:cs="Times New Roman" w:hint="eastAsia"/>
          <w:color w:val="000000"/>
        </w:rPr>
        <w:t>●</w:t>
      </w:r>
      <w:r w:rsidR="00515DA7" w:rsidRPr="00515DA7">
        <w:rPr>
          <w:rFonts w:ascii="Century" w:eastAsia="ＭＳ 明朝" w:hAnsi="Century" w:cs="Times New Roman" w:hint="eastAsia"/>
          <w:color w:val="000000"/>
        </w:rPr>
        <w:t>累積輸入及び輸出額</w:t>
      </w:r>
      <w:r w:rsidR="00515DA7" w:rsidRPr="00515DA7">
        <w:rPr>
          <w:rFonts w:ascii="Century" w:eastAsia="ＭＳ 明朝" w:hAnsi="Century" w:cs="Times New Roman"/>
          <w:color w:val="000000"/>
        </w:rPr>
        <w:t>(</w:t>
      </w:r>
      <w:r w:rsidR="00515DA7" w:rsidRPr="00515DA7">
        <w:rPr>
          <w:rFonts w:ascii="Century" w:eastAsia="ＭＳ 明朝" w:hAnsi="Century" w:cs="Times New Roman" w:hint="eastAsia"/>
          <w:color w:val="000000"/>
        </w:rPr>
        <w:t>表</w:t>
      </w:r>
      <w:r>
        <w:rPr>
          <w:rFonts w:ascii="Century" w:eastAsia="ＭＳ 明朝" w:hAnsi="Century" w:cs="Times New Roman" w:hint="eastAsia"/>
          <w:color w:val="000000"/>
        </w:rPr>
        <w:t>3,</w:t>
      </w:r>
      <w:r w:rsidR="00515DA7" w:rsidRPr="00515DA7">
        <w:rPr>
          <w:rFonts w:ascii="Century" w:eastAsia="ＭＳ 明朝" w:hAnsi="Century" w:cs="Times New Roman"/>
          <w:color w:val="000000"/>
        </w:rPr>
        <w:t>4)</w:t>
      </w:r>
      <w:r w:rsidR="00515DA7" w:rsidRPr="00515DA7">
        <w:rPr>
          <w:rFonts w:ascii="Century" w:eastAsia="ＭＳ 明朝" w:hAnsi="Century" w:cs="Times New Roman" w:hint="eastAsia"/>
          <w:color w:val="000000"/>
        </w:rPr>
        <w:t>は</w:t>
      </w:r>
      <w:r>
        <w:rPr>
          <w:rFonts w:ascii="Century" w:eastAsia="ＭＳ 明朝" w:hAnsi="Century" w:cs="Times New Roman" w:hint="eastAsia"/>
          <w:color w:val="000000"/>
        </w:rPr>
        <w:t>3</w:t>
      </w:r>
      <w:r>
        <w:rPr>
          <w:rFonts w:ascii="Century" w:eastAsia="ＭＳ 明朝" w:hAnsi="Century" w:cs="Times New Roman" w:hint="eastAsia"/>
          <w:color w:val="000000"/>
        </w:rPr>
        <w:t>月に各</w:t>
      </w:r>
      <w:r>
        <w:rPr>
          <w:rFonts w:ascii="Century" w:eastAsia="ＭＳ 明朝" w:hAnsi="Century" w:cs="Times New Roman" w:hint="eastAsia"/>
          <w:color w:val="000000"/>
        </w:rPr>
        <w:t>4,501.3</w:t>
      </w:r>
      <w:r>
        <w:rPr>
          <w:rFonts w:ascii="Century" w:eastAsia="ＭＳ 明朝" w:hAnsi="Century" w:cs="Times New Roman" w:hint="eastAsia"/>
          <w:color w:val="000000"/>
        </w:rPr>
        <w:t>百万ドル、</w:t>
      </w:r>
      <w:r>
        <w:rPr>
          <w:rFonts w:ascii="Century" w:eastAsia="ＭＳ 明朝" w:hAnsi="Century" w:cs="Times New Roman" w:hint="eastAsia"/>
          <w:color w:val="000000"/>
        </w:rPr>
        <w:t>2,848.1</w:t>
      </w:r>
      <w:r>
        <w:rPr>
          <w:rFonts w:ascii="Century" w:eastAsia="ＭＳ 明朝" w:hAnsi="Century" w:cs="Times New Roman" w:hint="eastAsia"/>
          <w:color w:val="000000"/>
        </w:rPr>
        <w:t>百万ドルとなり、</w:t>
      </w:r>
      <w:r>
        <w:rPr>
          <w:rFonts w:ascii="Century" w:eastAsia="ＭＳ 明朝" w:hAnsi="Century" w:cs="Times New Roman" w:hint="eastAsia"/>
          <w:color w:val="000000"/>
        </w:rPr>
        <w:t>4</w:t>
      </w:r>
      <w:r>
        <w:rPr>
          <w:rFonts w:ascii="Century" w:eastAsia="ＭＳ 明朝" w:hAnsi="Century" w:cs="Times New Roman" w:hint="eastAsia"/>
          <w:color w:val="000000"/>
        </w:rPr>
        <w:t>月</w:t>
      </w:r>
      <w:r w:rsidR="007B112C">
        <w:rPr>
          <w:rFonts w:ascii="Century" w:eastAsia="ＭＳ 明朝" w:hAnsi="Century" w:cs="Times New Roman" w:hint="eastAsia"/>
          <w:color w:val="000000"/>
        </w:rPr>
        <w:t>に</w:t>
      </w:r>
      <w:r>
        <w:rPr>
          <w:rFonts w:ascii="Century" w:eastAsia="ＭＳ 明朝" w:hAnsi="Century" w:cs="Times New Roman" w:hint="eastAsia"/>
          <w:color w:val="000000"/>
        </w:rPr>
        <w:t>は</w:t>
      </w:r>
      <w:r w:rsidR="00515DA7" w:rsidRPr="00515DA7">
        <w:rPr>
          <w:rFonts w:ascii="Century" w:eastAsia="ＭＳ 明朝" w:hAnsi="Century" w:cs="Times New Roman" w:hint="eastAsia"/>
          <w:color w:val="000000"/>
        </w:rPr>
        <w:t>各</w:t>
      </w:r>
      <w:r w:rsidR="00515DA7" w:rsidRPr="00515DA7">
        <w:rPr>
          <w:rFonts w:ascii="Century" w:eastAsia="ＭＳ 明朝" w:hAnsi="Century" w:cs="Times New Roman" w:hint="eastAsia"/>
          <w:color w:val="000000"/>
        </w:rPr>
        <w:t>5,980.5</w:t>
      </w:r>
      <w:r w:rsidR="00515DA7" w:rsidRPr="00515DA7">
        <w:rPr>
          <w:rFonts w:ascii="Century" w:eastAsia="ＭＳ 明朝" w:hAnsi="Century" w:cs="Times New Roman" w:hint="eastAsia"/>
          <w:color w:val="000000"/>
        </w:rPr>
        <w:t>百万ドル、</w:t>
      </w:r>
      <w:r w:rsidR="00515DA7" w:rsidRPr="00515DA7">
        <w:rPr>
          <w:rFonts w:ascii="Century" w:eastAsia="ＭＳ 明朝" w:hAnsi="Century" w:cs="Times New Roman" w:hint="eastAsia"/>
          <w:color w:val="000000"/>
        </w:rPr>
        <w:t>3,829.6</w:t>
      </w:r>
      <w:r w:rsidR="00515DA7" w:rsidRPr="00515DA7">
        <w:rPr>
          <w:rFonts w:ascii="Century" w:eastAsia="ＭＳ 明朝" w:hAnsi="Century" w:cs="Times New Roman" w:hint="eastAsia"/>
          <w:color w:val="000000"/>
        </w:rPr>
        <w:t>百万ドルとなった。貿易収支は、</w:t>
      </w:r>
      <w:r w:rsidR="0097235A">
        <w:rPr>
          <w:rFonts w:ascii="Century" w:eastAsia="ＭＳ 明朝" w:hAnsi="Century" w:cs="Times New Roman" w:hint="eastAsia"/>
          <w:color w:val="000000"/>
        </w:rPr>
        <w:t>3</w:t>
      </w:r>
      <w:r w:rsidR="0097235A">
        <w:rPr>
          <w:rFonts w:ascii="Century" w:eastAsia="ＭＳ 明朝" w:hAnsi="Century" w:cs="Times New Roman" w:hint="eastAsia"/>
          <w:color w:val="000000"/>
        </w:rPr>
        <w:t>月時点で▲</w:t>
      </w:r>
      <w:r w:rsidR="0097235A">
        <w:rPr>
          <w:rFonts w:ascii="Century" w:eastAsia="ＭＳ 明朝" w:hAnsi="Century" w:cs="Times New Roman" w:hint="eastAsia"/>
          <w:color w:val="000000"/>
        </w:rPr>
        <w:t>1,653.2</w:t>
      </w:r>
      <w:r w:rsidR="0097235A">
        <w:rPr>
          <w:rFonts w:ascii="Century" w:eastAsia="ＭＳ 明朝" w:hAnsi="Century" w:cs="Times New Roman" w:hint="eastAsia"/>
          <w:color w:val="000000"/>
        </w:rPr>
        <w:t>百万ドルで前年同期比</w:t>
      </w:r>
      <w:r w:rsidR="00252C1D">
        <w:rPr>
          <w:rFonts w:ascii="Century" w:eastAsia="ＭＳ 明朝" w:hAnsi="Century" w:cs="Times New Roman" w:hint="eastAsia"/>
          <w:color w:val="000000"/>
        </w:rPr>
        <w:t>7.8</w:t>
      </w:r>
      <w:r w:rsidR="00252C1D">
        <w:rPr>
          <w:rFonts w:ascii="Century" w:eastAsia="ＭＳ 明朝" w:hAnsi="Century" w:cs="Times New Roman" w:hint="eastAsia"/>
          <w:color w:val="000000"/>
        </w:rPr>
        <w:t>％増</w:t>
      </w:r>
      <w:r w:rsidR="007B112C">
        <w:rPr>
          <w:rFonts w:ascii="Century" w:eastAsia="ＭＳ 明朝" w:hAnsi="Century" w:cs="Times New Roman" w:hint="eastAsia"/>
          <w:color w:val="000000"/>
        </w:rPr>
        <w:t>となった。</w:t>
      </w:r>
      <w:r w:rsidR="00515DA7" w:rsidRPr="00515DA7">
        <w:rPr>
          <w:rFonts w:ascii="Century" w:eastAsia="ＭＳ 明朝" w:hAnsi="Century" w:cs="Times New Roman" w:hint="eastAsia"/>
          <w:color w:val="000000"/>
        </w:rPr>
        <w:t>4</w:t>
      </w:r>
      <w:r w:rsidR="006448B3">
        <w:rPr>
          <w:rFonts w:ascii="Century" w:eastAsia="ＭＳ 明朝" w:hAnsi="Century" w:cs="Times New Roman" w:hint="eastAsia"/>
          <w:color w:val="000000"/>
        </w:rPr>
        <w:t>月</w:t>
      </w:r>
      <w:r w:rsidR="007B112C">
        <w:rPr>
          <w:rFonts w:ascii="Century" w:eastAsia="ＭＳ 明朝" w:hAnsi="Century" w:cs="Times New Roman" w:hint="eastAsia"/>
          <w:color w:val="000000"/>
        </w:rPr>
        <w:t>の貿易収支は</w:t>
      </w:r>
      <w:r w:rsidR="007B112C" w:rsidRPr="007B112C">
        <w:rPr>
          <w:rFonts w:ascii="Century" w:eastAsia="ＭＳ 明朝" w:hAnsi="Century" w:cs="Times New Roman" w:hint="eastAsia"/>
          <w:color w:val="000000"/>
        </w:rPr>
        <w:t>▲</w:t>
      </w:r>
      <w:r w:rsidR="007B112C" w:rsidRPr="007B112C">
        <w:rPr>
          <w:rFonts w:ascii="Century" w:eastAsia="ＭＳ 明朝" w:hAnsi="Century" w:cs="Times New Roman" w:hint="eastAsia"/>
          <w:color w:val="000000"/>
        </w:rPr>
        <w:t>2,150.9</w:t>
      </w:r>
      <w:r w:rsidR="00A41CCF">
        <w:rPr>
          <w:rFonts w:ascii="Century" w:eastAsia="ＭＳ 明朝" w:hAnsi="Century" w:cs="Times New Roman" w:hint="eastAsia"/>
          <w:color w:val="000000"/>
        </w:rPr>
        <w:t>百万ドル</w:t>
      </w:r>
      <w:r w:rsidR="006448B3">
        <w:rPr>
          <w:rFonts w:ascii="Century" w:eastAsia="ＭＳ 明朝" w:hAnsi="Century" w:cs="Times New Roman" w:hint="eastAsia"/>
          <w:color w:val="000000"/>
        </w:rPr>
        <w:t>を記録し</w:t>
      </w:r>
      <w:r w:rsidR="007B112C">
        <w:rPr>
          <w:rFonts w:ascii="Century" w:eastAsia="ＭＳ 明朝" w:hAnsi="Century" w:cs="Times New Roman" w:hint="eastAsia"/>
          <w:color w:val="000000"/>
        </w:rPr>
        <w:t>、</w:t>
      </w:r>
      <w:r w:rsidR="00A41CCF" w:rsidRPr="00A41CCF">
        <w:rPr>
          <w:rFonts w:ascii="Century" w:eastAsia="ＭＳ 明朝" w:hAnsi="Century" w:cs="Times New Roman" w:hint="eastAsia"/>
          <w:color w:val="000000"/>
        </w:rPr>
        <w:t>輸入額が前年</w:t>
      </w:r>
      <w:r w:rsidR="006448B3">
        <w:rPr>
          <w:rFonts w:ascii="Century" w:eastAsia="ＭＳ 明朝" w:hAnsi="Century" w:cs="Times New Roman" w:hint="eastAsia"/>
          <w:color w:val="000000"/>
        </w:rPr>
        <w:t>同期</w:t>
      </w:r>
      <w:r w:rsidR="00A41CCF" w:rsidRPr="00A41CCF">
        <w:rPr>
          <w:rFonts w:ascii="Century" w:eastAsia="ＭＳ 明朝" w:hAnsi="Century" w:cs="Times New Roman" w:hint="eastAsia"/>
          <w:color w:val="000000"/>
        </w:rPr>
        <w:t>から</w:t>
      </w:r>
      <w:r w:rsidR="00A41CCF" w:rsidRPr="00A41CCF">
        <w:rPr>
          <w:rFonts w:ascii="Century" w:eastAsia="ＭＳ 明朝" w:hAnsi="Century" w:cs="Times New Roman" w:hint="eastAsia"/>
          <w:color w:val="000000"/>
        </w:rPr>
        <w:t>120</w:t>
      </w:r>
      <w:r w:rsidR="00A41CCF" w:rsidRPr="00A41CCF">
        <w:rPr>
          <w:rFonts w:ascii="Century" w:eastAsia="ＭＳ 明朝" w:hAnsi="Century" w:cs="Times New Roman" w:hint="eastAsia"/>
          <w:color w:val="000000"/>
        </w:rPr>
        <w:t>百万ドル近く落ち込んだ</w:t>
      </w:r>
      <w:r w:rsidR="00A41CCF">
        <w:rPr>
          <w:rFonts w:ascii="Century" w:eastAsia="ＭＳ 明朝" w:hAnsi="Century" w:cs="Times New Roman" w:hint="eastAsia"/>
          <w:color w:val="000000"/>
        </w:rPr>
        <w:t>こと</w:t>
      </w:r>
      <w:r w:rsidR="006448B3">
        <w:rPr>
          <w:rFonts w:ascii="Century" w:eastAsia="ＭＳ 明朝" w:hAnsi="Century" w:cs="Times New Roman" w:hint="eastAsia"/>
          <w:color w:val="000000"/>
        </w:rPr>
        <w:t>により、赤字</w:t>
      </w:r>
      <w:r w:rsidR="00F118DD">
        <w:rPr>
          <w:rFonts w:ascii="Century" w:eastAsia="ＭＳ 明朝" w:hAnsi="Century" w:cs="Times New Roman" w:hint="eastAsia"/>
          <w:color w:val="000000"/>
        </w:rPr>
        <w:t>額は</w:t>
      </w:r>
      <w:r w:rsidR="00515DA7" w:rsidRPr="00515DA7">
        <w:rPr>
          <w:rFonts w:ascii="Century" w:eastAsia="ＭＳ 明朝" w:hAnsi="Century" w:cs="Times New Roman" w:hint="eastAsia"/>
          <w:color w:val="000000"/>
        </w:rPr>
        <w:t>前年同期比</w:t>
      </w:r>
      <w:r w:rsidR="00515DA7" w:rsidRPr="00515DA7">
        <w:rPr>
          <w:rFonts w:ascii="Century" w:eastAsia="ＭＳ 明朝" w:hAnsi="Century" w:cs="Times New Roman" w:hint="eastAsia"/>
          <w:color w:val="000000"/>
        </w:rPr>
        <w:t>0.3</w:t>
      </w:r>
      <w:r w:rsidR="00515DA7" w:rsidRPr="00515DA7">
        <w:rPr>
          <w:rFonts w:ascii="Century" w:eastAsia="ＭＳ 明朝" w:hAnsi="Century" w:cs="Times New Roman" w:hint="eastAsia"/>
          <w:color w:val="000000"/>
        </w:rPr>
        <w:t>％増</w:t>
      </w:r>
      <w:r w:rsidR="007B112C">
        <w:rPr>
          <w:rFonts w:ascii="Century" w:eastAsia="ＭＳ 明朝" w:hAnsi="Century" w:cs="Times New Roman" w:hint="eastAsia"/>
          <w:color w:val="000000"/>
        </w:rPr>
        <w:t>にとどまっ</w:t>
      </w:r>
      <w:r w:rsidR="00A41CCF">
        <w:rPr>
          <w:rFonts w:ascii="Century" w:eastAsia="ＭＳ 明朝" w:hAnsi="Century" w:cs="Times New Roman" w:hint="eastAsia"/>
          <w:color w:val="000000"/>
        </w:rPr>
        <w:t>た</w:t>
      </w:r>
      <w:r w:rsidR="00515DA7" w:rsidRPr="00515DA7">
        <w:rPr>
          <w:rFonts w:ascii="Century" w:eastAsia="ＭＳ 明朝" w:hAnsi="Century" w:cs="Times New Roman" w:hint="eastAsia"/>
          <w:color w:val="000000"/>
        </w:rPr>
        <w:t>。</w:t>
      </w:r>
    </w:p>
    <w:p w:rsidR="00C83A7A" w:rsidRDefault="00515DA7" w:rsidP="003759DC">
      <w:pPr>
        <w:jc w:val="left"/>
        <w:rPr>
          <w:rFonts w:ascii="Century" w:eastAsia="ＭＳ 明朝" w:hAnsi="Century" w:cs="Times New Roman"/>
        </w:rPr>
      </w:pPr>
      <w:r w:rsidRPr="00007306">
        <w:rPr>
          <w:rFonts w:ascii="Century" w:eastAsia="ＭＳ 明朝" w:hAnsi="Century" w:cs="Times New Roman" w:hint="eastAsia"/>
        </w:rPr>
        <w:t>●</w:t>
      </w:r>
      <w:r w:rsidR="00C60D10" w:rsidRPr="00007306">
        <w:rPr>
          <w:rFonts w:ascii="Century" w:eastAsia="ＭＳ 明朝" w:hAnsi="Century" w:cs="Times New Roman" w:hint="eastAsia"/>
        </w:rPr>
        <w:t>ドル高</w:t>
      </w:r>
      <w:r w:rsidR="004B5B47" w:rsidRPr="00007306">
        <w:rPr>
          <w:rFonts w:ascii="Century" w:eastAsia="ＭＳ 明朝" w:hAnsi="Century" w:cs="Times New Roman" w:hint="eastAsia"/>
        </w:rPr>
        <w:t>コロン安</w:t>
      </w:r>
      <w:r w:rsidR="00C60D10" w:rsidRPr="00007306">
        <w:rPr>
          <w:rFonts w:ascii="Century" w:eastAsia="ＭＳ 明朝" w:hAnsi="Century" w:cs="Times New Roman" w:hint="eastAsia"/>
        </w:rPr>
        <w:t>のプラスの作用として、国内製品の輸出増大が期待されているが、</w:t>
      </w:r>
      <w:r w:rsidR="00C60D10" w:rsidRPr="00007306">
        <w:rPr>
          <w:rFonts w:ascii="Century" w:eastAsia="ＭＳ 明朝" w:hAnsi="Century" w:cs="Times New Roman" w:hint="eastAsia"/>
        </w:rPr>
        <w:t>3-4</w:t>
      </w:r>
      <w:r w:rsidR="00C60D10" w:rsidRPr="00007306">
        <w:rPr>
          <w:rFonts w:ascii="Century" w:eastAsia="ＭＳ 明朝" w:hAnsi="Century" w:cs="Times New Roman" w:hint="eastAsia"/>
        </w:rPr>
        <w:t>月時点では前年同期の値と比較して顕著な</w:t>
      </w:r>
      <w:r w:rsidR="00C83A7A">
        <w:rPr>
          <w:rFonts w:ascii="Century" w:eastAsia="ＭＳ 明朝" w:hAnsi="Century" w:cs="Times New Roman" w:hint="eastAsia"/>
        </w:rPr>
        <w:t>輸出</w:t>
      </w:r>
      <w:r w:rsidR="00007306" w:rsidRPr="00007306">
        <w:rPr>
          <w:rFonts w:ascii="Century" w:eastAsia="ＭＳ 明朝" w:hAnsi="Century" w:cs="Times New Roman" w:hint="eastAsia"/>
        </w:rPr>
        <w:t>額</w:t>
      </w:r>
      <w:r w:rsidR="00C60D10" w:rsidRPr="00007306">
        <w:rPr>
          <w:rFonts w:ascii="Century" w:eastAsia="ＭＳ 明朝" w:hAnsi="Century" w:cs="Times New Roman" w:hint="eastAsia"/>
        </w:rPr>
        <w:t>増加は見られない。</w:t>
      </w:r>
      <w:r w:rsidR="00C511F2">
        <w:rPr>
          <w:rFonts w:ascii="Century" w:eastAsia="ＭＳ 明朝" w:hAnsi="Century" w:cs="Times New Roman" w:hint="eastAsia"/>
        </w:rPr>
        <w:t>その傾向は</w:t>
      </w:r>
      <w:r w:rsidR="00FF2A71">
        <w:rPr>
          <w:rFonts w:ascii="Century" w:eastAsia="ＭＳ 明朝" w:hAnsi="Century" w:cs="Times New Roman" w:hint="eastAsia"/>
        </w:rPr>
        <w:t>貿易成長率</w:t>
      </w:r>
      <w:r w:rsidR="00FF2A71">
        <w:rPr>
          <w:rFonts w:ascii="Century" w:eastAsia="ＭＳ 明朝" w:hAnsi="Century" w:cs="Times New Roman" w:hint="eastAsia"/>
        </w:rPr>
        <w:t>(</w:t>
      </w:r>
      <w:r w:rsidR="00FF2A71">
        <w:rPr>
          <w:rFonts w:ascii="Century" w:eastAsia="ＭＳ 明朝" w:hAnsi="Century" w:cs="Times New Roman" w:hint="eastAsia"/>
        </w:rPr>
        <w:t>表</w:t>
      </w:r>
      <w:r w:rsidR="00FF2A71">
        <w:rPr>
          <w:rFonts w:ascii="Century" w:eastAsia="ＭＳ 明朝" w:hAnsi="Century" w:cs="Times New Roman" w:hint="eastAsia"/>
        </w:rPr>
        <w:t>5)</w:t>
      </w:r>
      <w:r w:rsidR="00465A51">
        <w:rPr>
          <w:rFonts w:ascii="Century" w:eastAsia="ＭＳ 明朝" w:hAnsi="Century" w:cs="Times New Roman" w:hint="eastAsia"/>
        </w:rPr>
        <w:t>において</w:t>
      </w:r>
      <w:r w:rsidR="00C511F2">
        <w:rPr>
          <w:rFonts w:ascii="Century" w:eastAsia="ＭＳ 明朝" w:hAnsi="Century" w:cs="Times New Roman" w:hint="eastAsia"/>
        </w:rPr>
        <w:t>も確認でき、</w:t>
      </w:r>
      <w:r w:rsidR="0031663A">
        <w:rPr>
          <w:rFonts w:ascii="Century" w:eastAsia="ＭＳ 明朝" w:hAnsi="Century" w:cs="Times New Roman" w:hint="eastAsia"/>
        </w:rPr>
        <w:t>輸出</w:t>
      </w:r>
      <w:r w:rsidR="00257C6F">
        <w:rPr>
          <w:rFonts w:ascii="Century" w:eastAsia="ＭＳ 明朝" w:hAnsi="Century" w:cs="Times New Roman" w:hint="eastAsia"/>
        </w:rPr>
        <w:t>は</w:t>
      </w:r>
      <w:r w:rsidR="00F118DD">
        <w:rPr>
          <w:rFonts w:ascii="Century" w:eastAsia="ＭＳ 明朝" w:hAnsi="Century" w:cs="Times New Roman" w:hint="eastAsia"/>
        </w:rPr>
        <w:t>前年同期からの</w:t>
      </w:r>
      <w:r w:rsidR="00465A51">
        <w:rPr>
          <w:rFonts w:ascii="Century" w:eastAsia="ＭＳ 明朝" w:hAnsi="Century" w:cs="Times New Roman" w:hint="eastAsia"/>
        </w:rPr>
        <w:t>マイナス成長</w:t>
      </w:r>
      <w:r w:rsidR="00C511F2">
        <w:rPr>
          <w:rFonts w:ascii="Century" w:eastAsia="ＭＳ 明朝" w:hAnsi="Century" w:cs="Times New Roman" w:hint="eastAsia"/>
        </w:rPr>
        <w:t>(3</w:t>
      </w:r>
      <w:r w:rsidR="00C511F2">
        <w:rPr>
          <w:rFonts w:ascii="Century" w:eastAsia="ＭＳ 明朝" w:hAnsi="Century" w:cs="Times New Roman" w:hint="eastAsia"/>
        </w:rPr>
        <w:t>月▲</w:t>
      </w:r>
      <w:r w:rsidR="00C511F2">
        <w:rPr>
          <w:rFonts w:ascii="Century" w:eastAsia="ＭＳ 明朝" w:hAnsi="Century" w:cs="Times New Roman" w:hint="eastAsia"/>
        </w:rPr>
        <w:t>0.4</w:t>
      </w:r>
      <w:r w:rsidR="00C511F2">
        <w:rPr>
          <w:rFonts w:ascii="Century" w:eastAsia="ＭＳ 明朝" w:hAnsi="Century" w:cs="Times New Roman" w:hint="eastAsia"/>
        </w:rPr>
        <w:t>％、</w:t>
      </w:r>
      <w:r w:rsidR="00C511F2">
        <w:rPr>
          <w:rFonts w:ascii="Century" w:eastAsia="ＭＳ 明朝" w:hAnsi="Century" w:cs="Times New Roman" w:hint="eastAsia"/>
        </w:rPr>
        <w:t>4</w:t>
      </w:r>
      <w:r w:rsidR="00C511F2">
        <w:rPr>
          <w:rFonts w:ascii="Century" w:eastAsia="ＭＳ 明朝" w:hAnsi="Century" w:cs="Times New Roman" w:hint="eastAsia"/>
        </w:rPr>
        <w:t>月▲</w:t>
      </w:r>
      <w:r w:rsidR="00C511F2">
        <w:rPr>
          <w:rFonts w:ascii="Century" w:eastAsia="ＭＳ 明朝" w:hAnsi="Century" w:cs="Times New Roman" w:hint="eastAsia"/>
        </w:rPr>
        <w:t>0.7</w:t>
      </w:r>
      <w:r w:rsidR="00C511F2">
        <w:rPr>
          <w:rFonts w:ascii="Century" w:eastAsia="ＭＳ 明朝" w:hAnsi="Century" w:cs="Times New Roman" w:hint="eastAsia"/>
        </w:rPr>
        <w:t>％</w:t>
      </w:r>
      <w:r w:rsidR="00C511F2">
        <w:rPr>
          <w:rFonts w:ascii="Century" w:eastAsia="ＭＳ 明朝" w:hAnsi="Century" w:cs="Times New Roman" w:hint="eastAsia"/>
        </w:rPr>
        <w:t>)</w:t>
      </w:r>
      <w:r w:rsidR="00465A51">
        <w:rPr>
          <w:rFonts w:ascii="Century" w:eastAsia="ＭＳ 明朝" w:hAnsi="Century" w:cs="Times New Roman" w:hint="eastAsia"/>
        </w:rPr>
        <w:t>を</w:t>
      </w:r>
      <w:r w:rsidR="00F118DD">
        <w:rPr>
          <w:rFonts w:ascii="Century" w:eastAsia="ＭＳ 明朝" w:hAnsi="Century" w:cs="Times New Roman" w:hint="eastAsia"/>
        </w:rPr>
        <w:t>記録している</w:t>
      </w:r>
      <w:r w:rsidR="00465A51">
        <w:rPr>
          <w:rFonts w:ascii="Century" w:eastAsia="ＭＳ 明朝" w:hAnsi="Century" w:cs="Times New Roman" w:hint="eastAsia"/>
        </w:rPr>
        <w:t>。</w:t>
      </w:r>
      <w:r w:rsidR="00257C6F">
        <w:rPr>
          <w:rFonts w:ascii="Century" w:eastAsia="ＭＳ 明朝" w:hAnsi="Century" w:cs="Times New Roman" w:hint="eastAsia"/>
        </w:rPr>
        <w:t>他方、</w:t>
      </w:r>
      <w:r w:rsidR="00257C6F" w:rsidRPr="00257C6F">
        <w:rPr>
          <w:rFonts w:ascii="Century" w:eastAsia="ＭＳ 明朝" w:hAnsi="Century" w:cs="Times New Roman" w:hint="eastAsia"/>
        </w:rPr>
        <w:t>輸入</w:t>
      </w:r>
      <w:r w:rsidR="00257C6F">
        <w:rPr>
          <w:rFonts w:ascii="Century" w:eastAsia="ＭＳ 明朝" w:hAnsi="Century" w:cs="Times New Roman" w:hint="eastAsia"/>
        </w:rPr>
        <w:t>に関しては、輸入</w:t>
      </w:r>
      <w:r w:rsidR="00C83A7A">
        <w:rPr>
          <w:rFonts w:ascii="Century" w:eastAsia="ＭＳ 明朝" w:hAnsi="Century" w:cs="Times New Roman" w:hint="eastAsia"/>
        </w:rPr>
        <w:t>品価格高騰に伴う顕著な輸入の減少は貿易成長率にも反映され、</w:t>
      </w:r>
      <w:r w:rsidR="00257C6F" w:rsidRPr="00257C6F">
        <w:rPr>
          <w:rFonts w:ascii="Century" w:eastAsia="ＭＳ 明朝" w:hAnsi="Century" w:cs="Times New Roman" w:hint="eastAsia"/>
        </w:rPr>
        <w:t>前年同期の値から</w:t>
      </w:r>
      <w:r w:rsidR="00257C6F" w:rsidRPr="00257C6F">
        <w:rPr>
          <w:rFonts w:ascii="Century" w:eastAsia="ＭＳ 明朝" w:hAnsi="Century" w:cs="Times New Roman" w:hint="eastAsia"/>
        </w:rPr>
        <w:t>5.5</w:t>
      </w:r>
      <w:r w:rsidR="00257C6F" w:rsidRPr="00257C6F">
        <w:rPr>
          <w:rFonts w:ascii="Century" w:eastAsia="ＭＳ 明朝" w:hAnsi="Century" w:cs="Times New Roman" w:hint="eastAsia"/>
        </w:rPr>
        <w:t>ポイント下がり▲</w:t>
      </w:r>
      <w:r w:rsidR="00257C6F" w:rsidRPr="00257C6F">
        <w:rPr>
          <w:rFonts w:ascii="Century" w:eastAsia="ＭＳ 明朝" w:hAnsi="Century" w:cs="Times New Roman" w:hint="eastAsia"/>
        </w:rPr>
        <w:t>0.2</w:t>
      </w:r>
      <w:r w:rsidR="00257C6F" w:rsidRPr="00257C6F">
        <w:rPr>
          <w:rFonts w:ascii="Century" w:eastAsia="ＭＳ 明朝" w:hAnsi="Century" w:cs="Times New Roman" w:hint="eastAsia"/>
        </w:rPr>
        <w:t>％</w:t>
      </w:r>
      <w:r w:rsidR="00C83A7A">
        <w:rPr>
          <w:rFonts w:ascii="Century" w:eastAsia="ＭＳ 明朝" w:hAnsi="Century" w:cs="Times New Roman" w:hint="eastAsia"/>
        </w:rPr>
        <w:t>となった。</w:t>
      </w:r>
    </w:p>
    <w:p w:rsidR="00515DA7" w:rsidRDefault="00515DA7" w:rsidP="003759DC">
      <w:pPr>
        <w:jc w:val="left"/>
        <w:rPr>
          <w:rFonts w:ascii="Century" w:eastAsia="ＭＳ 明朝" w:hAnsi="Century" w:cs="Times New Roman"/>
          <w:color w:val="000000"/>
        </w:rPr>
      </w:pPr>
      <w:r w:rsidRPr="00515DA7">
        <w:rPr>
          <w:rFonts w:ascii="Century" w:eastAsia="ＭＳ 明朝" w:hAnsi="Century" w:cs="Times New Roman" w:hint="eastAsia"/>
          <w:color w:val="000000"/>
        </w:rPr>
        <w:t>●インテル社の生産部門の撤退により、</w:t>
      </w:r>
      <w:r w:rsidR="000925DD">
        <w:rPr>
          <w:rFonts w:ascii="Century" w:eastAsia="ＭＳ 明朝" w:hAnsi="Century" w:cs="Times New Roman" w:hint="eastAsia"/>
          <w:color w:val="000000"/>
        </w:rPr>
        <w:t>将来的な</w:t>
      </w:r>
      <w:r w:rsidR="009F2E0A">
        <w:rPr>
          <w:rFonts w:ascii="Century" w:eastAsia="ＭＳ 明朝" w:hAnsi="Century" w:cs="Times New Roman" w:hint="eastAsia"/>
          <w:color w:val="000000"/>
        </w:rPr>
        <w:t>貿易収支の悪化を危ぶむ声もあるが、同社は</w:t>
      </w:r>
      <w:r w:rsidRPr="00515DA7">
        <w:rPr>
          <w:rFonts w:ascii="Century" w:eastAsia="ＭＳ 明朝" w:hAnsi="Century" w:cs="Times New Roman" w:hint="eastAsia"/>
          <w:color w:val="000000"/>
        </w:rPr>
        <w:t>製造のための部品輸入額も大きかったため、</w:t>
      </w:r>
      <w:r w:rsidR="00D82390">
        <w:rPr>
          <w:rFonts w:ascii="Century" w:eastAsia="ＭＳ 明朝" w:hAnsi="Century" w:cs="Times New Roman" w:hint="eastAsia"/>
          <w:color w:val="000000"/>
        </w:rPr>
        <w:t>同</w:t>
      </w:r>
      <w:r w:rsidRPr="00515DA7">
        <w:rPr>
          <w:rFonts w:ascii="Century" w:eastAsia="ＭＳ 明朝" w:hAnsi="Century" w:cs="Times New Roman" w:hint="eastAsia"/>
          <w:color w:val="000000"/>
        </w:rPr>
        <w:t>撤退による貿易収支への影響は限定的なものにとどまる</w:t>
      </w:r>
      <w:r w:rsidR="006448B3">
        <w:rPr>
          <w:rFonts w:ascii="Century" w:eastAsia="ＭＳ 明朝" w:hAnsi="Century" w:cs="Times New Roman" w:hint="eastAsia"/>
          <w:color w:val="000000"/>
        </w:rPr>
        <w:t>と</w:t>
      </w:r>
      <w:r w:rsidRPr="00515DA7">
        <w:rPr>
          <w:rFonts w:ascii="Century" w:eastAsia="ＭＳ 明朝" w:hAnsi="Century" w:cs="Times New Roman" w:hint="eastAsia"/>
          <w:color w:val="000000"/>
        </w:rPr>
        <w:t>いう指摘もある。</w:t>
      </w:r>
    </w:p>
    <w:p w:rsidR="0031663A" w:rsidRPr="00515DA7" w:rsidRDefault="0031663A" w:rsidP="003759DC">
      <w:pPr>
        <w:jc w:val="left"/>
        <w:rPr>
          <w:rFonts w:ascii="Century" w:eastAsia="ＭＳ 明朝" w:hAnsi="Century" w:cs="Times New Roman"/>
          <w:color w:val="000000"/>
        </w:rPr>
      </w:pPr>
    </w:p>
    <w:p w:rsidR="00515DA7" w:rsidRPr="00515DA7" w:rsidRDefault="00515DA7" w:rsidP="00C75D5B">
      <w:pPr>
        <w:jc w:val="center"/>
        <w:rPr>
          <w:rFonts w:ascii="Century" w:eastAsia="ＭＳ 明朝" w:hAnsi="Century" w:cs="Times New Roman"/>
        </w:rPr>
      </w:pPr>
      <w:r w:rsidRPr="00515DA7">
        <w:rPr>
          <w:rFonts w:ascii="Century" w:eastAsia="ＭＳ 明朝" w:hAnsi="Century" w:cs="Times New Roman"/>
          <w:noProof/>
        </w:rPr>
        <w:drawing>
          <wp:inline distT="0" distB="0" distL="0" distR="0" wp14:anchorId="4DE12967" wp14:editId="51FE3CDE">
            <wp:extent cx="4638675" cy="3295650"/>
            <wp:effectExtent l="0" t="0" r="9525" b="19050"/>
            <wp:docPr id="2"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15DA7" w:rsidRPr="00515DA7" w:rsidRDefault="00515DA7" w:rsidP="00515DA7">
      <w:pPr>
        <w:jc w:val="center"/>
        <w:rPr>
          <w:rFonts w:ascii="Century" w:eastAsia="ＭＳ 明朝" w:hAnsi="Century" w:cs="Times New Roman"/>
        </w:rPr>
      </w:pPr>
    </w:p>
    <w:p w:rsidR="00515DA7" w:rsidRPr="00515DA7" w:rsidRDefault="00515DA7" w:rsidP="00515DA7">
      <w:pPr>
        <w:rPr>
          <w:rFonts w:ascii="Century" w:eastAsia="ＭＳ 明朝" w:hAnsi="Century" w:cs="Times New Roman"/>
        </w:rPr>
      </w:pPr>
    </w:p>
    <w:p w:rsidR="00515DA7" w:rsidRPr="00515DA7" w:rsidRDefault="00515DA7" w:rsidP="00515DA7">
      <w:pPr>
        <w:jc w:val="center"/>
        <w:rPr>
          <w:rFonts w:ascii="Century" w:eastAsia="ＭＳ 明朝" w:hAnsi="Century" w:cs="Times New Roman"/>
        </w:rPr>
      </w:pPr>
    </w:p>
    <w:p w:rsidR="00515DA7" w:rsidRPr="00515DA7" w:rsidRDefault="00515DA7" w:rsidP="00515DA7">
      <w:pPr>
        <w:jc w:val="center"/>
        <w:rPr>
          <w:rFonts w:ascii="Century" w:eastAsia="ＭＳ 明朝" w:hAnsi="Century" w:cs="Times New Roman"/>
        </w:rPr>
      </w:pPr>
    </w:p>
    <w:p w:rsidR="00515DA7" w:rsidRPr="00515DA7" w:rsidRDefault="00515DA7" w:rsidP="00515DA7">
      <w:pPr>
        <w:jc w:val="center"/>
        <w:rPr>
          <w:rFonts w:ascii="Century" w:eastAsia="ＭＳ 明朝" w:hAnsi="Century" w:cs="Times New Roman"/>
        </w:rPr>
      </w:pPr>
      <w:r w:rsidRPr="00515DA7">
        <w:rPr>
          <w:rFonts w:ascii="Century" w:eastAsia="ＭＳ 明朝" w:hAnsi="Century" w:cs="Times New Roman"/>
          <w:noProof/>
        </w:rPr>
        <w:lastRenderedPageBreak/>
        <w:drawing>
          <wp:anchor distT="0" distB="0" distL="114300" distR="114300" simplePos="0" relativeHeight="251661312" behindDoc="0" locked="0" layoutInCell="1" allowOverlap="1" wp14:anchorId="2171F26F" wp14:editId="2B6E4160">
            <wp:simplePos x="0" y="0"/>
            <wp:positionH relativeFrom="margin">
              <wp:align>right</wp:align>
            </wp:positionH>
            <wp:positionV relativeFrom="margin">
              <wp:align>top</wp:align>
            </wp:positionV>
            <wp:extent cx="2447925" cy="2695575"/>
            <wp:effectExtent l="0" t="0" r="9525" b="9525"/>
            <wp:wrapSquare wrapText="bothSides"/>
            <wp:docPr id="3"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515DA7">
        <w:rPr>
          <w:rFonts w:ascii="Century" w:eastAsia="ＭＳ 明朝" w:hAnsi="Century" w:cs="Times New Roman"/>
          <w:noProof/>
        </w:rPr>
        <w:drawing>
          <wp:anchor distT="0" distB="0" distL="114300" distR="114300" simplePos="0" relativeHeight="251660288" behindDoc="0" locked="0" layoutInCell="1" allowOverlap="1" wp14:anchorId="3FCECA6E" wp14:editId="7B38AD88">
            <wp:simplePos x="0" y="0"/>
            <wp:positionH relativeFrom="margin">
              <wp:align>left</wp:align>
            </wp:positionH>
            <wp:positionV relativeFrom="margin">
              <wp:align>top</wp:align>
            </wp:positionV>
            <wp:extent cx="2600325" cy="2695575"/>
            <wp:effectExtent l="0" t="0" r="9525" b="9525"/>
            <wp:wrapSquare wrapText="bothSides"/>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p>
    <w:p w:rsidR="00515DA7" w:rsidRPr="00515DA7" w:rsidRDefault="00515DA7" w:rsidP="00515DA7">
      <w:pPr>
        <w:jc w:val="center"/>
        <w:rPr>
          <w:rFonts w:ascii="Century" w:eastAsia="ＭＳ 明朝" w:hAnsi="Century" w:cs="Times New Roman"/>
        </w:rPr>
      </w:pPr>
      <w:r w:rsidRPr="00515DA7">
        <w:rPr>
          <w:rFonts w:ascii="Century" w:eastAsia="ＭＳ 明朝" w:hAnsi="Century" w:cs="Times New Roman"/>
          <w:noProof/>
        </w:rPr>
        <w:drawing>
          <wp:inline distT="0" distB="0" distL="0" distR="0" wp14:anchorId="486636DD" wp14:editId="14538AE3">
            <wp:extent cx="4933950" cy="3276600"/>
            <wp:effectExtent l="0" t="0" r="0" b="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15DA7" w:rsidRPr="00515DA7" w:rsidRDefault="00515DA7" w:rsidP="00515DA7">
      <w:pPr>
        <w:jc w:val="center"/>
        <w:rPr>
          <w:rFonts w:ascii="Century" w:eastAsia="ＭＳ 明朝" w:hAnsi="Century" w:cs="Times New Roman"/>
        </w:rPr>
      </w:pPr>
    </w:p>
    <w:p w:rsidR="00515DA7" w:rsidRPr="00515DA7" w:rsidRDefault="00515DA7" w:rsidP="00515DA7">
      <w:pPr>
        <w:jc w:val="center"/>
        <w:rPr>
          <w:rFonts w:ascii="Century" w:eastAsia="ＭＳ 明朝" w:hAnsi="Century" w:cs="Times New Roman"/>
        </w:rPr>
      </w:pPr>
    </w:p>
    <w:p w:rsidR="00515DA7" w:rsidRPr="00515DA7" w:rsidRDefault="00515DA7" w:rsidP="00515DA7">
      <w:pPr>
        <w:jc w:val="center"/>
        <w:rPr>
          <w:rFonts w:ascii="Century" w:eastAsia="ＭＳ 明朝" w:hAnsi="Century" w:cs="Times New Roman"/>
        </w:rPr>
      </w:pPr>
    </w:p>
    <w:p w:rsidR="00515DA7" w:rsidRPr="00515DA7" w:rsidRDefault="00515DA7" w:rsidP="00515DA7">
      <w:pPr>
        <w:jc w:val="center"/>
        <w:rPr>
          <w:rFonts w:ascii="Century" w:eastAsia="ＭＳ 明朝" w:hAnsi="Century" w:cs="Times New Roman"/>
        </w:rPr>
      </w:pPr>
    </w:p>
    <w:p w:rsidR="00515DA7" w:rsidRPr="00515DA7" w:rsidRDefault="00515DA7" w:rsidP="00515DA7">
      <w:pPr>
        <w:jc w:val="center"/>
        <w:rPr>
          <w:rFonts w:ascii="Century" w:eastAsia="ＭＳ 明朝" w:hAnsi="Century" w:cs="Times New Roman"/>
        </w:rPr>
      </w:pPr>
    </w:p>
    <w:p w:rsidR="00515DA7" w:rsidRPr="00515DA7" w:rsidRDefault="00515DA7" w:rsidP="00515DA7">
      <w:pPr>
        <w:jc w:val="center"/>
        <w:rPr>
          <w:rFonts w:ascii="Century" w:eastAsia="ＭＳ 明朝" w:hAnsi="Century" w:cs="Times New Roman"/>
        </w:rPr>
      </w:pPr>
    </w:p>
    <w:p w:rsidR="00515DA7" w:rsidRPr="00515DA7" w:rsidRDefault="00515DA7" w:rsidP="00515DA7">
      <w:pPr>
        <w:jc w:val="center"/>
        <w:rPr>
          <w:rFonts w:ascii="Century" w:eastAsia="ＭＳ 明朝" w:hAnsi="Century" w:cs="Times New Roman"/>
        </w:rPr>
      </w:pPr>
    </w:p>
    <w:p w:rsidR="00515DA7" w:rsidRPr="00515DA7" w:rsidRDefault="00515DA7" w:rsidP="00515DA7">
      <w:pPr>
        <w:rPr>
          <w:rFonts w:ascii="Century" w:eastAsia="ＭＳ 明朝" w:hAnsi="Century" w:cs="Times New Roman"/>
        </w:rPr>
      </w:pPr>
      <w:r w:rsidRPr="00515DA7">
        <w:rPr>
          <w:rFonts w:ascii="Century" w:eastAsia="ＭＳ 明朝" w:hAnsi="Century" w:cs="Times New Roman" w:hint="eastAsia"/>
        </w:rPr>
        <w:t>３　財政収支</w:t>
      </w:r>
    </w:p>
    <w:p w:rsidR="00515DA7" w:rsidRPr="00515DA7" w:rsidRDefault="00515DA7" w:rsidP="003759DC">
      <w:pPr>
        <w:jc w:val="left"/>
        <w:rPr>
          <w:rFonts w:ascii="Century" w:eastAsia="ＭＳ 明朝" w:hAnsi="Century" w:cs="Times New Roman"/>
          <w:color w:val="000000"/>
        </w:rPr>
      </w:pPr>
      <w:r w:rsidRPr="00515DA7">
        <w:rPr>
          <w:rFonts w:ascii="Century" w:eastAsia="ＭＳ 明朝" w:hAnsi="Century" w:cs="Times New Roman" w:hint="eastAsia"/>
          <w:color w:val="000000"/>
        </w:rPr>
        <w:lastRenderedPageBreak/>
        <w:t>●</w:t>
      </w:r>
      <w:r w:rsidRPr="00515DA7">
        <w:rPr>
          <w:rFonts w:ascii="Century" w:eastAsia="ＭＳ 明朝" w:hAnsi="Century" w:cs="Times New Roman" w:hint="eastAsia"/>
          <w:color w:val="000000"/>
        </w:rPr>
        <w:t>3</w:t>
      </w:r>
      <w:r w:rsidRPr="00515DA7">
        <w:rPr>
          <w:rFonts w:ascii="Century" w:eastAsia="ＭＳ 明朝" w:hAnsi="Century" w:cs="Times New Roman" w:hint="eastAsia"/>
          <w:color w:val="000000"/>
        </w:rPr>
        <w:t>月までの財政収支</w:t>
      </w:r>
      <w:r w:rsidRPr="00515DA7">
        <w:rPr>
          <w:rFonts w:ascii="Century" w:eastAsia="ＭＳ 明朝" w:hAnsi="Century" w:cs="Times New Roman"/>
          <w:color w:val="000000"/>
        </w:rPr>
        <w:t>(</w:t>
      </w:r>
      <w:r w:rsidRPr="00515DA7">
        <w:rPr>
          <w:rFonts w:ascii="Century" w:eastAsia="ＭＳ 明朝" w:hAnsi="Century" w:cs="Times New Roman" w:hint="eastAsia"/>
          <w:color w:val="000000"/>
        </w:rPr>
        <w:t>表</w:t>
      </w:r>
      <w:r w:rsidRPr="00515DA7">
        <w:rPr>
          <w:rFonts w:ascii="Century" w:eastAsia="ＭＳ 明朝" w:hAnsi="Century" w:cs="Times New Roman"/>
          <w:color w:val="000000"/>
        </w:rPr>
        <w:t>6)</w:t>
      </w:r>
      <w:r w:rsidRPr="00515DA7">
        <w:rPr>
          <w:rFonts w:ascii="Century" w:eastAsia="ＭＳ 明朝" w:hAnsi="Century" w:cs="Times New Roman" w:hint="eastAsia"/>
          <w:color w:val="000000"/>
        </w:rPr>
        <w:t>は、歳入が前年比約</w:t>
      </w:r>
      <w:r w:rsidRPr="00515DA7">
        <w:rPr>
          <w:rFonts w:ascii="Century" w:eastAsia="ＭＳ 明朝" w:hAnsi="Century" w:cs="Times New Roman" w:hint="eastAsia"/>
          <w:color w:val="000000"/>
        </w:rPr>
        <w:t>5.5</w:t>
      </w:r>
      <w:r w:rsidRPr="00515DA7">
        <w:rPr>
          <w:rFonts w:ascii="Century" w:eastAsia="ＭＳ 明朝" w:hAnsi="Century" w:cs="Times New Roman" w:hint="eastAsia"/>
          <w:color w:val="000000"/>
        </w:rPr>
        <w:t>％増</w:t>
      </w:r>
      <w:r w:rsidRPr="00515DA7">
        <w:rPr>
          <w:rFonts w:ascii="Century" w:eastAsia="ＭＳ 明朝" w:hAnsi="Century" w:cs="Times New Roman"/>
          <w:color w:val="000000"/>
        </w:rPr>
        <w:t>(</w:t>
      </w:r>
      <w:r w:rsidRPr="00515DA7">
        <w:rPr>
          <w:rFonts w:ascii="Century" w:eastAsia="ＭＳ 明朝" w:hAnsi="Century" w:cs="Times New Roman" w:hint="eastAsia"/>
          <w:color w:val="000000"/>
        </w:rPr>
        <w:t>前年同</w:t>
      </w:r>
      <w:r w:rsidR="00707AA2">
        <w:rPr>
          <w:rFonts w:ascii="Century" w:eastAsia="ＭＳ 明朝" w:hAnsi="Century" w:cs="Times New Roman" w:hint="eastAsia"/>
          <w:color w:val="000000"/>
        </w:rPr>
        <w:t>値</w:t>
      </w:r>
      <w:r w:rsidRPr="00515DA7">
        <w:rPr>
          <w:rFonts w:ascii="Century" w:eastAsia="ＭＳ 明朝" w:hAnsi="Century" w:cs="Times New Roman" w:hint="eastAsia"/>
          <w:color w:val="000000"/>
        </w:rPr>
        <w:t>11</w:t>
      </w:r>
      <w:r w:rsidRPr="00515DA7">
        <w:rPr>
          <w:rFonts w:ascii="Century" w:eastAsia="ＭＳ 明朝" w:hAnsi="Century" w:cs="Times New Roman" w:hint="eastAsia"/>
          <w:color w:val="000000"/>
        </w:rPr>
        <w:t>％</w:t>
      </w:r>
      <w:r w:rsidRPr="00515DA7">
        <w:rPr>
          <w:rFonts w:ascii="Century" w:eastAsia="ＭＳ 明朝" w:hAnsi="Century" w:cs="Times New Roman"/>
          <w:color w:val="000000"/>
        </w:rPr>
        <w:t>)</w:t>
      </w:r>
      <w:r w:rsidR="00706419">
        <w:rPr>
          <w:rFonts w:ascii="Century" w:eastAsia="ＭＳ 明朝" w:hAnsi="Century" w:cs="Times New Roman" w:hint="eastAsia"/>
          <w:color w:val="000000"/>
        </w:rPr>
        <w:t>の約</w:t>
      </w:r>
      <w:r w:rsidR="00706419">
        <w:rPr>
          <w:rFonts w:ascii="Century" w:eastAsia="ＭＳ 明朝" w:hAnsi="Century" w:cs="Times New Roman" w:hint="eastAsia"/>
          <w:color w:val="000000"/>
        </w:rPr>
        <w:t>8,867</w:t>
      </w:r>
      <w:r w:rsidR="00706419">
        <w:rPr>
          <w:rFonts w:ascii="Century" w:eastAsia="ＭＳ 明朝" w:hAnsi="Century" w:cs="Times New Roman" w:hint="eastAsia"/>
          <w:color w:val="000000"/>
        </w:rPr>
        <w:t>億コロン</w:t>
      </w:r>
      <w:r w:rsidRPr="00515DA7">
        <w:rPr>
          <w:rFonts w:ascii="Century" w:eastAsia="ＭＳ 明朝" w:hAnsi="Century" w:cs="Times New Roman" w:hint="eastAsia"/>
          <w:color w:val="000000"/>
        </w:rPr>
        <w:t>、歳出が前年比約</w:t>
      </w:r>
      <w:r w:rsidRPr="00515DA7">
        <w:rPr>
          <w:rFonts w:ascii="Century" w:eastAsia="ＭＳ 明朝" w:hAnsi="Century" w:cs="Times New Roman" w:hint="eastAsia"/>
          <w:color w:val="000000"/>
        </w:rPr>
        <w:t>8.5</w:t>
      </w:r>
      <w:r w:rsidRPr="00515DA7">
        <w:rPr>
          <w:rFonts w:ascii="Century" w:eastAsia="ＭＳ 明朝" w:hAnsi="Century" w:cs="Times New Roman" w:hint="eastAsia"/>
          <w:color w:val="000000"/>
        </w:rPr>
        <w:t>％増</w:t>
      </w:r>
      <w:r w:rsidRPr="00515DA7">
        <w:rPr>
          <w:rFonts w:ascii="Century" w:eastAsia="ＭＳ 明朝" w:hAnsi="Century" w:cs="Times New Roman"/>
          <w:color w:val="000000"/>
        </w:rPr>
        <w:t>(</w:t>
      </w:r>
      <w:r w:rsidRPr="00515DA7">
        <w:rPr>
          <w:rFonts w:ascii="Century" w:eastAsia="ＭＳ 明朝" w:hAnsi="Century" w:cs="Times New Roman" w:hint="eastAsia"/>
          <w:color w:val="000000"/>
        </w:rPr>
        <w:t>前年同値</w:t>
      </w:r>
      <w:r w:rsidRPr="00515DA7">
        <w:rPr>
          <w:rFonts w:ascii="Century" w:eastAsia="ＭＳ 明朝" w:hAnsi="Century" w:cs="Times New Roman" w:hint="eastAsia"/>
          <w:color w:val="000000"/>
        </w:rPr>
        <w:t>11.1</w:t>
      </w:r>
      <w:r w:rsidRPr="00515DA7">
        <w:rPr>
          <w:rFonts w:ascii="Century" w:eastAsia="ＭＳ 明朝" w:hAnsi="Century" w:cs="Times New Roman" w:hint="eastAsia"/>
          <w:color w:val="000000"/>
        </w:rPr>
        <w:t>％</w:t>
      </w:r>
      <w:r w:rsidRPr="00515DA7">
        <w:rPr>
          <w:rFonts w:ascii="Century" w:eastAsia="ＭＳ 明朝" w:hAnsi="Century" w:cs="Times New Roman"/>
          <w:color w:val="000000"/>
        </w:rPr>
        <w:t>)</w:t>
      </w:r>
      <w:r w:rsidR="00706419">
        <w:rPr>
          <w:rFonts w:ascii="Century" w:eastAsia="ＭＳ 明朝" w:hAnsi="Century" w:cs="Times New Roman" w:hint="eastAsia"/>
          <w:color w:val="000000"/>
        </w:rPr>
        <w:t>の１兆</w:t>
      </w:r>
      <w:r w:rsidR="00706419">
        <w:rPr>
          <w:rFonts w:ascii="Century" w:eastAsia="ＭＳ 明朝" w:hAnsi="Century" w:cs="Times New Roman" w:hint="eastAsia"/>
          <w:color w:val="000000"/>
        </w:rPr>
        <w:t>2,923</w:t>
      </w:r>
      <w:r w:rsidR="00706419">
        <w:rPr>
          <w:rFonts w:ascii="Century" w:eastAsia="ＭＳ 明朝" w:hAnsi="Century" w:cs="Times New Roman" w:hint="eastAsia"/>
          <w:color w:val="000000"/>
        </w:rPr>
        <w:t>億コロン</w:t>
      </w:r>
      <w:r w:rsidRPr="00515DA7">
        <w:rPr>
          <w:rFonts w:ascii="Century" w:eastAsia="ＭＳ 明朝" w:hAnsi="Century" w:cs="Times New Roman" w:hint="eastAsia"/>
          <w:color w:val="000000"/>
        </w:rPr>
        <w:t>となり、財政赤字額は前年比約</w:t>
      </w:r>
      <w:r w:rsidRPr="00515DA7">
        <w:rPr>
          <w:rFonts w:ascii="Century" w:eastAsia="ＭＳ 明朝" w:hAnsi="Century" w:cs="Times New Roman" w:hint="eastAsia"/>
          <w:color w:val="000000"/>
        </w:rPr>
        <w:t>15.6</w:t>
      </w:r>
      <w:r w:rsidRPr="00515DA7">
        <w:rPr>
          <w:rFonts w:ascii="Century" w:eastAsia="ＭＳ 明朝" w:hAnsi="Century" w:cs="Times New Roman" w:hint="eastAsia"/>
          <w:color w:val="000000"/>
        </w:rPr>
        <w:t>％</w:t>
      </w:r>
      <w:r w:rsidR="00D96CF4">
        <w:rPr>
          <w:rFonts w:ascii="Century" w:eastAsia="ＭＳ 明朝" w:hAnsi="Century" w:cs="Times New Roman" w:hint="eastAsia"/>
          <w:color w:val="000000"/>
        </w:rPr>
        <w:t>増</w:t>
      </w:r>
      <w:r w:rsidR="00C045DF">
        <w:rPr>
          <w:rFonts w:ascii="Century" w:eastAsia="ＭＳ 明朝" w:hAnsi="Century" w:cs="Times New Roman" w:hint="eastAsia"/>
          <w:color w:val="000000"/>
        </w:rPr>
        <w:t>の約</w:t>
      </w:r>
      <w:r w:rsidR="00C045DF">
        <w:rPr>
          <w:rFonts w:ascii="Century" w:eastAsia="ＭＳ 明朝" w:hAnsi="Century" w:cs="Times New Roman" w:hint="eastAsia"/>
          <w:color w:val="000000"/>
        </w:rPr>
        <w:t>4,056</w:t>
      </w:r>
      <w:r w:rsidR="00C045DF">
        <w:rPr>
          <w:rFonts w:ascii="Century" w:eastAsia="ＭＳ 明朝" w:hAnsi="Century" w:cs="Times New Roman" w:hint="eastAsia"/>
          <w:color w:val="000000"/>
        </w:rPr>
        <w:t>億コロン</w:t>
      </w:r>
      <w:r w:rsidRPr="00515DA7">
        <w:rPr>
          <w:rFonts w:ascii="Century" w:eastAsia="ＭＳ 明朝" w:hAnsi="Century" w:cs="Times New Roman" w:hint="eastAsia"/>
          <w:color w:val="000000"/>
        </w:rPr>
        <w:t>となった。財政赤字の対</w:t>
      </w:r>
      <w:r w:rsidRPr="00515DA7">
        <w:rPr>
          <w:rFonts w:ascii="Century" w:eastAsia="ＭＳ 明朝" w:hAnsi="Century" w:cs="Times New Roman"/>
          <w:color w:val="000000"/>
        </w:rPr>
        <w:t>GDP</w:t>
      </w:r>
      <w:r w:rsidR="00D96CF4">
        <w:rPr>
          <w:rFonts w:ascii="Century" w:eastAsia="ＭＳ 明朝" w:hAnsi="Century" w:cs="Times New Roman" w:hint="eastAsia"/>
          <w:color w:val="000000"/>
        </w:rPr>
        <w:t>比は前年から</w:t>
      </w:r>
      <w:r w:rsidRPr="00515DA7">
        <w:rPr>
          <w:rFonts w:ascii="Century" w:eastAsia="ＭＳ 明朝" w:hAnsi="Century" w:cs="Times New Roman" w:hint="eastAsia"/>
          <w:color w:val="000000"/>
        </w:rPr>
        <w:t>0.2</w:t>
      </w:r>
      <w:r w:rsidRPr="00515DA7">
        <w:rPr>
          <w:rFonts w:ascii="Century" w:eastAsia="ＭＳ 明朝" w:hAnsi="Century" w:cs="Times New Roman" w:hint="eastAsia"/>
          <w:color w:val="000000"/>
        </w:rPr>
        <w:t>ポイント増の</w:t>
      </w:r>
      <w:r w:rsidRPr="00515DA7">
        <w:rPr>
          <w:rFonts w:ascii="Century" w:eastAsia="ＭＳ 明朝" w:hAnsi="Century" w:cs="Times New Roman" w:hint="eastAsia"/>
          <w:color w:val="000000"/>
        </w:rPr>
        <w:t>1.6</w:t>
      </w:r>
      <w:r w:rsidRPr="00515DA7">
        <w:rPr>
          <w:rFonts w:ascii="Century" w:eastAsia="ＭＳ 明朝" w:hAnsi="Century" w:cs="Times New Roman" w:hint="eastAsia"/>
          <w:i/>
          <w:color w:val="000000"/>
        </w:rPr>
        <w:t>％</w:t>
      </w:r>
      <w:r w:rsidRPr="00515DA7">
        <w:rPr>
          <w:rFonts w:ascii="Century" w:eastAsia="ＭＳ 明朝" w:hAnsi="Century" w:cs="Times New Roman" w:hint="eastAsia"/>
          <w:color w:val="000000"/>
        </w:rPr>
        <w:t>となっている。</w:t>
      </w:r>
    </w:p>
    <w:p w:rsidR="00515DA7" w:rsidRPr="00515DA7" w:rsidRDefault="00515DA7" w:rsidP="003759DC">
      <w:pPr>
        <w:jc w:val="left"/>
        <w:rPr>
          <w:rFonts w:ascii="Century" w:eastAsia="ＭＳ 明朝" w:hAnsi="Century" w:cs="Times New Roman"/>
          <w:color w:val="000000"/>
        </w:rPr>
      </w:pPr>
      <w:r w:rsidRPr="00515DA7">
        <w:rPr>
          <w:rFonts w:ascii="Century" w:eastAsia="ＭＳ 明朝" w:hAnsi="Century" w:cs="Times New Roman" w:hint="eastAsia"/>
          <w:color w:val="000000"/>
        </w:rPr>
        <w:t>●</w:t>
      </w:r>
      <w:r w:rsidRPr="00515DA7">
        <w:rPr>
          <w:rFonts w:ascii="Century" w:eastAsia="ＭＳ 明朝" w:hAnsi="Century" w:cs="Times New Roman" w:hint="eastAsia"/>
          <w:color w:val="000000"/>
        </w:rPr>
        <w:t>4</w:t>
      </w:r>
      <w:r w:rsidRPr="00515DA7">
        <w:rPr>
          <w:rFonts w:ascii="Century" w:eastAsia="ＭＳ 明朝" w:hAnsi="Century" w:cs="Times New Roman" w:hint="eastAsia"/>
          <w:color w:val="000000"/>
        </w:rPr>
        <w:t>月までの財政収支</w:t>
      </w:r>
      <w:r w:rsidRPr="00515DA7">
        <w:rPr>
          <w:rFonts w:ascii="Century" w:eastAsia="ＭＳ 明朝" w:hAnsi="Century" w:cs="Times New Roman"/>
          <w:color w:val="000000"/>
        </w:rPr>
        <w:t>(</w:t>
      </w:r>
      <w:r w:rsidRPr="00515DA7">
        <w:rPr>
          <w:rFonts w:ascii="Century" w:eastAsia="ＭＳ 明朝" w:hAnsi="Century" w:cs="Times New Roman" w:hint="eastAsia"/>
          <w:color w:val="000000"/>
        </w:rPr>
        <w:t>表</w:t>
      </w:r>
      <w:r w:rsidRPr="00515DA7">
        <w:rPr>
          <w:rFonts w:ascii="Century" w:eastAsia="ＭＳ 明朝" w:hAnsi="Century" w:cs="Times New Roman"/>
          <w:color w:val="000000"/>
        </w:rPr>
        <w:t>7)</w:t>
      </w:r>
      <w:r w:rsidRPr="00515DA7">
        <w:rPr>
          <w:rFonts w:ascii="Century" w:eastAsia="ＭＳ 明朝" w:hAnsi="Century" w:cs="Times New Roman" w:hint="eastAsia"/>
          <w:color w:val="000000"/>
        </w:rPr>
        <w:t>は、歳入が前年比約</w:t>
      </w:r>
      <w:r w:rsidRPr="00515DA7">
        <w:rPr>
          <w:rFonts w:ascii="Century" w:eastAsia="ＭＳ 明朝" w:hAnsi="Century" w:cs="Times New Roman" w:hint="eastAsia"/>
          <w:color w:val="000000"/>
        </w:rPr>
        <w:t>8.3</w:t>
      </w:r>
      <w:r w:rsidRPr="00515DA7">
        <w:rPr>
          <w:rFonts w:ascii="Century" w:eastAsia="ＭＳ 明朝" w:hAnsi="Century" w:cs="Times New Roman" w:hint="eastAsia"/>
          <w:color w:val="000000"/>
        </w:rPr>
        <w:t>％増</w:t>
      </w:r>
      <w:r w:rsidRPr="00515DA7">
        <w:rPr>
          <w:rFonts w:ascii="Century" w:eastAsia="ＭＳ 明朝" w:hAnsi="Century" w:cs="Times New Roman"/>
          <w:color w:val="000000"/>
        </w:rPr>
        <w:t>(</w:t>
      </w:r>
      <w:r w:rsidRPr="00515DA7">
        <w:rPr>
          <w:rFonts w:ascii="Century" w:eastAsia="ＭＳ 明朝" w:hAnsi="Century" w:cs="Times New Roman" w:hint="eastAsia"/>
          <w:color w:val="000000"/>
        </w:rPr>
        <w:t>前年値</w:t>
      </w:r>
      <w:r w:rsidRPr="00515DA7">
        <w:rPr>
          <w:rFonts w:ascii="Century" w:eastAsia="ＭＳ 明朝" w:hAnsi="Century" w:cs="Times New Roman" w:hint="eastAsia"/>
          <w:color w:val="000000"/>
        </w:rPr>
        <w:t>12.4</w:t>
      </w:r>
      <w:r w:rsidRPr="00515DA7">
        <w:rPr>
          <w:rFonts w:ascii="Century" w:eastAsia="ＭＳ 明朝" w:hAnsi="Century" w:cs="Times New Roman" w:hint="eastAsia"/>
          <w:color w:val="000000"/>
        </w:rPr>
        <w:t>％</w:t>
      </w:r>
      <w:r w:rsidRPr="00515DA7">
        <w:rPr>
          <w:rFonts w:ascii="Century" w:eastAsia="ＭＳ 明朝" w:hAnsi="Century" w:cs="Times New Roman"/>
          <w:color w:val="000000"/>
        </w:rPr>
        <w:t>)</w:t>
      </w:r>
      <w:r w:rsidR="00706419">
        <w:rPr>
          <w:rFonts w:ascii="Century" w:eastAsia="ＭＳ 明朝" w:hAnsi="Century" w:cs="Times New Roman" w:hint="eastAsia"/>
          <w:color w:val="000000"/>
        </w:rPr>
        <w:t>の</w:t>
      </w:r>
      <w:r w:rsidR="00706419">
        <w:rPr>
          <w:rFonts w:ascii="Century" w:eastAsia="ＭＳ 明朝" w:hAnsi="Century" w:cs="Times New Roman" w:hint="eastAsia"/>
          <w:color w:val="000000"/>
        </w:rPr>
        <w:t>1</w:t>
      </w:r>
      <w:r w:rsidR="00706419">
        <w:rPr>
          <w:rFonts w:ascii="Century" w:eastAsia="ＭＳ 明朝" w:hAnsi="Century" w:cs="Times New Roman" w:hint="eastAsia"/>
          <w:color w:val="000000"/>
        </w:rPr>
        <w:t>兆</w:t>
      </w:r>
      <w:r w:rsidR="00706419">
        <w:rPr>
          <w:rFonts w:ascii="Century" w:eastAsia="ＭＳ 明朝" w:hAnsi="Century" w:cs="Times New Roman" w:hint="eastAsia"/>
          <w:color w:val="000000"/>
        </w:rPr>
        <w:t>1,979</w:t>
      </w:r>
      <w:r w:rsidR="00706419">
        <w:rPr>
          <w:rFonts w:ascii="Century" w:eastAsia="ＭＳ 明朝" w:hAnsi="Century" w:cs="Times New Roman" w:hint="eastAsia"/>
          <w:color w:val="000000"/>
        </w:rPr>
        <w:t>億コロン</w:t>
      </w:r>
      <w:r w:rsidRPr="00515DA7">
        <w:rPr>
          <w:rFonts w:ascii="Century" w:eastAsia="ＭＳ 明朝" w:hAnsi="Century" w:cs="Times New Roman" w:hint="eastAsia"/>
          <w:color w:val="000000"/>
        </w:rPr>
        <w:t>、歳出が前年比約</w:t>
      </w:r>
      <w:r w:rsidRPr="00515DA7">
        <w:rPr>
          <w:rFonts w:ascii="Century" w:eastAsia="ＭＳ 明朝" w:hAnsi="Century" w:cs="Times New Roman" w:hint="eastAsia"/>
          <w:color w:val="000000"/>
        </w:rPr>
        <w:t>7.4</w:t>
      </w:r>
      <w:r w:rsidRPr="00515DA7">
        <w:rPr>
          <w:rFonts w:ascii="Century" w:eastAsia="ＭＳ 明朝" w:hAnsi="Century" w:cs="Times New Roman" w:hint="eastAsia"/>
          <w:color w:val="000000"/>
        </w:rPr>
        <w:t>％増</w:t>
      </w:r>
      <w:r w:rsidRPr="00515DA7">
        <w:rPr>
          <w:rFonts w:ascii="Century" w:eastAsia="ＭＳ 明朝" w:hAnsi="Century" w:cs="Times New Roman"/>
          <w:color w:val="000000"/>
        </w:rPr>
        <w:t>(</w:t>
      </w:r>
      <w:r w:rsidRPr="00515DA7">
        <w:rPr>
          <w:rFonts w:ascii="Century" w:eastAsia="ＭＳ 明朝" w:hAnsi="Century" w:cs="Times New Roman" w:hint="eastAsia"/>
          <w:color w:val="000000"/>
        </w:rPr>
        <w:t>前年値</w:t>
      </w:r>
      <w:r w:rsidRPr="00515DA7">
        <w:rPr>
          <w:rFonts w:ascii="Century" w:eastAsia="ＭＳ 明朝" w:hAnsi="Century" w:cs="Times New Roman" w:hint="eastAsia"/>
          <w:color w:val="000000"/>
        </w:rPr>
        <w:t>14.3</w:t>
      </w:r>
      <w:r w:rsidRPr="00515DA7">
        <w:rPr>
          <w:rFonts w:ascii="Century" w:eastAsia="ＭＳ 明朝" w:hAnsi="Century" w:cs="Times New Roman" w:hint="eastAsia"/>
          <w:color w:val="000000"/>
        </w:rPr>
        <w:t>％</w:t>
      </w:r>
      <w:r w:rsidRPr="00515DA7">
        <w:rPr>
          <w:rFonts w:ascii="Century" w:eastAsia="ＭＳ 明朝" w:hAnsi="Century" w:cs="Times New Roman"/>
          <w:color w:val="000000"/>
        </w:rPr>
        <w:t>)</w:t>
      </w:r>
      <w:r w:rsidRPr="00515DA7">
        <w:rPr>
          <w:rFonts w:ascii="Century" w:eastAsia="ＭＳ 明朝" w:hAnsi="Century" w:cs="Times New Roman" w:hint="eastAsia"/>
          <w:color w:val="000000"/>
        </w:rPr>
        <w:t>となり</w:t>
      </w:r>
      <w:r w:rsidR="00706419">
        <w:rPr>
          <w:rFonts w:ascii="Century" w:eastAsia="ＭＳ 明朝" w:hAnsi="Century" w:cs="Times New Roman" w:hint="eastAsia"/>
          <w:color w:val="000000"/>
        </w:rPr>
        <w:t>1</w:t>
      </w:r>
      <w:r w:rsidR="00706419">
        <w:rPr>
          <w:rFonts w:ascii="Century" w:eastAsia="ＭＳ 明朝" w:hAnsi="Century" w:cs="Times New Roman" w:hint="eastAsia"/>
          <w:color w:val="000000"/>
        </w:rPr>
        <w:t>兆</w:t>
      </w:r>
      <w:r w:rsidR="00706419">
        <w:rPr>
          <w:rFonts w:ascii="Century" w:eastAsia="ＭＳ 明朝" w:hAnsi="Century" w:cs="Times New Roman" w:hint="eastAsia"/>
          <w:color w:val="000000"/>
        </w:rPr>
        <w:t>6,594</w:t>
      </w:r>
      <w:r w:rsidR="00706419">
        <w:rPr>
          <w:rFonts w:ascii="Century" w:eastAsia="ＭＳ 明朝" w:hAnsi="Century" w:cs="Times New Roman" w:hint="eastAsia"/>
          <w:color w:val="000000"/>
        </w:rPr>
        <w:t>億コロン</w:t>
      </w:r>
      <w:r w:rsidRPr="00515DA7">
        <w:rPr>
          <w:rFonts w:ascii="Century" w:eastAsia="ＭＳ 明朝" w:hAnsi="Century" w:cs="Times New Roman" w:hint="eastAsia"/>
          <w:color w:val="000000"/>
        </w:rPr>
        <w:t>、財政赤字額は前年比約</w:t>
      </w:r>
      <w:r w:rsidRPr="00515DA7">
        <w:rPr>
          <w:rFonts w:ascii="Century" w:eastAsia="ＭＳ 明朝" w:hAnsi="Century" w:cs="Times New Roman" w:hint="eastAsia"/>
          <w:color w:val="000000"/>
        </w:rPr>
        <w:t>5.0</w:t>
      </w:r>
      <w:r w:rsidRPr="00515DA7">
        <w:rPr>
          <w:rFonts w:ascii="Century" w:eastAsia="ＭＳ 明朝" w:hAnsi="Century" w:cs="Times New Roman" w:hint="eastAsia"/>
          <w:color w:val="000000"/>
        </w:rPr>
        <w:t>％増</w:t>
      </w:r>
      <w:r w:rsidR="00C045DF">
        <w:rPr>
          <w:rFonts w:ascii="Century" w:eastAsia="ＭＳ 明朝" w:hAnsi="Century" w:cs="Times New Roman" w:hint="eastAsia"/>
          <w:color w:val="000000"/>
        </w:rPr>
        <w:t>の約</w:t>
      </w:r>
      <w:r w:rsidR="00C045DF">
        <w:rPr>
          <w:rFonts w:ascii="Century" w:eastAsia="ＭＳ 明朝" w:hAnsi="Century" w:cs="Times New Roman" w:hint="eastAsia"/>
          <w:color w:val="000000"/>
        </w:rPr>
        <w:t>4,615</w:t>
      </w:r>
      <w:r w:rsidR="00C045DF">
        <w:rPr>
          <w:rFonts w:ascii="Century" w:eastAsia="ＭＳ 明朝" w:hAnsi="Century" w:cs="Times New Roman" w:hint="eastAsia"/>
          <w:color w:val="000000"/>
        </w:rPr>
        <w:t>億コロン</w:t>
      </w:r>
      <w:r w:rsidRPr="00515DA7">
        <w:rPr>
          <w:rFonts w:ascii="Century" w:eastAsia="ＭＳ 明朝" w:hAnsi="Century" w:cs="Times New Roman" w:hint="eastAsia"/>
          <w:color w:val="000000"/>
        </w:rPr>
        <w:t>となった。財政赤字の対</w:t>
      </w:r>
      <w:r w:rsidRPr="00515DA7">
        <w:rPr>
          <w:rFonts w:ascii="Century" w:eastAsia="ＭＳ 明朝" w:hAnsi="Century" w:cs="Times New Roman"/>
          <w:color w:val="000000"/>
        </w:rPr>
        <w:t>GDP</w:t>
      </w:r>
      <w:r w:rsidRPr="00515DA7">
        <w:rPr>
          <w:rFonts w:ascii="Century" w:eastAsia="ＭＳ 明朝" w:hAnsi="Century" w:cs="Times New Roman" w:hint="eastAsia"/>
          <w:color w:val="000000"/>
        </w:rPr>
        <w:t>比は前年の</w:t>
      </w:r>
      <w:r w:rsidRPr="00515DA7">
        <w:rPr>
          <w:rFonts w:ascii="Century" w:eastAsia="ＭＳ 明朝" w:hAnsi="Century" w:cs="Times New Roman" w:hint="eastAsia"/>
          <w:color w:val="000000"/>
        </w:rPr>
        <w:t>1.8</w:t>
      </w:r>
      <w:r w:rsidRPr="00515DA7">
        <w:rPr>
          <w:rFonts w:ascii="Century" w:eastAsia="ＭＳ 明朝" w:hAnsi="Century" w:cs="Times New Roman" w:hint="eastAsia"/>
          <w:color w:val="000000"/>
        </w:rPr>
        <w:t>％から</w:t>
      </w:r>
      <w:r w:rsidRPr="00515DA7">
        <w:rPr>
          <w:rFonts w:ascii="Century" w:eastAsia="ＭＳ 明朝" w:hAnsi="Century" w:cs="Times New Roman" w:hint="eastAsia"/>
          <w:color w:val="000000"/>
        </w:rPr>
        <w:t>0.1</w:t>
      </w:r>
      <w:r w:rsidRPr="00515DA7">
        <w:rPr>
          <w:rFonts w:ascii="Century" w:eastAsia="ＭＳ 明朝" w:hAnsi="Century" w:cs="Times New Roman" w:hint="eastAsia"/>
          <w:color w:val="000000"/>
        </w:rPr>
        <w:t>ポイント上昇し、</w:t>
      </w:r>
      <w:r w:rsidRPr="00515DA7">
        <w:rPr>
          <w:rFonts w:ascii="Century" w:eastAsia="ＭＳ 明朝" w:hAnsi="Century" w:cs="Times New Roman" w:hint="eastAsia"/>
          <w:color w:val="000000"/>
        </w:rPr>
        <w:t>1.9</w:t>
      </w:r>
      <w:r w:rsidRPr="00515DA7">
        <w:rPr>
          <w:rFonts w:ascii="Century" w:eastAsia="ＭＳ 明朝" w:hAnsi="Century" w:cs="Times New Roman" w:hint="eastAsia"/>
          <w:color w:val="000000"/>
        </w:rPr>
        <w:t>％となっている。</w:t>
      </w:r>
    </w:p>
    <w:p w:rsidR="00515DA7" w:rsidRPr="00515DA7" w:rsidRDefault="00706419" w:rsidP="003759DC">
      <w:pPr>
        <w:jc w:val="left"/>
        <w:rPr>
          <w:rFonts w:ascii="Century" w:eastAsia="ＭＳ 明朝" w:hAnsi="Century" w:cs="Times New Roman"/>
          <w:b/>
          <w:i/>
          <w:color w:val="FF0000"/>
        </w:rPr>
      </w:pPr>
      <w:r w:rsidRPr="00515DA7">
        <w:rPr>
          <w:rFonts w:ascii="Century" w:eastAsia="ＭＳ 明朝" w:hAnsi="Century" w:cs="Times New Roman"/>
          <w:noProof/>
        </w:rPr>
        <w:drawing>
          <wp:anchor distT="0" distB="0" distL="114300" distR="114300" simplePos="0" relativeHeight="251659264" behindDoc="0" locked="0" layoutInCell="1" allowOverlap="1" wp14:anchorId="04401178" wp14:editId="28EAD6E7">
            <wp:simplePos x="0" y="0"/>
            <wp:positionH relativeFrom="margin">
              <wp:posOffset>2933065</wp:posOffset>
            </wp:positionH>
            <wp:positionV relativeFrom="margin">
              <wp:posOffset>3112135</wp:posOffset>
            </wp:positionV>
            <wp:extent cx="2505075" cy="2619375"/>
            <wp:effectExtent l="0" t="0" r="9525" b="9525"/>
            <wp:wrapSquare wrapText="bothSides"/>
            <wp:docPr id="7"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515DA7">
        <w:rPr>
          <w:rFonts w:ascii="Century" w:eastAsia="ＭＳ 明朝" w:hAnsi="Century" w:cs="Times New Roman"/>
          <w:noProof/>
        </w:rPr>
        <w:drawing>
          <wp:anchor distT="0" distB="0" distL="114300" distR="114300" simplePos="0" relativeHeight="251662336" behindDoc="0" locked="0" layoutInCell="1" allowOverlap="1" wp14:anchorId="18D46518" wp14:editId="27370178">
            <wp:simplePos x="0" y="0"/>
            <wp:positionH relativeFrom="margin">
              <wp:posOffset>47625</wp:posOffset>
            </wp:positionH>
            <wp:positionV relativeFrom="margin">
              <wp:posOffset>3108960</wp:posOffset>
            </wp:positionV>
            <wp:extent cx="2619375" cy="2609850"/>
            <wp:effectExtent l="0" t="0" r="9525" b="19050"/>
            <wp:wrapSquare wrapText="bothSides"/>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515DA7" w:rsidRPr="00515DA7">
        <w:rPr>
          <w:rFonts w:ascii="Century" w:eastAsia="ＭＳ 明朝" w:hAnsi="Century" w:cs="Times New Roman" w:hint="eastAsia"/>
          <w:color w:val="000000"/>
        </w:rPr>
        <w:t>●</w:t>
      </w:r>
      <w:r w:rsidR="00515DA7" w:rsidRPr="00515DA7">
        <w:rPr>
          <w:rFonts w:ascii="Century" w:eastAsia="ＭＳ 明朝" w:hAnsi="Century" w:cs="Times New Roman" w:hint="eastAsia"/>
          <w:color w:val="000000"/>
        </w:rPr>
        <w:t>3</w:t>
      </w:r>
      <w:r w:rsidR="00515DA7" w:rsidRPr="00515DA7">
        <w:rPr>
          <w:rFonts w:ascii="Century" w:eastAsia="ＭＳ 明朝" w:hAnsi="Century" w:cs="Times New Roman" w:hint="eastAsia"/>
          <w:color w:val="000000"/>
        </w:rPr>
        <w:t>、</w:t>
      </w:r>
      <w:r w:rsidR="00515DA7" w:rsidRPr="00515DA7">
        <w:rPr>
          <w:rFonts w:ascii="Century" w:eastAsia="ＭＳ 明朝" w:hAnsi="Century" w:cs="Times New Roman" w:hint="eastAsia"/>
          <w:color w:val="000000"/>
        </w:rPr>
        <w:t>4</w:t>
      </w:r>
      <w:r w:rsidR="00515DA7" w:rsidRPr="00515DA7">
        <w:rPr>
          <w:rFonts w:ascii="Century" w:eastAsia="ＭＳ 明朝" w:hAnsi="Century" w:cs="Times New Roman" w:hint="eastAsia"/>
          <w:color w:val="000000"/>
        </w:rPr>
        <w:t>月とも財政赤字</w:t>
      </w:r>
      <w:r w:rsidR="0009653B">
        <w:rPr>
          <w:rFonts w:ascii="Century" w:eastAsia="ＭＳ 明朝" w:hAnsi="Century" w:cs="Times New Roman" w:hint="eastAsia"/>
          <w:color w:val="000000"/>
        </w:rPr>
        <w:t>額</w:t>
      </w:r>
      <w:r w:rsidR="00515DA7" w:rsidRPr="00515DA7">
        <w:rPr>
          <w:rFonts w:ascii="Century" w:eastAsia="ＭＳ 明朝" w:hAnsi="Century" w:cs="Times New Roman" w:hint="eastAsia"/>
          <w:color w:val="000000"/>
        </w:rPr>
        <w:t>の対</w:t>
      </w:r>
      <w:r w:rsidR="00515DA7" w:rsidRPr="00515DA7">
        <w:rPr>
          <w:rFonts w:ascii="Century" w:eastAsia="ＭＳ 明朝" w:hAnsi="Century" w:cs="Times New Roman" w:hint="eastAsia"/>
          <w:color w:val="000000"/>
        </w:rPr>
        <w:t>GDP</w:t>
      </w:r>
      <w:r w:rsidR="00515DA7" w:rsidRPr="00515DA7">
        <w:rPr>
          <w:rFonts w:ascii="Century" w:eastAsia="ＭＳ 明朝" w:hAnsi="Century" w:cs="Times New Roman" w:hint="eastAsia"/>
          <w:color w:val="000000"/>
        </w:rPr>
        <w:t>比は昨年を上回る数値を記録しており、新</w:t>
      </w:r>
      <w:r w:rsidR="00116EFF">
        <w:rPr>
          <w:rFonts w:ascii="Century" w:eastAsia="ＭＳ 明朝" w:hAnsi="Century" w:cs="Times New Roman" w:hint="eastAsia"/>
          <w:color w:val="000000"/>
        </w:rPr>
        <w:t>政権にとって</w:t>
      </w:r>
      <w:r w:rsidR="00180E9B">
        <w:rPr>
          <w:rFonts w:ascii="Century" w:eastAsia="ＭＳ 明朝" w:hAnsi="Century" w:cs="Times New Roman" w:hint="eastAsia"/>
          <w:color w:val="000000"/>
        </w:rPr>
        <w:t>財政</w:t>
      </w:r>
      <w:r w:rsidR="00707AA2">
        <w:rPr>
          <w:rFonts w:ascii="Century" w:eastAsia="ＭＳ 明朝" w:hAnsi="Century" w:cs="Times New Roman" w:hint="eastAsia"/>
          <w:color w:val="000000"/>
        </w:rPr>
        <w:t>改善は</w:t>
      </w:r>
      <w:r w:rsidR="005A3AAB">
        <w:rPr>
          <w:rFonts w:ascii="Century" w:eastAsia="ＭＳ 明朝" w:hAnsi="Century" w:cs="Times New Roman" w:hint="eastAsia"/>
          <w:color w:val="000000"/>
        </w:rPr>
        <w:t>喫緊の課題となる。ファジャス次期財務大臣は</w:t>
      </w:r>
      <w:r w:rsidR="00455EF4">
        <w:rPr>
          <w:rFonts w:ascii="Century" w:eastAsia="ＭＳ 明朝" w:hAnsi="Century" w:cs="Times New Roman" w:hint="eastAsia"/>
          <w:color w:val="000000"/>
        </w:rPr>
        <w:t>、状況</w:t>
      </w:r>
      <w:r w:rsidR="00515DA7" w:rsidRPr="00515DA7">
        <w:rPr>
          <w:rFonts w:ascii="Century" w:eastAsia="ＭＳ 明朝" w:hAnsi="Century" w:cs="Times New Roman" w:hint="eastAsia"/>
          <w:color w:val="000000"/>
        </w:rPr>
        <w:t>改善のために</w:t>
      </w:r>
      <w:r w:rsidR="00455EF4">
        <w:rPr>
          <w:rFonts w:ascii="Century" w:eastAsia="ＭＳ 明朝" w:hAnsi="Century" w:cs="Times New Roman" w:hint="eastAsia"/>
          <w:color w:val="000000"/>
        </w:rPr>
        <w:t>、</w:t>
      </w:r>
      <w:r w:rsidR="00180E9B">
        <w:rPr>
          <w:rFonts w:ascii="Century" w:eastAsia="ＭＳ 明朝" w:hAnsi="Century" w:cs="Times New Roman" w:hint="eastAsia"/>
          <w:color w:val="000000"/>
        </w:rPr>
        <w:t>まずは</w:t>
      </w:r>
      <w:r w:rsidR="00515DA7" w:rsidRPr="00515DA7">
        <w:rPr>
          <w:rFonts w:ascii="Century" w:eastAsia="ＭＳ 明朝" w:hAnsi="Century" w:cs="Times New Roman" w:hint="eastAsia"/>
          <w:color w:val="000000"/>
        </w:rPr>
        <w:t>徹底した脱税対策を講じ、そのうえで不足分を売上税や所得</w:t>
      </w:r>
      <w:r w:rsidR="00BB48BB">
        <w:rPr>
          <w:rFonts w:ascii="Century" w:eastAsia="ＭＳ 明朝" w:hAnsi="Century" w:cs="Times New Roman" w:hint="eastAsia"/>
          <w:color w:val="000000"/>
        </w:rPr>
        <w:t>税などの</w:t>
      </w:r>
      <w:r w:rsidR="00515DA7" w:rsidRPr="00515DA7">
        <w:rPr>
          <w:rFonts w:ascii="Century" w:eastAsia="ＭＳ 明朝" w:hAnsi="Century" w:cs="Times New Roman" w:hint="eastAsia"/>
          <w:color w:val="000000"/>
        </w:rPr>
        <w:t>税制改革</w:t>
      </w:r>
      <w:r w:rsidR="001D69CB">
        <w:rPr>
          <w:rStyle w:val="a7"/>
          <w:rFonts w:ascii="Century" w:eastAsia="ＭＳ 明朝" w:hAnsi="Century" w:cs="Times New Roman"/>
          <w:color w:val="000000"/>
        </w:rPr>
        <w:footnoteReference w:id="2"/>
      </w:r>
      <w:r w:rsidR="00515DA7" w:rsidRPr="00515DA7">
        <w:rPr>
          <w:rFonts w:ascii="Century" w:eastAsia="ＭＳ 明朝" w:hAnsi="Century" w:cs="Times New Roman" w:hint="eastAsia"/>
          <w:color w:val="000000"/>
        </w:rPr>
        <w:t>によって補っていく方針を示している。</w:t>
      </w:r>
    </w:p>
    <w:p w:rsidR="00515DA7" w:rsidRPr="00515DA7" w:rsidRDefault="00515DA7" w:rsidP="00515DA7">
      <w:pPr>
        <w:rPr>
          <w:rFonts w:ascii="Century" w:eastAsia="ＭＳ 明朝" w:hAnsi="Century" w:cs="Times New Roman"/>
        </w:rPr>
      </w:pPr>
    </w:p>
    <w:p w:rsidR="00515DA7" w:rsidRDefault="00515DA7" w:rsidP="00515DA7">
      <w:pPr>
        <w:rPr>
          <w:rFonts w:ascii="Century" w:eastAsia="ＭＳ 明朝" w:hAnsi="Century" w:cs="Times New Roman"/>
        </w:rPr>
      </w:pPr>
      <w:r w:rsidRPr="00515DA7">
        <w:rPr>
          <w:rFonts w:ascii="Century" w:eastAsia="ＭＳ 明朝" w:hAnsi="Century" w:cs="Times New Roman"/>
        </w:rPr>
        <w:br w:type="textWrapping" w:clear="all"/>
      </w:r>
    </w:p>
    <w:p w:rsidR="005A3AAB" w:rsidRDefault="005A3AAB" w:rsidP="00515DA7">
      <w:pPr>
        <w:rPr>
          <w:rFonts w:ascii="Century" w:eastAsia="ＭＳ 明朝" w:hAnsi="Century" w:cs="Times New Roman"/>
        </w:rPr>
      </w:pPr>
    </w:p>
    <w:p w:rsidR="005A3AAB" w:rsidRDefault="005A3AAB" w:rsidP="00515DA7">
      <w:pPr>
        <w:rPr>
          <w:rFonts w:ascii="Century" w:eastAsia="ＭＳ 明朝" w:hAnsi="Century" w:cs="Times New Roman"/>
        </w:rPr>
      </w:pPr>
    </w:p>
    <w:p w:rsidR="005A3AAB" w:rsidRDefault="005A3AAB" w:rsidP="00515DA7">
      <w:pPr>
        <w:rPr>
          <w:rFonts w:ascii="Century" w:eastAsia="ＭＳ 明朝" w:hAnsi="Century" w:cs="Times New Roman"/>
        </w:rPr>
      </w:pPr>
    </w:p>
    <w:p w:rsidR="005A3AAB" w:rsidRDefault="005A3AAB" w:rsidP="00515DA7">
      <w:pPr>
        <w:rPr>
          <w:rFonts w:ascii="Century" w:eastAsia="ＭＳ 明朝" w:hAnsi="Century" w:cs="Times New Roman"/>
        </w:rPr>
      </w:pPr>
    </w:p>
    <w:p w:rsidR="005A3AAB" w:rsidRDefault="005A3AAB" w:rsidP="00515DA7">
      <w:pPr>
        <w:rPr>
          <w:rFonts w:ascii="Century" w:eastAsia="ＭＳ 明朝" w:hAnsi="Century" w:cs="Times New Roman"/>
        </w:rPr>
      </w:pPr>
    </w:p>
    <w:p w:rsidR="005A3AAB" w:rsidRDefault="005A3AAB" w:rsidP="00515DA7">
      <w:pPr>
        <w:rPr>
          <w:rFonts w:ascii="Century" w:eastAsia="ＭＳ 明朝" w:hAnsi="Century" w:cs="Times New Roman"/>
        </w:rPr>
      </w:pPr>
    </w:p>
    <w:p w:rsidR="00515DA7" w:rsidRPr="00515DA7" w:rsidRDefault="00515DA7" w:rsidP="00515DA7">
      <w:pPr>
        <w:rPr>
          <w:rFonts w:ascii="Century" w:eastAsia="ＭＳ 明朝" w:hAnsi="Century" w:cs="Times New Roman"/>
        </w:rPr>
      </w:pPr>
      <w:r w:rsidRPr="00515DA7">
        <w:rPr>
          <w:rFonts w:ascii="Century" w:eastAsia="ＭＳ 明朝" w:hAnsi="Century" w:cs="Times New Roman" w:hint="eastAsia"/>
        </w:rPr>
        <w:t>４　物価上昇率</w:t>
      </w:r>
    </w:p>
    <w:p w:rsidR="00192EFA" w:rsidRDefault="00515DA7" w:rsidP="003759DC">
      <w:pPr>
        <w:jc w:val="left"/>
        <w:rPr>
          <w:rFonts w:ascii="Century" w:eastAsia="ＭＳ 明朝" w:hAnsi="Century" w:cs="Times New Roman"/>
        </w:rPr>
      </w:pPr>
      <w:r w:rsidRPr="00515DA7">
        <w:rPr>
          <w:rFonts w:ascii="Century" w:eastAsia="ＭＳ 明朝" w:hAnsi="Century" w:cs="Times New Roman" w:hint="eastAsia"/>
        </w:rPr>
        <w:lastRenderedPageBreak/>
        <w:t>●</w:t>
      </w:r>
      <w:r w:rsidR="008D3A13">
        <w:rPr>
          <w:rFonts w:ascii="Century" w:eastAsia="ＭＳ 明朝" w:hAnsi="Century" w:cs="Times New Roman" w:hint="eastAsia"/>
        </w:rPr>
        <w:t>2</w:t>
      </w:r>
      <w:r w:rsidR="008D3A13">
        <w:rPr>
          <w:rFonts w:ascii="Century" w:eastAsia="ＭＳ 明朝" w:hAnsi="Century" w:cs="Times New Roman" w:hint="eastAsia"/>
        </w:rPr>
        <w:t>月から</w:t>
      </w:r>
      <w:r w:rsidRPr="00515DA7">
        <w:rPr>
          <w:rFonts w:ascii="Century" w:eastAsia="ＭＳ 明朝" w:hAnsi="Century" w:cs="Times New Roman" w:hint="eastAsia"/>
        </w:rPr>
        <w:t>3</w:t>
      </w:r>
      <w:r w:rsidRPr="00515DA7">
        <w:rPr>
          <w:rFonts w:ascii="Century" w:eastAsia="ＭＳ 明朝" w:hAnsi="Century" w:cs="Times New Roman" w:hint="eastAsia"/>
        </w:rPr>
        <w:t>月</w:t>
      </w:r>
      <w:r w:rsidR="008D3A13">
        <w:rPr>
          <w:rFonts w:ascii="Century" w:eastAsia="ＭＳ 明朝" w:hAnsi="Century" w:cs="Times New Roman" w:hint="eastAsia"/>
        </w:rPr>
        <w:t>にかけての</w:t>
      </w:r>
      <w:r w:rsidRPr="00515DA7">
        <w:rPr>
          <w:rFonts w:ascii="Century" w:eastAsia="ＭＳ 明朝" w:hAnsi="Century" w:cs="Times New Roman" w:hint="eastAsia"/>
        </w:rPr>
        <w:t>物価上昇率</w:t>
      </w:r>
      <w:r w:rsidRPr="00515DA7">
        <w:rPr>
          <w:rFonts w:ascii="Century" w:eastAsia="ＭＳ 明朝" w:hAnsi="Century" w:cs="Times New Roman"/>
        </w:rPr>
        <w:t>(</w:t>
      </w:r>
      <w:r w:rsidRPr="00515DA7">
        <w:rPr>
          <w:rFonts w:ascii="Century" w:eastAsia="ＭＳ 明朝" w:hAnsi="Century" w:cs="Times New Roman" w:hint="eastAsia"/>
        </w:rPr>
        <w:t>表</w:t>
      </w:r>
      <w:r w:rsidRPr="00515DA7">
        <w:rPr>
          <w:rFonts w:ascii="Century" w:eastAsia="ＭＳ 明朝" w:hAnsi="Century" w:cs="Times New Roman"/>
        </w:rPr>
        <w:t>8)</w:t>
      </w:r>
      <w:r w:rsidRPr="00515DA7">
        <w:rPr>
          <w:rFonts w:ascii="Century" w:eastAsia="ＭＳ 明朝" w:hAnsi="Century" w:cs="Times New Roman" w:hint="eastAsia"/>
        </w:rPr>
        <w:t>は前年同月</w:t>
      </w:r>
      <w:r w:rsidRPr="00515DA7">
        <w:rPr>
          <w:rFonts w:ascii="Century" w:eastAsia="ＭＳ 明朝" w:hAnsi="Century" w:cs="Times New Roman"/>
        </w:rPr>
        <w:t>(</w:t>
      </w:r>
      <w:r w:rsidRPr="00515DA7">
        <w:rPr>
          <w:rFonts w:ascii="Century" w:eastAsia="ＭＳ 明朝" w:hAnsi="Century" w:cs="Times New Roman" w:hint="eastAsia"/>
        </w:rPr>
        <w:t>0</w:t>
      </w:r>
      <w:r w:rsidRPr="00515DA7">
        <w:rPr>
          <w:rFonts w:ascii="Century" w:eastAsia="ＭＳ 明朝" w:hAnsi="Century" w:cs="Times New Roman"/>
        </w:rPr>
        <w:t>.</w:t>
      </w:r>
      <w:r w:rsidRPr="00515DA7">
        <w:rPr>
          <w:rFonts w:ascii="Century" w:eastAsia="ＭＳ 明朝" w:hAnsi="Century" w:cs="Times New Roman" w:hint="eastAsia"/>
        </w:rPr>
        <w:t>12</w:t>
      </w:r>
      <w:r w:rsidRPr="00515DA7">
        <w:rPr>
          <w:rFonts w:ascii="Century" w:eastAsia="ＭＳ 明朝" w:hAnsi="Century" w:cs="Times New Roman"/>
        </w:rPr>
        <w:t>%)</w:t>
      </w:r>
      <w:r w:rsidRPr="00515DA7">
        <w:rPr>
          <w:rFonts w:ascii="Century" w:eastAsia="ＭＳ 明朝" w:hAnsi="Century" w:cs="Times New Roman" w:hint="eastAsia"/>
        </w:rPr>
        <w:t>を大きく上回る</w:t>
      </w:r>
      <w:r w:rsidRPr="00515DA7">
        <w:rPr>
          <w:rFonts w:ascii="Century" w:eastAsia="ＭＳ 明朝" w:hAnsi="Century" w:cs="Times New Roman"/>
        </w:rPr>
        <w:t>0.</w:t>
      </w:r>
      <w:r w:rsidRPr="00515DA7">
        <w:rPr>
          <w:rFonts w:ascii="Century" w:eastAsia="ＭＳ 明朝" w:hAnsi="Century" w:cs="Times New Roman" w:hint="eastAsia"/>
        </w:rPr>
        <w:t>62</w:t>
      </w:r>
      <w:r w:rsidRPr="00515DA7">
        <w:rPr>
          <w:rFonts w:ascii="Century" w:eastAsia="ＭＳ 明朝" w:hAnsi="Century" w:cs="Times New Roman" w:hint="eastAsia"/>
        </w:rPr>
        <w:t>％となった。また、</w:t>
      </w:r>
      <w:r w:rsidR="008D3A13">
        <w:rPr>
          <w:rFonts w:ascii="Century" w:eastAsia="ＭＳ 明朝" w:hAnsi="Century" w:cs="Times New Roman" w:hint="eastAsia"/>
        </w:rPr>
        <w:t>3</w:t>
      </w:r>
      <w:r w:rsidR="008D3A13">
        <w:rPr>
          <w:rFonts w:ascii="Century" w:eastAsia="ＭＳ 明朝" w:hAnsi="Century" w:cs="Times New Roman" w:hint="eastAsia"/>
        </w:rPr>
        <w:t>月から</w:t>
      </w:r>
      <w:r w:rsidRPr="00515DA7">
        <w:rPr>
          <w:rFonts w:ascii="Century" w:eastAsia="ＭＳ 明朝" w:hAnsi="Century" w:cs="Times New Roman" w:hint="eastAsia"/>
        </w:rPr>
        <w:t>4</w:t>
      </w:r>
      <w:r w:rsidRPr="00515DA7">
        <w:rPr>
          <w:rFonts w:ascii="Century" w:eastAsia="ＭＳ 明朝" w:hAnsi="Century" w:cs="Times New Roman" w:hint="eastAsia"/>
        </w:rPr>
        <w:t>月</w:t>
      </w:r>
      <w:r w:rsidR="008D3A13">
        <w:rPr>
          <w:rFonts w:ascii="Century" w:eastAsia="ＭＳ 明朝" w:hAnsi="Century" w:cs="Times New Roman" w:hint="eastAsia"/>
        </w:rPr>
        <w:t>にかけても前年同期</w:t>
      </w:r>
      <w:r w:rsidRPr="00515DA7">
        <w:rPr>
          <w:rFonts w:ascii="Century" w:eastAsia="ＭＳ 明朝" w:hAnsi="Century" w:cs="Times New Roman"/>
        </w:rPr>
        <w:t>(</w:t>
      </w:r>
      <w:r w:rsidRPr="00515DA7">
        <w:rPr>
          <w:rFonts w:ascii="Century" w:eastAsia="ＭＳ 明朝" w:hAnsi="Century" w:cs="Times New Roman" w:hint="eastAsia"/>
        </w:rPr>
        <w:t>0.74</w:t>
      </w:r>
      <w:r w:rsidRPr="00515DA7">
        <w:rPr>
          <w:rFonts w:ascii="Century" w:eastAsia="ＭＳ 明朝" w:hAnsi="Century" w:cs="Times New Roman" w:hint="eastAsia"/>
        </w:rPr>
        <w:t>％</w:t>
      </w:r>
      <w:r w:rsidRPr="00515DA7">
        <w:rPr>
          <w:rFonts w:ascii="Century" w:eastAsia="ＭＳ 明朝" w:hAnsi="Century" w:cs="Times New Roman"/>
        </w:rPr>
        <w:t>)</w:t>
      </w:r>
      <w:r w:rsidRPr="00515DA7">
        <w:rPr>
          <w:rFonts w:ascii="Century" w:eastAsia="ＭＳ 明朝" w:hAnsi="Century" w:cs="Times New Roman" w:hint="eastAsia"/>
        </w:rPr>
        <w:t>を上回る</w:t>
      </w:r>
      <w:r w:rsidRPr="00515DA7">
        <w:rPr>
          <w:rFonts w:ascii="Century" w:eastAsia="ＭＳ 明朝" w:hAnsi="Century" w:cs="Times New Roman" w:hint="eastAsia"/>
        </w:rPr>
        <w:t>1.14</w:t>
      </w:r>
      <w:r w:rsidR="008D3A13">
        <w:rPr>
          <w:rFonts w:ascii="Century" w:eastAsia="ＭＳ 明朝" w:hAnsi="Century" w:cs="Times New Roman" w:hint="eastAsia"/>
        </w:rPr>
        <w:t>％を記録した</w:t>
      </w:r>
      <w:r w:rsidRPr="00515DA7">
        <w:rPr>
          <w:rFonts w:ascii="Century" w:eastAsia="ＭＳ 明朝" w:hAnsi="Century" w:cs="Times New Roman" w:hint="eastAsia"/>
        </w:rPr>
        <w:t>。</w:t>
      </w:r>
    </w:p>
    <w:p w:rsidR="00515DA7" w:rsidRPr="00515DA7" w:rsidRDefault="00192EFA" w:rsidP="003759DC">
      <w:pPr>
        <w:jc w:val="left"/>
        <w:rPr>
          <w:rFonts w:ascii="Century" w:eastAsia="ＭＳ 明朝" w:hAnsi="Century" w:cs="Times New Roman"/>
        </w:rPr>
      </w:pPr>
      <w:r>
        <w:rPr>
          <w:rFonts w:ascii="Century" w:eastAsia="ＭＳ 明朝" w:hAnsi="Century" w:cs="Times New Roman" w:hint="eastAsia"/>
        </w:rPr>
        <w:t>●</w:t>
      </w:r>
      <w:r w:rsidR="00515DA7" w:rsidRPr="00515DA7">
        <w:rPr>
          <w:rFonts w:ascii="Century" w:eastAsia="ＭＳ 明朝" w:hAnsi="Century" w:cs="Times New Roman" w:hint="eastAsia"/>
        </w:rPr>
        <w:t>年率換算値</w:t>
      </w:r>
      <w:r w:rsidR="00515DA7" w:rsidRPr="00515DA7">
        <w:rPr>
          <w:rFonts w:ascii="Century" w:eastAsia="ＭＳ 明朝" w:hAnsi="Century" w:cs="Times New Roman"/>
        </w:rPr>
        <w:t>(</w:t>
      </w:r>
      <w:r w:rsidR="00515DA7" w:rsidRPr="00515DA7">
        <w:rPr>
          <w:rFonts w:ascii="Century" w:eastAsia="ＭＳ 明朝" w:hAnsi="Century" w:cs="Times New Roman" w:hint="eastAsia"/>
        </w:rPr>
        <w:t>表</w:t>
      </w:r>
      <w:r w:rsidR="00515DA7" w:rsidRPr="00515DA7">
        <w:rPr>
          <w:rFonts w:ascii="Century" w:eastAsia="ＭＳ 明朝" w:hAnsi="Century" w:cs="Times New Roman"/>
        </w:rPr>
        <w:t>9)</w:t>
      </w:r>
      <w:r w:rsidR="0007764D">
        <w:rPr>
          <w:rFonts w:ascii="Century" w:eastAsia="ＭＳ 明朝" w:hAnsi="Century" w:cs="Times New Roman" w:hint="eastAsia"/>
        </w:rPr>
        <w:t>では</w:t>
      </w:r>
      <w:r w:rsidR="0007764D">
        <w:rPr>
          <w:rFonts w:ascii="Century" w:eastAsia="ＭＳ 明朝" w:hAnsi="Century" w:cs="Times New Roman" w:hint="eastAsia"/>
        </w:rPr>
        <w:t>3</w:t>
      </w:r>
      <w:r w:rsidR="0007764D">
        <w:rPr>
          <w:rFonts w:ascii="Century" w:eastAsia="ＭＳ 明朝" w:hAnsi="Century" w:cs="Times New Roman" w:hint="eastAsia"/>
        </w:rPr>
        <w:t>月に</w:t>
      </w:r>
      <w:r w:rsidR="00515DA7" w:rsidRPr="00515DA7">
        <w:rPr>
          <w:rFonts w:ascii="Century" w:eastAsia="ＭＳ 明朝" w:hAnsi="Century" w:cs="Times New Roman"/>
        </w:rPr>
        <w:t>3.</w:t>
      </w:r>
      <w:r w:rsidR="00515DA7" w:rsidRPr="00515DA7">
        <w:rPr>
          <w:rFonts w:ascii="Century" w:eastAsia="ＭＳ 明朝" w:hAnsi="Century" w:cs="Times New Roman" w:hint="eastAsia"/>
        </w:rPr>
        <w:t>26</w:t>
      </w:r>
      <w:r w:rsidR="00515DA7" w:rsidRPr="00515DA7">
        <w:rPr>
          <w:rFonts w:ascii="Century" w:eastAsia="ＭＳ 明朝" w:hAnsi="Century" w:cs="Times New Roman" w:hint="eastAsia"/>
        </w:rPr>
        <w:t>％、</w:t>
      </w:r>
      <w:r w:rsidR="0007764D">
        <w:rPr>
          <w:rFonts w:ascii="Century" w:eastAsia="ＭＳ 明朝" w:hAnsi="Century" w:cs="Times New Roman" w:hint="eastAsia"/>
        </w:rPr>
        <w:t>4</w:t>
      </w:r>
      <w:r w:rsidR="0007764D">
        <w:rPr>
          <w:rFonts w:ascii="Century" w:eastAsia="ＭＳ 明朝" w:hAnsi="Century" w:cs="Times New Roman" w:hint="eastAsia"/>
        </w:rPr>
        <w:t>月に</w:t>
      </w:r>
      <w:r w:rsidR="00515DA7" w:rsidRPr="00515DA7">
        <w:rPr>
          <w:rFonts w:ascii="Century" w:eastAsia="ＭＳ 明朝" w:hAnsi="Century" w:cs="Times New Roman" w:hint="eastAsia"/>
        </w:rPr>
        <w:t>3</w:t>
      </w:r>
      <w:r w:rsidR="00515DA7" w:rsidRPr="00515DA7">
        <w:rPr>
          <w:rFonts w:ascii="Century" w:eastAsia="ＭＳ 明朝" w:hAnsi="Century" w:cs="Times New Roman"/>
        </w:rPr>
        <w:t>.</w:t>
      </w:r>
      <w:r w:rsidR="00515DA7" w:rsidRPr="00515DA7">
        <w:rPr>
          <w:rFonts w:ascii="Century" w:eastAsia="ＭＳ 明朝" w:hAnsi="Century" w:cs="Times New Roman" w:hint="eastAsia"/>
        </w:rPr>
        <w:t>68</w:t>
      </w:r>
      <w:r w:rsidR="00BB3BDC">
        <w:rPr>
          <w:rFonts w:ascii="Century" w:eastAsia="ＭＳ 明朝" w:hAnsi="Century" w:cs="Times New Roman" w:hint="eastAsia"/>
        </w:rPr>
        <w:t>％</w:t>
      </w:r>
      <w:r w:rsidR="0007764D">
        <w:rPr>
          <w:rFonts w:ascii="Century" w:eastAsia="ＭＳ 明朝" w:hAnsi="Century" w:cs="Times New Roman" w:hint="eastAsia"/>
        </w:rPr>
        <w:t>を記録し</w:t>
      </w:r>
      <w:r w:rsidR="00BB3BDC">
        <w:rPr>
          <w:rFonts w:ascii="Century" w:eastAsia="ＭＳ 明朝" w:hAnsi="Century" w:cs="Times New Roman" w:hint="eastAsia"/>
        </w:rPr>
        <w:t>、政府の定める</w:t>
      </w:r>
      <w:r w:rsidR="001539B9">
        <w:rPr>
          <w:rFonts w:ascii="Century" w:eastAsia="ＭＳ 明朝" w:hAnsi="Century" w:cs="Times New Roman" w:hint="eastAsia"/>
        </w:rPr>
        <w:t>インフレ・ターゲット</w:t>
      </w:r>
      <w:r w:rsidR="001539B9">
        <w:rPr>
          <w:rFonts w:ascii="Century" w:eastAsia="ＭＳ 明朝" w:hAnsi="Century" w:cs="Times New Roman" w:hint="eastAsia"/>
        </w:rPr>
        <w:t>(</w:t>
      </w:r>
      <w:r w:rsidR="00515DA7" w:rsidRPr="00515DA7">
        <w:rPr>
          <w:rFonts w:ascii="Century" w:eastAsia="ＭＳ 明朝" w:hAnsi="Century" w:cs="Times New Roman" w:hint="eastAsia"/>
        </w:rPr>
        <w:t>3</w:t>
      </w:r>
      <w:r w:rsidR="00515DA7" w:rsidRPr="00515DA7">
        <w:rPr>
          <w:rFonts w:ascii="Century" w:eastAsia="ＭＳ 明朝" w:hAnsi="Century" w:cs="Times New Roman" w:hint="eastAsia"/>
        </w:rPr>
        <w:t>～</w:t>
      </w:r>
      <w:r w:rsidR="00515DA7" w:rsidRPr="00515DA7">
        <w:rPr>
          <w:rFonts w:ascii="Century" w:eastAsia="ＭＳ 明朝" w:hAnsi="Century" w:cs="Times New Roman" w:hint="eastAsia"/>
        </w:rPr>
        <w:t>5</w:t>
      </w:r>
      <w:r w:rsidR="00515DA7" w:rsidRPr="00515DA7">
        <w:rPr>
          <w:rFonts w:ascii="Century" w:eastAsia="ＭＳ 明朝" w:hAnsi="Century" w:cs="Times New Roman" w:hint="eastAsia"/>
        </w:rPr>
        <w:t>％</w:t>
      </w:r>
      <w:r w:rsidR="001539B9">
        <w:rPr>
          <w:rFonts w:ascii="Century" w:eastAsia="ＭＳ 明朝" w:hAnsi="Century" w:cs="Times New Roman" w:hint="eastAsia"/>
        </w:rPr>
        <w:t>)</w:t>
      </w:r>
      <w:r w:rsidR="00BB3BDC">
        <w:rPr>
          <w:rFonts w:ascii="Century" w:eastAsia="ＭＳ 明朝" w:hAnsi="Century" w:cs="Times New Roman" w:hint="eastAsia"/>
        </w:rPr>
        <w:t>内</w:t>
      </w:r>
      <w:r w:rsidR="00515DA7" w:rsidRPr="00515DA7">
        <w:rPr>
          <w:rFonts w:ascii="Century" w:eastAsia="ＭＳ 明朝" w:hAnsi="Century" w:cs="Times New Roman" w:hint="eastAsia"/>
        </w:rPr>
        <w:t>にある。</w:t>
      </w:r>
    </w:p>
    <w:p w:rsidR="00515DA7" w:rsidRPr="00515DA7" w:rsidRDefault="00515DA7" w:rsidP="00515DA7">
      <w:pPr>
        <w:rPr>
          <w:rFonts w:ascii="Century" w:eastAsia="ＭＳ 明朝" w:hAnsi="Century" w:cs="Times New Roman"/>
        </w:rPr>
      </w:pPr>
      <w:r w:rsidRPr="00515DA7">
        <w:rPr>
          <w:rFonts w:ascii="Century" w:eastAsia="ＭＳ 明朝" w:hAnsi="Century" w:cs="Times New Roman" w:hint="eastAsia"/>
        </w:rPr>
        <w:t>●</w:t>
      </w:r>
      <w:r w:rsidRPr="00515DA7">
        <w:rPr>
          <w:rFonts w:ascii="Century" w:eastAsia="ＭＳ 明朝" w:hAnsi="Century" w:cs="Times New Roman" w:hint="eastAsia"/>
        </w:rPr>
        <w:t>4</w:t>
      </w:r>
      <w:r w:rsidRPr="00515DA7">
        <w:rPr>
          <w:rFonts w:ascii="Century" w:eastAsia="ＭＳ 明朝" w:hAnsi="Century" w:cs="Times New Roman" w:hint="eastAsia"/>
        </w:rPr>
        <w:t>月までの急速な数値の上昇は、年始以来のドル高が電気、ガソリン燃料、高速道路料金などコモデティに反映されたことが要因となっている。</w:t>
      </w:r>
    </w:p>
    <w:p w:rsidR="00515DA7" w:rsidRDefault="00515DA7" w:rsidP="003759DC">
      <w:pPr>
        <w:jc w:val="left"/>
        <w:rPr>
          <w:rFonts w:ascii="Century" w:eastAsia="ＭＳ 明朝" w:hAnsi="Century" w:cs="Times New Roman"/>
        </w:rPr>
      </w:pPr>
      <w:r w:rsidRPr="00515DA7">
        <w:rPr>
          <w:rFonts w:ascii="Century" w:eastAsia="ＭＳ 明朝" w:hAnsi="Century" w:cs="Times New Roman" w:hint="eastAsia"/>
        </w:rPr>
        <w:t>●年始以来の急激な消費者物価関連指数の変化を受け、次期政権におけるインフレ・ターゲットへの方針が注目されているなか、オリビエル・カストロ次期中央銀行総裁は同指標の</w:t>
      </w:r>
      <w:r w:rsidR="00293E02">
        <w:rPr>
          <w:rFonts w:ascii="Century" w:eastAsia="ＭＳ 明朝" w:hAnsi="Century" w:cs="Times New Roman" w:hint="eastAsia"/>
        </w:rPr>
        <w:t>当面の</w:t>
      </w:r>
      <w:r w:rsidRPr="00515DA7">
        <w:rPr>
          <w:rFonts w:ascii="Century" w:eastAsia="ＭＳ 明朝" w:hAnsi="Century" w:cs="Times New Roman" w:hint="eastAsia"/>
        </w:rPr>
        <w:t>維持を表明している。</w:t>
      </w:r>
    </w:p>
    <w:p w:rsidR="005A3AAB" w:rsidRPr="00515DA7" w:rsidRDefault="005A3AAB" w:rsidP="003759DC">
      <w:pPr>
        <w:jc w:val="left"/>
        <w:rPr>
          <w:rFonts w:ascii="Century" w:eastAsia="ＭＳ 明朝" w:hAnsi="Century" w:cs="Times New Roman"/>
        </w:rPr>
      </w:pPr>
    </w:p>
    <w:p w:rsidR="00515DA7" w:rsidRPr="00515DA7" w:rsidRDefault="00515DA7" w:rsidP="00515DA7">
      <w:pPr>
        <w:jc w:val="center"/>
        <w:rPr>
          <w:rFonts w:ascii="Century" w:eastAsia="ＭＳ 明朝" w:hAnsi="Century" w:cs="Times New Roman"/>
        </w:rPr>
      </w:pPr>
      <w:r w:rsidRPr="00515DA7">
        <w:rPr>
          <w:rFonts w:ascii="Century" w:eastAsia="ＭＳ 明朝" w:hAnsi="Century" w:cs="Times New Roman"/>
          <w:noProof/>
        </w:rPr>
        <w:drawing>
          <wp:inline distT="0" distB="0" distL="0" distR="0" wp14:anchorId="4ED23CAA" wp14:editId="726E1A33">
            <wp:extent cx="4286250" cy="2466975"/>
            <wp:effectExtent l="0" t="0" r="19050" b="9525"/>
            <wp:docPr id="8"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15DA7" w:rsidRPr="00515DA7" w:rsidRDefault="00515DA7" w:rsidP="00515DA7">
      <w:pPr>
        <w:jc w:val="center"/>
        <w:rPr>
          <w:rFonts w:ascii="Century" w:eastAsia="ＭＳ 明朝" w:hAnsi="Century" w:cs="Times New Roman"/>
        </w:rPr>
      </w:pPr>
      <w:r w:rsidRPr="00515DA7">
        <w:rPr>
          <w:rFonts w:ascii="Century" w:eastAsia="ＭＳ 明朝" w:hAnsi="Century" w:cs="Times New Roman"/>
          <w:noProof/>
        </w:rPr>
        <w:drawing>
          <wp:inline distT="0" distB="0" distL="0" distR="0" wp14:anchorId="04F00B92" wp14:editId="07F888E1">
            <wp:extent cx="4429125" cy="2400300"/>
            <wp:effectExtent l="0" t="0" r="9525" b="19050"/>
            <wp:docPr id="9"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15DA7" w:rsidRDefault="00515DA7" w:rsidP="00515DA7">
      <w:pPr>
        <w:rPr>
          <w:rFonts w:ascii="Century" w:eastAsia="ＭＳ 明朝" w:hAnsi="Century" w:cs="Times New Roman"/>
        </w:rPr>
      </w:pPr>
    </w:p>
    <w:p w:rsidR="001E476D" w:rsidRDefault="001E476D" w:rsidP="00515DA7">
      <w:pPr>
        <w:rPr>
          <w:rFonts w:ascii="Century" w:eastAsia="ＭＳ 明朝" w:hAnsi="Century" w:cs="Times New Roman"/>
        </w:rPr>
      </w:pPr>
    </w:p>
    <w:p w:rsidR="001E476D" w:rsidRDefault="001E476D" w:rsidP="00515DA7">
      <w:pPr>
        <w:rPr>
          <w:rFonts w:ascii="Century" w:eastAsia="ＭＳ 明朝" w:hAnsi="Century" w:cs="Times New Roman"/>
        </w:rPr>
      </w:pPr>
    </w:p>
    <w:p w:rsidR="00515DA7" w:rsidRPr="00515DA7" w:rsidRDefault="00515DA7" w:rsidP="00515DA7">
      <w:pPr>
        <w:rPr>
          <w:rFonts w:ascii="Century" w:eastAsia="ＭＳ 明朝" w:hAnsi="Century" w:cs="Times New Roman"/>
        </w:rPr>
      </w:pPr>
      <w:r w:rsidRPr="00515DA7">
        <w:rPr>
          <w:rFonts w:ascii="Century" w:eastAsia="ＭＳ 明朝" w:hAnsi="Century" w:cs="Times New Roman" w:hint="eastAsia"/>
        </w:rPr>
        <w:t>５．為替・金利</w:t>
      </w:r>
    </w:p>
    <w:p w:rsidR="00515DA7" w:rsidRPr="00515DA7" w:rsidRDefault="00515DA7" w:rsidP="003759DC">
      <w:pPr>
        <w:jc w:val="left"/>
        <w:rPr>
          <w:rFonts w:ascii="Century" w:eastAsia="ＭＳ 明朝" w:hAnsi="Century" w:cs="Times New Roman"/>
        </w:rPr>
      </w:pPr>
      <w:r w:rsidRPr="00515DA7">
        <w:rPr>
          <w:rFonts w:ascii="Century" w:eastAsia="ＭＳ 明朝" w:hAnsi="Century" w:cs="Times New Roman"/>
        </w:rPr>
        <w:lastRenderedPageBreak/>
        <w:t>(</w:t>
      </w:r>
      <w:r w:rsidRPr="00515DA7">
        <w:rPr>
          <w:rFonts w:ascii="Century" w:eastAsia="ＭＳ 明朝" w:hAnsi="Century" w:cs="Times New Roman" w:hint="eastAsia"/>
        </w:rPr>
        <w:t>１</w:t>
      </w:r>
      <w:r w:rsidRPr="00515DA7">
        <w:rPr>
          <w:rFonts w:ascii="Century" w:eastAsia="ＭＳ 明朝" w:hAnsi="Century" w:cs="Times New Roman"/>
        </w:rPr>
        <w:t>)</w:t>
      </w:r>
      <w:r w:rsidRPr="00515DA7">
        <w:rPr>
          <w:rFonts w:ascii="Century" w:eastAsia="ＭＳ 明朝" w:hAnsi="Century" w:cs="Times New Roman" w:hint="eastAsia"/>
        </w:rPr>
        <w:t>為替レート</w:t>
      </w:r>
    </w:p>
    <w:p w:rsidR="00515DA7" w:rsidRPr="00515DA7" w:rsidRDefault="00515DA7" w:rsidP="003759DC">
      <w:pPr>
        <w:jc w:val="left"/>
        <w:rPr>
          <w:rFonts w:ascii="Century" w:eastAsia="ＭＳ 明朝" w:hAnsi="Century" w:cs="Times New Roman"/>
        </w:rPr>
      </w:pPr>
      <w:r w:rsidRPr="00515DA7">
        <w:rPr>
          <w:rFonts w:ascii="Century" w:eastAsia="ＭＳ 明朝" w:hAnsi="Century" w:cs="Times New Roman" w:hint="eastAsia"/>
        </w:rPr>
        <w:t>●対米ドル為替レート</w:t>
      </w:r>
      <w:r w:rsidRPr="00515DA7">
        <w:rPr>
          <w:rFonts w:ascii="Century" w:eastAsia="ＭＳ 明朝" w:hAnsi="Century" w:cs="Times New Roman"/>
        </w:rPr>
        <w:t>(</w:t>
      </w:r>
      <w:r w:rsidRPr="00515DA7">
        <w:rPr>
          <w:rFonts w:ascii="Century" w:eastAsia="ＭＳ 明朝" w:hAnsi="Century" w:cs="Times New Roman" w:hint="eastAsia"/>
        </w:rPr>
        <w:t>表</w:t>
      </w:r>
      <w:r w:rsidRPr="00515DA7">
        <w:rPr>
          <w:rFonts w:ascii="Century" w:eastAsia="ＭＳ 明朝" w:hAnsi="Century" w:cs="Times New Roman"/>
        </w:rPr>
        <w:t>10)</w:t>
      </w:r>
      <w:r w:rsidRPr="00515DA7">
        <w:rPr>
          <w:rFonts w:ascii="Century" w:eastAsia="ＭＳ 明朝" w:hAnsi="Century" w:cs="Times New Roman" w:hint="eastAsia"/>
        </w:rPr>
        <w:t>は、</w:t>
      </w:r>
      <w:r w:rsidRPr="00515DA7">
        <w:rPr>
          <w:rFonts w:ascii="Century" w:eastAsia="ＭＳ 明朝" w:hAnsi="Century" w:cs="Times New Roman" w:hint="eastAsia"/>
        </w:rPr>
        <w:t>2</w:t>
      </w:r>
      <w:r w:rsidRPr="00515DA7">
        <w:rPr>
          <w:rFonts w:ascii="Century" w:eastAsia="ＭＳ 明朝" w:hAnsi="Century" w:cs="Times New Roman" w:hint="eastAsia"/>
        </w:rPr>
        <w:t>月から</w:t>
      </w:r>
      <w:r w:rsidRPr="00515DA7">
        <w:rPr>
          <w:rFonts w:ascii="Century" w:eastAsia="ＭＳ 明朝" w:hAnsi="Century" w:cs="Times New Roman" w:hint="eastAsia"/>
        </w:rPr>
        <w:t>3</w:t>
      </w:r>
      <w:r w:rsidRPr="00515DA7">
        <w:rPr>
          <w:rFonts w:ascii="Century" w:eastAsia="ＭＳ 明朝" w:hAnsi="Century" w:cs="Times New Roman" w:hint="eastAsia"/>
        </w:rPr>
        <w:t>月にかけて若干下がったものの、</w:t>
      </w:r>
      <w:r w:rsidRPr="00515DA7">
        <w:rPr>
          <w:rFonts w:ascii="Century" w:eastAsia="ＭＳ 明朝" w:hAnsi="Century" w:cs="Times New Roman" w:hint="eastAsia"/>
        </w:rPr>
        <w:t>3</w:t>
      </w:r>
      <w:r w:rsidR="001E476D">
        <w:rPr>
          <w:rFonts w:ascii="Century" w:eastAsia="ＭＳ 明朝" w:hAnsi="Century" w:cs="Times New Roman" w:hint="eastAsia"/>
        </w:rPr>
        <w:t>月から</w:t>
      </w:r>
      <w:r w:rsidRPr="00515DA7">
        <w:rPr>
          <w:rFonts w:ascii="Century" w:eastAsia="ＭＳ 明朝" w:hAnsi="Century" w:cs="Times New Roman" w:hint="eastAsia"/>
        </w:rPr>
        <w:t>4</w:t>
      </w:r>
      <w:r w:rsidRPr="00515DA7">
        <w:rPr>
          <w:rFonts w:ascii="Century" w:eastAsia="ＭＳ 明朝" w:hAnsi="Century" w:cs="Times New Roman" w:hint="eastAsia"/>
        </w:rPr>
        <w:t>月にかけては、月末値</w:t>
      </w:r>
      <w:r w:rsidRPr="00515DA7">
        <w:rPr>
          <w:rFonts w:ascii="Century" w:eastAsia="ＭＳ 明朝" w:hAnsi="Century" w:cs="Times New Roman" w:hint="eastAsia"/>
        </w:rPr>
        <w:t>1</w:t>
      </w:r>
      <w:r w:rsidRPr="00515DA7">
        <w:rPr>
          <w:rFonts w:ascii="Century" w:eastAsia="ＭＳ 明朝" w:hAnsi="Century" w:cs="Times New Roman" w:hint="eastAsia"/>
        </w:rPr>
        <w:t>ドル＝</w:t>
      </w:r>
      <w:r w:rsidRPr="00515DA7">
        <w:rPr>
          <w:rFonts w:ascii="Century" w:eastAsia="ＭＳ 明朝" w:hAnsi="Century" w:cs="Times New Roman" w:hint="eastAsia"/>
        </w:rPr>
        <w:t>549.7</w:t>
      </w:r>
      <w:r w:rsidRPr="00515DA7">
        <w:rPr>
          <w:rFonts w:ascii="Century" w:eastAsia="ＭＳ 明朝" w:hAnsi="Century" w:cs="Times New Roman" w:hint="eastAsia"/>
        </w:rPr>
        <w:t>コロンからから</w:t>
      </w:r>
      <w:r w:rsidRPr="00515DA7">
        <w:rPr>
          <w:rFonts w:ascii="Century" w:eastAsia="ＭＳ 明朝" w:hAnsi="Century" w:cs="Times New Roman" w:hint="eastAsia"/>
        </w:rPr>
        <w:t>554.9</w:t>
      </w:r>
      <w:r w:rsidR="001E476D">
        <w:rPr>
          <w:rFonts w:ascii="Century" w:eastAsia="ＭＳ 明朝" w:hAnsi="Century" w:cs="Times New Roman" w:hint="eastAsia"/>
        </w:rPr>
        <w:t>コロンと</w:t>
      </w:r>
      <w:r w:rsidR="00AD5CE4">
        <w:rPr>
          <w:rFonts w:ascii="Century" w:eastAsia="ＭＳ 明朝" w:hAnsi="Century" w:cs="Times New Roman" w:hint="eastAsia"/>
        </w:rPr>
        <w:t>若干の</w:t>
      </w:r>
      <w:r w:rsidR="001E476D">
        <w:rPr>
          <w:rFonts w:ascii="Century" w:eastAsia="ＭＳ 明朝" w:hAnsi="Century" w:cs="Times New Roman" w:hint="eastAsia"/>
        </w:rPr>
        <w:t>ドル</w:t>
      </w:r>
      <w:r w:rsidR="00AD5CE4">
        <w:rPr>
          <w:rFonts w:ascii="Century" w:eastAsia="ＭＳ 明朝" w:hAnsi="Century" w:cs="Times New Roman" w:hint="eastAsia"/>
        </w:rPr>
        <w:t>高</w:t>
      </w:r>
      <w:r w:rsidR="001E476D">
        <w:rPr>
          <w:rFonts w:ascii="Century" w:eastAsia="ＭＳ 明朝" w:hAnsi="Century" w:cs="Times New Roman" w:hint="eastAsia"/>
        </w:rPr>
        <w:t>傾向</w:t>
      </w:r>
      <w:r w:rsidRPr="00515DA7">
        <w:rPr>
          <w:rFonts w:ascii="Century" w:eastAsia="ＭＳ 明朝" w:hAnsi="Century" w:cs="Times New Roman" w:hint="eastAsia"/>
        </w:rPr>
        <w:t>を見せている。</w:t>
      </w:r>
    </w:p>
    <w:p w:rsidR="00515DA7" w:rsidRPr="00515DA7" w:rsidRDefault="00515DA7" w:rsidP="003759DC">
      <w:pPr>
        <w:jc w:val="left"/>
        <w:rPr>
          <w:rFonts w:ascii="Century" w:eastAsia="ＭＳ 明朝" w:hAnsi="Century" w:cs="Times New Roman"/>
        </w:rPr>
      </w:pPr>
      <w:r w:rsidRPr="00515DA7">
        <w:rPr>
          <w:rFonts w:ascii="Century" w:eastAsia="ＭＳ 明朝" w:hAnsi="Century" w:cs="Times New Roman" w:hint="eastAsia"/>
        </w:rPr>
        <w:t>●カストロ次期中銀総裁は、為替レー</w:t>
      </w:r>
      <w:r w:rsidR="001E476D">
        <w:rPr>
          <w:rFonts w:ascii="Century" w:eastAsia="ＭＳ 明朝" w:hAnsi="Century" w:cs="Times New Roman" w:hint="eastAsia"/>
        </w:rPr>
        <w:t>トの極端な変化を抑える手段として、現状のクローリング・バンド制</w:t>
      </w:r>
      <w:r w:rsidR="003963AD">
        <w:rPr>
          <w:rFonts w:ascii="Century" w:eastAsia="ＭＳ 明朝" w:hAnsi="Century" w:cs="Times New Roman" w:hint="eastAsia"/>
        </w:rPr>
        <w:t>を当面</w:t>
      </w:r>
      <w:r w:rsidRPr="00515DA7">
        <w:rPr>
          <w:rFonts w:ascii="Century" w:eastAsia="ＭＳ 明朝" w:hAnsi="Century" w:cs="Times New Roman" w:hint="eastAsia"/>
        </w:rPr>
        <w:t>継続</w:t>
      </w:r>
      <w:r w:rsidR="003963AD">
        <w:rPr>
          <w:rFonts w:ascii="Century" w:eastAsia="ＭＳ 明朝" w:hAnsi="Century" w:cs="Times New Roman" w:hint="eastAsia"/>
        </w:rPr>
        <w:t>し</w:t>
      </w:r>
      <w:r w:rsidR="00D82390">
        <w:rPr>
          <w:rFonts w:ascii="Century" w:eastAsia="ＭＳ 明朝" w:hAnsi="Century" w:cs="Times New Roman" w:hint="eastAsia"/>
        </w:rPr>
        <w:t>つつも</w:t>
      </w:r>
      <w:r w:rsidRPr="00515DA7">
        <w:rPr>
          <w:rFonts w:ascii="Century" w:eastAsia="ＭＳ 明朝" w:hAnsi="Century" w:cs="Times New Roman" w:hint="eastAsia"/>
        </w:rPr>
        <w:t>、上限</w:t>
      </w:r>
      <w:r w:rsidR="00D82390">
        <w:rPr>
          <w:rFonts w:ascii="Century" w:eastAsia="ＭＳ 明朝" w:hAnsi="Century" w:cs="Times New Roman" w:hint="eastAsia"/>
        </w:rPr>
        <w:t>値</w:t>
      </w:r>
      <w:r w:rsidR="005451E8">
        <w:rPr>
          <w:rFonts w:ascii="Century" w:eastAsia="ＭＳ 明朝" w:hAnsi="Century" w:cs="Times New Roman" w:hint="eastAsia"/>
        </w:rPr>
        <w:t>または下限値の変更及びその</w:t>
      </w:r>
      <w:r w:rsidR="003963AD">
        <w:rPr>
          <w:rFonts w:ascii="Century" w:eastAsia="ＭＳ 明朝" w:hAnsi="Century" w:cs="Times New Roman" w:hint="eastAsia"/>
        </w:rPr>
        <w:t>幅の縮小を</w:t>
      </w:r>
      <w:r w:rsidRPr="00515DA7">
        <w:rPr>
          <w:rFonts w:ascii="Century" w:eastAsia="ＭＳ 明朝" w:hAnsi="Century" w:cs="Times New Roman" w:hint="eastAsia"/>
        </w:rPr>
        <w:t>検討していることを表明している。また、</w:t>
      </w:r>
      <w:r w:rsidR="00EB6D32">
        <w:rPr>
          <w:rFonts w:ascii="Century" w:eastAsia="ＭＳ 明朝" w:hAnsi="Century" w:cs="Times New Roman" w:hint="eastAsia"/>
        </w:rPr>
        <w:t>為替への介入に関しても、中銀が必要と判断した際には</w:t>
      </w:r>
      <w:r w:rsidRPr="00515DA7">
        <w:rPr>
          <w:rFonts w:ascii="Century" w:eastAsia="ＭＳ 明朝" w:hAnsi="Century" w:cs="Times New Roman" w:hint="eastAsia"/>
        </w:rPr>
        <w:t>実施していく意向も示している。</w:t>
      </w:r>
    </w:p>
    <w:p w:rsidR="00515DA7" w:rsidRDefault="00515DA7" w:rsidP="003759DC">
      <w:pPr>
        <w:jc w:val="left"/>
        <w:rPr>
          <w:rFonts w:ascii="Century" w:eastAsia="ＭＳ 明朝" w:hAnsi="Century" w:cs="Times New Roman"/>
        </w:rPr>
      </w:pPr>
      <w:r w:rsidRPr="00515DA7">
        <w:rPr>
          <w:rFonts w:ascii="Century" w:eastAsia="ＭＳ 明朝" w:hAnsi="Century" w:cs="Times New Roman" w:hint="eastAsia"/>
        </w:rPr>
        <w:t>●</w:t>
      </w:r>
      <w:r w:rsidRPr="00515DA7">
        <w:rPr>
          <w:rFonts w:ascii="Century" w:eastAsia="ＭＳ 明朝" w:hAnsi="Century" w:cs="Times New Roman" w:hint="eastAsia"/>
        </w:rPr>
        <w:t>4</w:t>
      </w:r>
      <w:r w:rsidRPr="00515DA7">
        <w:rPr>
          <w:rFonts w:ascii="Century" w:eastAsia="ＭＳ 明朝" w:hAnsi="Century" w:cs="Times New Roman" w:hint="eastAsia"/>
        </w:rPr>
        <w:t>月に実施されたユーロ債発行</w:t>
      </w:r>
      <w:r w:rsidRPr="00515DA7">
        <w:rPr>
          <w:rFonts w:ascii="Century" w:eastAsia="ＭＳ 明朝" w:hAnsi="Century" w:cs="Times New Roman" w:hint="eastAsia"/>
        </w:rPr>
        <w:t>(</w:t>
      </w:r>
      <w:r w:rsidRPr="00515DA7">
        <w:rPr>
          <w:rFonts w:ascii="Century" w:eastAsia="ＭＳ 明朝" w:hAnsi="Century" w:cs="Times New Roman" w:hint="eastAsia"/>
        </w:rPr>
        <w:t>予定されている全</w:t>
      </w:r>
      <w:r w:rsidRPr="00515DA7">
        <w:rPr>
          <w:rFonts w:ascii="Century" w:eastAsia="ＭＳ 明朝" w:hAnsi="Century" w:cs="Times New Roman" w:hint="eastAsia"/>
        </w:rPr>
        <w:t>4</w:t>
      </w:r>
      <w:r w:rsidRPr="00515DA7">
        <w:rPr>
          <w:rFonts w:ascii="Century" w:eastAsia="ＭＳ 明朝" w:hAnsi="Century" w:cs="Times New Roman" w:hint="eastAsia"/>
        </w:rPr>
        <w:t>回の</w:t>
      </w:r>
      <w:r w:rsidR="00D82390">
        <w:rPr>
          <w:rFonts w:ascii="Century" w:eastAsia="ＭＳ 明朝" w:hAnsi="Century" w:cs="Times New Roman" w:hint="eastAsia"/>
        </w:rPr>
        <w:t>うちの</w:t>
      </w:r>
      <w:r w:rsidRPr="00515DA7">
        <w:rPr>
          <w:rFonts w:ascii="Century" w:eastAsia="ＭＳ 明朝" w:hAnsi="Century" w:cs="Times New Roman" w:hint="eastAsia"/>
        </w:rPr>
        <w:t>3</w:t>
      </w:r>
      <w:r w:rsidRPr="00515DA7">
        <w:rPr>
          <w:rFonts w:ascii="Century" w:eastAsia="ＭＳ 明朝" w:hAnsi="Century" w:cs="Times New Roman" w:hint="eastAsia"/>
        </w:rPr>
        <w:t>回目</w:t>
      </w:r>
      <w:r w:rsidRPr="00515DA7">
        <w:rPr>
          <w:rFonts w:ascii="Century" w:eastAsia="ＭＳ 明朝" w:hAnsi="Century" w:cs="Times New Roman" w:hint="eastAsia"/>
        </w:rPr>
        <w:t>)</w:t>
      </w:r>
      <w:r w:rsidR="001D0ABB">
        <w:rPr>
          <w:rFonts w:ascii="Century" w:eastAsia="ＭＳ 明朝" w:hAnsi="Century" w:cs="Times New Roman" w:hint="eastAsia"/>
        </w:rPr>
        <w:t>により、コスタリカ政府は</w:t>
      </w:r>
      <w:r w:rsidRPr="00515DA7">
        <w:rPr>
          <w:rFonts w:ascii="Century" w:eastAsia="ＭＳ 明朝" w:hAnsi="Century" w:cs="Times New Roman" w:hint="eastAsia"/>
        </w:rPr>
        <w:t>為替を安定させるのに</w:t>
      </w:r>
      <w:r w:rsidR="001D0ABB">
        <w:rPr>
          <w:rFonts w:ascii="Century" w:eastAsia="ＭＳ 明朝" w:hAnsi="Century" w:cs="Times New Roman" w:hint="eastAsia"/>
        </w:rPr>
        <w:t>当面必要な</w:t>
      </w:r>
      <w:r w:rsidRPr="00515DA7">
        <w:rPr>
          <w:rFonts w:ascii="Century" w:eastAsia="ＭＳ 明朝" w:hAnsi="Century" w:cs="Times New Roman" w:hint="eastAsia"/>
        </w:rPr>
        <w:t>外貨</w:t>
      </w:r>
      <w:r w:rsidR="001D0ABB">
        <w:rPr>
          <w:rFonts w:ascii="Century" w:eastAsia="ＭＳ 明朝" w:hAnsi="Century" w:cs="Times New Roman" w:hint="eastAsia"/>
        </w:rPr>
        <w:t>量</w:t>
      </w:r>
      <w:r w:rsidRPr="00515DA7">
        <w:rPr>
          <w:rFonts w:ascii="Century" w:eastAsia="ＭＳ 明朝" w:hAnsi="Century" w:cs="Times New Roman" w:hint="eastAsia"/>
        </w:rPr>
        <w:t>を獲得した。このことが、</w:t>
      </w:r>
      <w:r w:rsidRPr="00515DA7">
        <w:rPr>
          <w:rFonts w:ascii="Century" w:eastAsia="ＭＳ 明朝" w:hAnsi="Century" w:cs="Times New Roman" w:hint="eastAsia"/>
        </w:rPr>
        <w:t>5</w:t>
      </w:r>
      <w:r w:rsidRPr="00515DA7">
        <w:rPr>
          <w:rFonts w:ascii="Century" w:eastAsia="ＭＳ 明朝" w:hAnsi="Century" w:cs="Times New Roman" w:hint="eastAsia"/>
        </w:rPr>
        <w:t>月以降の為替変動にどのように反映されるかが注目される。</w:t>
      </w:r>
    </w:p>
    <w:p w:rsidR="003963AD" w:rsidRPr="00515DA7" w:rsidRDefault="003963AD" w:rsidP="003759DC">
      <w:pPr>
        <w:jc w:val="left"/>
        <w:rPr>
          <w:rFonts w:ascii="Century" w:eastAsia="ＭＳ 明朝" w:hAnsi="Century" w:cs="Times New Roman"/>
        </w:rPr>
      </w:pPr>
    </w:p>
    <w:p w:rsidR="00515DA7" w:rsidRPr="00515DA7" w:rsidRDefault="00515DA7" w:rsidP="00515DA7">
      <w:pPr>
        <w:jc w:val="center"/>
        <w:rPr>
          <w:rFonts w:ascii="Century" w:eastAsia="ＭＳ 明朝" w:hAnsi="Century" w:cs="Times New Roman"/>
        </w:rPr>
      </w:pPr>
      <w:r w:rsidRPr="00515DA7">
        <w:rPr>
          <w:rFonts w:ascii="Century" w:eastAsia="ＭＳ 明朝" w:hAnsi="Century" w:cs="Times New Roman"/>
          <w:noProof/>
        </w:rPr>
        <w:drawing>
          <wp:inline distT="0" distB="0" distL="0" distR="0" wp14:anchorId="64A7D2FD" wp14:editId="1556170B">
            <wp:extent cx="4391025" cy="2581275"/>
            <wp:effectExtent l="0" t="0" r="9525" b="9525"/>
            <wp:docPr id="10"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963AD" w:rsidRDefault="003963AD" w:rsidP="00515DA7">
      <w:pPr>
        <w:rPr>
          <w:rFonts w:ascii="Century" w:eastAsia="ＭＳ 明朝" w:hAnsi="Century" w:cs="Times New Roman"/>
        </w:rPr>
      </w:pPr>
    </w:p>
    <w:p w:rsidR="003963AD" w:rsidRPr="00515DA7" w:rsidRDefault="003963AD" w:rsidP="00515DA7">
      <w:pPr>
        <w:rPr>
          <w:rFonts w:ascii="Century" w:eastAsia="ＭＳ 明朝" w:hAnsi="Century" w:cs="Times New Roman"/>
        </w:rPr>
      </w:pPr>
    </w:p>
    <w:p w:rsidR="00515DA7" w:rsidRPr="00515DA7" w:rsidRDefault="00515DA7" w:rsidP="00515DA7">
      <w:pPr>
        <w:rPr>
          <w:rFonts w:ascii="Century" w:eastAsia="ＭＳ 明朝" w:hAnsi="Century" w:cs="Times New Roman"/>
        </w:rPr>
      </w:pPr>
      <w:r w:rsidRPr="00515DA7">
        <w:rPr>
          <w:rFonts w:ascii="Century" w:eastAsia="ＭＳ 明朝" w:hAnsi="Century" w:cs="Times New Roman"/>
        </w:rPr>
        <w:t>(2)</w:t>
      </w:r>
      <w:r w:rsidRPr="00515DA7">
        <w:rPr>
          <w:rFonts w:ascii="Century" w:eastAsia="ＭＳ 明朝" w:hAnsi="Century" w:cs="Times New Roman" w:hint="eastAsia"/>
        </w:rPr>
        <w:t>金利</w:t>
      </w:r>
    </w:p>
    <w:p w:rsidR="00515DA7" w:rsidRPr="00515DA7" w:rsidRDefault="00515DA7" w:rsidP="00515DA7">
      <w:pPr>
        <w:rPr>
          <w:rFonts w:ascii="Century" w:eastAsia="ＭＳ 明朝" w:hAnsi="Century" w:cs="Times New Roman"/>
        </w:rPr>
      </w:pPr>
      <w:r w:rsidRPr="00515DA7">
        <w:rPr>
          <w:rFonts w:ascii="Century" w:eastAsia="ＭＳ 明朝" w:hAnsi="Century" w:cs="Times New Roman" w:hint="eastAsia"/>
        </w:rPr>
        <w:t>●</w:t>
      </w:r>
      <w:r w:rsidRPr="00515DA7">
        <w:rPr>
          <w:rFonts w:ascii="Century" w:eastAsia="ＭＳ 明朝" w:hAnsi="Century" w:cs="Times New Roman" w:hint="eastAsia"/>
        </w:rPr>
        <w:t>3</w:t>
      </w:r>
      <w:r w:rsidRPr="00515DA7">
        <w:rPr>
          <w:rFonts w:ascii="Century" w:eastAsia="ＭＳ 明朝" w:hAnsi="Century" w:cs="Times New Roman" w:hint="eastAsia"/>
        </w:rPr>
        <w:t>月・</w:t>
      </w:r>
      <w:r w:rsidRPr="00515DA7">
        <w:rPr>
          <w:rFonts w:ascii="Century" w:eastAsia="ＭＳ 明朝" w:hAnsi="Century" w:cs="Times New Roman" w:hint="eastAsia"/>
        </w:rPr>
        <w:t>4</w:t>
      </w:r>
      <w:r w:rsidRPr="00515DA7">
        <w:rPr>
          <w:rFonts w:ascii="Century" w:eastAsia="ＭＳ 明朝" w:hAnsi="Century" w:cs="Times New Roman" w:hint="eastAsia"/>
        </w:rPr>
        <w:t>月の基本金利</w:t>
      </w:r>
      <w:r w:rsidRPr="00515DA7">
        <w:rPr>
          <w:rFonts w:ascii="Century" w:eastAsia="ＭＳ 明朝" w:hAnsi="Century" w:cs="Times New Roman"/>
        </w:rPr>
        <w:t>(</w:t>
      </w:r>
      <w:r w:rsidRPr="00515DA7">
        <w:rPr>
          <w:rFonts w:ascii="Century" w:eastAsia="ＭＳ 明朝" w:hAnsi="Century" w:cs="Times New Roman" w:hint="eastAsia"/>
        </w:rPr>
        <w:t>表</w:t>
      </w:r>
      <w:r w:rsidRPr="00515DA7">
        <w:rPr>
          <w:rFonts w:ascii="Century" w:eastAsia="ＭＳ 明朝" w:hAnsi="Century" w:cs="Times New Roman"/>
        </w:rPr>
        <w:t>11)</w:t>
      </w:r>
      <w:r w:rsidRPr="00515DA7">
        <w:rPr>
          <w:rFonts w:ascii="Century" w:eastAsia="ＭＳ 明朝" w:hAnsi="Century" w:cs="Times New Roman" w:hint="eastAsia"/>
        </w:rPr>
        <w:t>は</w:t>
      </w:r>
      <w:r w:rsidRPr="00515DA7">
        <w:rPr>
          <w:rFonts w:ascii="Century" w:eastAsia="ＭＳ 明朝" w:hAnsi="Century" w:cs="Times New Roman" w:hint="eastAsia"/>
        </w:rPr>
        <w:t>3</w:t>
      </w:r>
      <w:r w:rsidRPr="00515DA7">
        <w:rPr>
          <w:rFonts w:ascii="Century" w:eastAsia="ＭＳ 明朝" w:hAnsi="Century" w:cs="Times New Roman" w:hint="eastAsia"/>
        </w:rPr>
        <w:t>月の値</w:t>
      </w:r>
      <w:r w:rsidRPr="00515DA7">
        <w:rPr>
          <w:rFonts w:ascii="Century" w:eastAsia="ＭＳ 明朝" w:hAnsi="Century" w:cs="Times New Roman" w:hint="eastAsia"/>
        </w:rPr>
        <w:t>(6.50)</w:t>
      </w:r>
      <w:r w:rsidRPr="00515DA7">
        <w:rPr>
          <w:rFonts w:ascii="Century" w:eastAsia="ＭＳ 明朝" w:hAnsi="Century" w:cs="Times New Roman" w:hint="eastAsia"/>
        </w:rPr>
        <w:t>から微増し、それぞれ</w:t>
      </w:r>
      <w:r w:rsidRPr="00515DA7">
        <w:rPr>
          <w:rFonts w:ascii="Century" w:eastAsia="ＭＳ 明朝" w:hAnsi="Century" w:cs="Times New Roman"/>
        </w:rPr>
        <w:t>6.</w:t>
      </w:r>
      <w:r w:rsidRPr="00515DA7">
        <w:rPr>
          <w:rFonts w:ascii="Century" w:eastAsia="ＭＳ 明朝" w:hAnsi="Century" w:cs="Times New Roman" w:hint="eastAsia"/>
        </w:rPr>
        <w:t>60</w:t>
      </w:r>
      <w:r w:rsidRPr="00515DA7">
        <w:rPr>
          <w:rFonts w:ascii="Century" w:eastAsia="ＭＳ 明朝" w:hAnsi="Century" w:cs="Times New Roman" w:hint="eastAsia"/>
        </w:rPr>
        <w:t>、</w:t>
      </w:r>
      <w:r w:rsidRPr="00515DA7">
        <w:rPr>
          <w:rFonts w:ascii="Century" w:eastAsia="ＭＳ 明朝" w:hAnsi="Century" w:cs="Times New Roman"/>
        </w:rPr>
        <w:t>6.</w:t>
      </w:r>
      <w:r w:rsidRPr="00515DA7">
        <w:rPr>
          <w:rFonts w:ascii="Century" w:eastAsia="ＭＳ 明朝" w:hAnsi="Century" w:cs="Times New Roman" w:hint="eastAsia"/>
        </w:rPr>
        <w:t>70</w:t>
      </w:r>
      <w:r w:rsidRPr="00515DA7">
        <w:rPr>
          <w:rFonts w:ascii="Century" w:eastAsia="ＭＳ 明朝" w:hAnsi="Century" w:cs="Times New Roman" w:hint="eastAsia"/>
        </w:rPr>
        <w:t>となった。</w:t>
      </w:r>
    </w:p>
    <w:p w:rsidR="00E44EE5" w:rsidRDefault="00955D4B" w:rsidP="003759DC">
      <w:pPr>
        <w:jc w:val="left"/>
        <w:rPr>
          <w:rFonts w:ascii="Century" w:eastAsia="ＭＳ 明朝" w:hAnsi="Century" w:cs="Times New Roman"/>
        </w:rPr>
      </w:pPr>
      <w:r>
        <w:rPr>
          <w:rFonts w:ascii="Century" w:eastAsia="ＭＳ 明朝" w:hAnsi="Century" w:cs="Times New Roman" w:hint="eastAsia"/>
        </w:rPr>
        <w:t>●</w:t>
      </w:r>
      <w:r w:rsidR="00515DA7" w:rsidRPr="00515DA7">
        <w:rPr>
          <w:rFonts w:ascii="Century" w:eastAsia="ＭＳ 明朝" w:hAnsi="Century" w:cs="Times New Roman" w:hint="eastAsia"/>
        </w:rPr>
        <w:t>ドル建て</w:t>
      </w:r>
      <w:r w:rsidR="005D7284">
        <w:rPr>
          <w:rFonts w:ascii="Century" w:eastAsia="ＭＳ 明朝" w:hAnsi="Century" w:cs="Times New Roman" w:hint="eastAsia"/>
        </w:rPr>
        <w:t>貸付</w:t>
      </w:r>
      <w:r w:rsidR="00515DA7" w:rsidRPr="00515DA7">
        <w:rPr>
          <w:rFonts w:ascii="Century" w:eastAsia="ＭＳ 明朝" w:hAnsi="Century" w:cs="Times New Roman" w:hint="eastAsia"/>
        </w:rPr>
        <w:t>金利は、国立・民間銀行双方で昨年</w:t>
      </w:r>
      <w:r w:rsidR="00515DA7" w:rsidRPr="00515DA7">
        <w:rPr>
          <w:rFonts w:ascii="Century" w:eastAsia="ＭＳ 明朝" w:hAnsi="Century" w:cs="Times New Roman"/>
        </w:rPr>
        <w:t>9</w:t>
      </w:r>
      <w:r w:rsidR="00D82390">
        <w:rPr>
          <w:rFonts w:ascii="Century" w:eastAsia="ＭＳ 明朝" w:hAnsi="Century" w:cs="Times New Roman" w:hint="eastAsia"/>
        </w:rPr>
        <w:t>月以降の微かな上昇</w:t>
      </w:r>
      <w:r w:rsidR="00515DA7" w:rsidRPr="00515DA7">
        <w:rPr>
          <w:rFonts w:ascii="Century" w:eastAsia="ＭＳ 明朝" w:hAnsi="Century" w:cs="Times New Roman" w:hint="eastAsia"/>
        </w:rPr>
        <w:t>傾向</w:t>
      </w:r>
      <w:r w:rsidR="0064793A">
        <w:rPr>
          <w:rFonts w:ascii="Century" w:eastAsia="ＭＳ 明朝" w:hAnsi="Century" w:cs="Times New Roman" w:hint="eastAsia"/>
        </w:rPr>
        <w:t>が</w:t>
      </w:r>
      <w:r w:rsidR="0064793A">
        <w:rPr>
          <w:rFonts w:ascii="Century" w:eastAsia="ＭＳ 明朝" w:hAnsi="Century" w:cs="Times New Roman" w:hint="eastAsia"/>
        </w:rPr>
        <w:t>3</w:t>
      </w:r>
      <w:r w:rsidR="0064793A">
        <w:rPr>
          <w:rFonts w:ascii="Century" w:eastAsia="ＭＳ 明朝" w:hAnsi="Century" w:cs="Times New Roman" w:hint="eastAsia"/>
        </w:rPr>
        <w:t>月で終わり、</w:t>
      </w:r>
      <w:r w:rsidR="0064793A">
        <w:rPr>
          <w:rFonts w:ascii="Century" w:eastAsia="ＭＳ 明朝" w:hAnsi="Century" w:cs="Times New Roman" w:hint="eastAsia"/>
        </w:rPr>
        <w:t>4</w:t>
      </w:r>
      <w:r w:rsidR="00D82390">
        <w:rPr>
          <w:rFonts w:ascii="Century" w:eastAsia="ＭＳ 明朝" w:hAnsi="Century" w:cs="Times New Roman" w:hint="eastAsia"/>
        </w:rPr>
        <w:t>月には若干の下落</w:t>
      </w:r>
      <w:r w:rsidR="0064793A">
        <w:rPr>
          <w:rFonts w:ascii="Century" w:eastAsia="ＭＳ 明朝" w:hAnsi="Century" w:cs="Times New Roman" w:hint="eastAsia"/>
        </w:rPr>
        <w:t>を見せた。</w:t>
      </w:r>
    </w:p>
    <w:p w:rsidR="00515DA7" w:rsidRPr="00515DA7" w:rsidRDefault="00E44EE5" w:rsidP="003759DC">
      <w:pPr>
        <w:jc w:val="left"/>
        <w:rPr>
          <w:rFonts w:ascii="Century" w:eastAsia="ＭＳ 明朝" w:hAnsi="Century" w:cs="Times New Roman"/>
          <w:b/>
          <w:i/>
        </w:rPr>
      </w:pPr>
      <w:r>
        <w:rPr>
          <w:rFonts w:ascii="Century" w:eastAsia="ＭＳ 明朝" w:hAnsi="Century" w:cs="Times New Roman" w:hint="eastAsia"/>
        </w:rPr>
        <w:t>●</w:t>
      </w:r>
      <w:r w:rsidR="000B0420">
        <w:rPr>
          <w:rFonts w:ascii="Century" w:eastAsia="ＭＳ 明朝" w:hAnsi="Century" w:cs="Times New Roman" w:hint="eastAsia"/>
        </w:rPr>
        <w:t>コロン建て</w:t>
      </w:r>
      <w:r w:rsidR="001D0ABB">
        <w:rPr>
          <w:rFonts w:ascii="Century" w:eastAsia="ＭＳ 明朝" w:hAnsi="Century" w:cs="Times New Roman" w:hint="eastAsia"/>
        </w:rPr>
        <w:t>貸付</w:t>
      </w:r>
      <w:r w:rsidR="000B0420">
        <w:rPr>
          <w:rFonts w:ascii="Century" w:eastAsia="ＭＳ 明朝" w:hAnsi="Century" w:cs="Times New Roman" w:hint="eastAsia"/>
        </w:rPr>
        <w:t>金利は、</w:t>
      </w:r>
      <w:r w:rsidR="00E56C92">
        <w:rPr>
          <w:rFonts w:ascii="Century" w:eastAsia="ＭＳ 明朝" w:hAnsi="Century" w:cs="Times New Roman" w:hint="eastAsia"/>
        </w:rPr>
        <w:t>2</w:t>
      </w:r>
      <w:r w:rsidR="0009653B">
        <w:rPr>
          <w:rFonts w:ascii="Century" w:eastAsia="ＭＳ 明朝" w:hAnsi="Century" w:cs="Times New Roman" w:hint="eastAsia"/>
        </w:rPr>
        <w:t>月までの急激な</w:t>
      </w:r>
      <w:r w:rsidR="006C4CF0">
        <w:rPr>
          <w:rFonts w:ascii="Century" w:eastAsia="ＭＳ 明朝" w:hAnsi="Century" w:cs="Times New Roman" w:hint="eastAsia"/>
        </w:rPr>
        <w:t>ドル高</w:t>
      </w:r>
      <w:r w:rsidR="005D7284">
        <w:rPr>
          <w:rFonts w:ascii="Century" w:eastAsia="ＭＳ 明朝" w:hAnsi="Century" w:cs="Times New Roman" w:hint="eastAsia"/>
        </w:rPr>
        <w:t>コロン</w:t>
      </w:r>
      <w:r w:rsidR="00F70CAE">
        <w:rPr>
          <w:rFonts w:ascii="Century" w:eastAsia="ＭＳ 明朝" w:hAnsi="Century" w:cs="Times New Roman" w:hint="eastAsia"/>
        </w:rPr>
        <w:t>安傾向</w:t>
      </w:r>
      <w:r w:rsidR="00955D4B">
        <w:rPr>
          <w:rFonts w:ascii="Century" w:eastAsia="ＭＳ 明朝" w:hAnsi="Century" w:cs="Times New Roman" w:hint="eastAsia"/>
        </w:rPr>
        <w:t>を受け、</w:t>
      </w:r>
      <w:r w:rsidR="00E56C92">
        <w:rPr>
          <w:rFonts w:ascii="Century" w:eastAsia="ＭＳ 明朝" w:hAnsi="Century" w:cs="Times New Roman" w:hint="eastAsia"/>
        </w:rPr>
        <w:t>3</w:t>
      </w:r>
      <w:r w:rsidR="00E56C92">
        <w:rPr>
          <w:rFonts w:ascii="Century" w:eastAsia="ＭＳ 明朝" w:hAnsi="Century" w:cs="Times New Roman" w:hint="eastAsia"/>
        </w:rPr>
        <w:t>月の民間銀行による</w:t>
      </w:r>
      <w:r w:rsidR="001D0ABB">
        <w:rPr>
          <w:rFonts w:ascii="Century" w:eastAsia="ＭＳ 明朝" w:hAnsi="Century" w:cs="Times New Roman" w:hint="eastAsia"/>
        </w:rPr>
        <w:t>金利は</w:t>
      </w:r>
      <w:r w:rsidR="00E56C92">
        <w:rPr>
          <w:rFonts w:ascii="Century" w:eastAsia="ＭＳ 明朝" w:hAnsi="Century" w:cs="Times New Roman" w:hint="eastAsia"/>
        </w:rPr>
        <w:t>前月から１ポイント以上上昇し</w:t>
      </w:r>
      <w:r w:rsidR="000B0420">
        <w:rPr>
          <w:rFonts w:ascii="Century" w:eastAsia="ＭＳ 明朝" w:hAnsi="Century" w:cs="Times New Roman" w:hint="eastAsia"/>
        </w:rPr>
        <w:t>18.48</w:t>
      </w:r>
      <w:r w:rsidR="000B0420">
        <w:rPr>
          <w:rFonts w:ascii="Century" w:eastAsia="ＭＳ 明朝" w:hAnsi="Century" w:cs="Times New Roman" w:hint="eastAsia"/>
        </w:rPr>
        <w:t>％を記録し</w:t>
      </w:r>
      <w:r w:rsidR="00E56C92">
        <w:rPr>
          <w:rFonts w:ascii="Century" w:eastAsia="ＭＳ 明朝" w:hAnsi="Century" w:cs="Times New Roman" w:hint="eastAsia"/>
        </w:rPr>
        <w:t>たが、</w:t>
      </w:r>
      <w:r w:rsidR="00E56C92">
        <w:rPr>
          <w:rFonts w:ascii="Century" w:eastAsia="ＭＳ 明朝" w:hAnsi="Century" w:cs="Times New Roman" w:hint="eastAsia"/>
        </w:rPr>
        <w:t>3</w:t>
      </w:r>
      <w:r w:rsidR="00E56C92">
        <w:rPr>
          <w:rFonts w:ascii="Century" w:eastAsia="ＭＳ 明朝" w:hAnsi="Century" w:cs="Times New Roman" w:hint="eastAsia"/>
        </w:rPr>
        <w:t>月以降の</w:t>
      </w:r>
      <w:r w:rsidR="006C4CF0">
        <w:rPr>
          <w:rFonts w:ascii="Century" w:eastAsia="ＭＳ 明朝" w:hAnsi="Century" w:cs="Times New Roman" w:hint="eastAsia"/>
        </w:rPr>
        <w:t>為替の安定傾向</w:t>
      </w:r>
      <w:r w:rsidR="00E56C92">
        <w:rPr>
          <w:rFonts w:ascii="Century" w:eastAsia="ＭＳ 明朝" w:hAnsi="Century" w:cs="Times New Roman" w:hint="eastAsia"/>
        </w:rPr>
        <w:t>を受け、</w:t>
      </w:r>
      <w:r w:rsidR="00E56C92">
        <w:rPr>
          <w:rFonts w:ascii="Century" w:eastAsia="ＭＳ 明朝" w:hAnsi="Century" w:cs="Times New Roman" w:hint="eastAsia"/>
        </w:rPr>
        <w:t>3</w:t>
      </w:r>
      <w:r w:rsidR="00E56C92">
        <w:rPr>
          <w:rFonts w:ascii="Century" w:eastAsia="ＭＳ 明朝" w:hAnsi="Century" w:cs="Times New Roman" w:hint="eastAsia"/>
        </w:rPr>
        <w:t>月から</w:t>
      </w:r>
      <w:r w:rsidR="00E56C92">
        <w:rPr>
          <w:rFonts w:ascii="Century" w:eastAsia="ＭＳ 明朝" w:hAnsi="Century" w:cs="Times New Roman" w:hint="eastAsia"/>
        </w:rPr>
        <w:t>4</w:t>
      </w:r>
      <w:r w:rsidR="00E56C92">
        <w:rPr>
          <w:rFonts w:ascii="Century" w:eastAsia="ＭＳ 明朝" w:hAnsi="Century" w:cs="Times New Roman" w:hint="eastAsia"/>
        </w:rPr>
        <w:t>月にかけては</w:t>
      </w:r>
      <w:r w:rsidR="00E56C92">
        <w:rPr>
          <w:rFonts w:ascii="Century" w:eastAsia="ＭＳ 明朝" w:hAnsi="Century" w:cs="Times New Roman" w:hint="eastAsia"/>
        </w:rPr>
        <w:t>1.6</w:t>
      </w:r>
      <w:r w:rsidR="005A6CF4">
        <w:rPr>
          <w:rFonts w:ascii="Century" w:eastAsia="ＭＳ 明朝" w:hAnsi="Century" w:cs="Times New Roman" w:hint="eastAsia"/>
        </w:rPr>
        <w:t>8</w:t>
      </w:r>
      <w:r w:rsidR="00E56C92">
        <w:rPr>
          <w:rFonts w:ascii="Century" w:eastAsia="ＭＳ 明朝" w:hAnsi="Century" w:cs="Times New Roman" w:hint="eastAsia"/>
        </w:rPr>
        <w:t>ポイント下降し</w:t>
      </w:r>
      <w:r w:rsidR="000B0420">
        <w:rPr>
          <w:rFonts w:ascii="Century" w:eastAsia="ＭＳ 明朝" w:hAnsi="Century" w:cs="Times New Roman" w:hint="eastAsia"/>
        </w:rPr>
        <w:t>16.80</w:t>
      </w:r>
      <w:r w:rsidR="000B0420">
        <w:rPr>
          <w:rFonts w:ascii="Century" w:eastAsia="ＭＳ 明朝" w:hAnsi="Century" w:cs="Times New Roman" w:hint="eastAsia"/>
        </w:rPr>
        <w:t>％と</w:t>
      </w:r>
      <w:r w:rsidR="00E56C92">
        <w:rPr>
          <w:rFonts w:ascii="Century" w:eastAsia="ＭＳ 明朝" w:hAnsi="Century" w:cs="Times New Roman" w:hint="eastAsia"/>
        </w:rPr>
        <w:t>、</w:t>
      </w:r>
      <w:r w:rsidR="00E56C92">
        <w:rPr>
          <w:rFonts w:ascii="Century" w:eastAsia="ＭＳ 明朝" w:hAnsi="Century" w:cs="Times New Roman" w:hint="eastAsia"/>
        </w:rPr>
        <w:t>1</w:t>
      </w:r>
      <w:r w:rsidR="00E56C92">
        <w:rPr>
          <w:rFonts w:ascii="Century" w:eastAsia="ＭＳ 明朝" w:hAnsi="Century" w:cs="Times New Roman" w:hint="eastAsia"/>
        </w:rPr>
        <w:t>月時点</w:t>
      </w:r>
      <w:r w:rsidR="00E56C92">
        <w:rPr>
          <w:rFonts w:ascii="Century" w:eastAsia="ＭＳ 明朝" w:hAnsi="Century" w:cs="Times New Roman" w:hint="eastAsia"/>
        </w:rPr>
        <w:t>(16.63</w:t>
      </w:r>
      <w:r w:rsidR="00E56C92">
        <w:rPr>
          <w:rFonts w:ascii="Century" w:eastAsia="ＭＳ 明朝" w:hAnsi="Century" w:cs="Times New Roman" w:hint="eastAsia"/>
        </w:rPr>
        <w:t>％</w:t>
      </w:r>
      <w:r w:rsidR="00E56C92">
        <w:rPr>
          <w:rFonts w:ascii="Century" w:eastAsia="ＭＳ 明朝" w:hAnsi="Century" w:cs="Times New Roman" w:hint="eastAsia"/>
        </w:rPr>
        <w:t>)</w:t>
      </w:r>
      <w:r w:rsidR="00E56C92">
        <w:rPr>
          <w:rFonts w:ascii="Century" w:eastAsia="ＭＳ 明朝" w:hAnsi="Century" w:cs="Times New Roman" w:hint="eastAsia"/>
        </w:rPr>
        <w:t>と</w:t>
      </w:r>
      <w:r w:rsidR="000B0420">
        <w:rPr>
          <w:rFonts w:ascii="Century" w:eastAsia="ＭＳ 明朝" w:hAnsi="Century" w:cs="Times New Roman" w:hint="eastAsia"/>
        </w:rPr>
        <w:t>ほぼ同値となっている。</w:t>
      </w:r>
      <w:r w:rsidR="005A6CF4" w:rsidRPr="005A6CF4">
        <w:rPr>
          <w:rFonts w:ascii="Century" w:eastAsia="ＭＳ 明朝" w:hAnsi="Century" w:cs="Times New Roman" w:hint="eastAsia"/>
        </w:rPr>
        <w:t>国立銀行の同指標は</w:t>
      </w:r>
      <w:r w:rsidR="005A6CF4" w:rsidRPr="005A6CF4">
        <w:rPr>
          <w:rFonts w:ascii="Century" w:eastAsia="ＭＳ 明朝" w:hAnsi="Century" w:cs="Times New Roman" w:hint="eastAsia"/>
        </w:rPr>
        <w:t>2</w:t>
      </w:r>
      <w:r w:rsidR="008661FD">
        <w:rPr>
          <w:rFonts w:ascii="Century" w:eastAsia="ＭＳ 明朝" w:hAnsi="Century" w:cs="Times New Roman" w:hint="eastAsia"/>
        </w:rPr>
        <w:t>月以降微かな上昇</w:t>
      </w:r>
      <w:r w:rsidR="005A6CF4" w:rsidRPr="005A6CF4">
        <w:rPr>
          <w:rFonts w:ascii="Century" w:eastAsia="ＭＳ 明朝" w:hAnsi="Century" w:cs="Times New Roman" w:hint="eastAsia"/>
        </w:rPr>
        <w:t>傾向を見せている。</w:t>
      </w:r>
    </w:p>
    <w:p w:rsidR="00515DA7" w:rsidRPr="00515DA7" w:rsidRDefault="00515DA7" w:rsidP="00515DA7">
      <w:pPr>
        <w:jc w:val="center"/>
        <w:rPr>
          <w:rFonts w:ascii="Century" w:eastAsia="ＭＳ 明朝" w:hAnsi="Century" w:cs="Times New Roman"/>
        </w:rPr>
      </w:pPr>
      <w:r w:rsidRPr="00515DA7">
        <w:rPr>
          <w:rFonts w:ascii="Century" w:eastAsia="ＭＳ 明朝" w:hAnsi="Century" w:cs="Times New Roman"/>
          <w:noProof/>
        </w:rPr>
        <w:lastRenderedPageBreak/>
        <w:drawing>
          <wp:inline distT="0" distB="0" distL="0" distR="0" wp14:anchorId="22BEC063" wp14:editId="0AE76312">
            <wp:extent cx="4800600" cy="3057525"/>
            <wp:effectExtent l="0" t="0" r="19050" b="9525"/>
            <wp:docPr id="1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963AD" w:rsidRDefault="003963AD" w:rsidP="00515DA7">
      <w:pPr>
        <w:rPr>
          <w:rFonts w:ascii="Century" w:eastAsia="ＭＳ 明朝" w:hAnsi="Century" w:cs="Times New Roman"/>
        </w:rPr>
      </w:pPr>
    </w:p>
    <w:p w:rsidR="00515DA7" w:rsidRPr="00515DA7" w:rsidRDefault="00515DA7" w:rsidP="00515DA7">
      <w:pPr>
        <w:rPr>
          <w:rFonts w:ascii="Century" w:eastAsia="ＭＳ 明朝" w:hAnsi="Century" w:cs="Times New Roman"/>
        </w:rPr>
      </w:pPr>
      <w:r w:rsidRPr="00515DA7">
        <w:rPr>
          <w:rFonts w:ascii="Century" w:eastAsia="ＭＳ 明朝" w:hAnsi="Century" w:cs="Times New Roman" w:hint="eastAsia"/>
        </w:rPr>
        <w:t>６．外貨準備高</w:t>
      </w:r>
    </w:p>
    <w:p w:rsidR="00A37AC1" w:rsidRDefault="00515DA7" w:rsidP="003759DC">
      <w:pPr>
        <w:jc w:val="left"/>
        <w:rPr>
          <w:rFonts w:ascii="Century" w:eastAsia="ＭＳ 明朝" w:hAnsi="Century" w:cs="Times New Roman"/>
        </w:rPr>
      </w:pPr>
      <w:r w:rsidRPr="00515DA7">
        <w:rPr>
          <w:rFonts w:ascii="Century" w:eastAsia="ＭＳ 明朝" w:hAnsi="Century" w:cs="Times New Roman" w:hint="eastAsia"/>
        </w:rPr>
        <w:t>●</w:t>
      </w:r>
      <w:r w:rsidRPr="00515DA7">
        <w:rPr>
          <w:rFonts w:ascii="Century" w:eastAsia="ＭＳ 明朝" w:hAnsi="Century" w:cs="Times New Roman" w:hint="eastAsia"/>
        </w:rPr>
        <w:t>3</w:t>
      </w:r>
      <w:r w:rsidRPr="00515DA7">
        <w:rPr>
          <w:rFonts w:ascii="Century" w:eastAsia="ＭＳ 明朝" w:hAnsi="Century" w:cs="Times New Roman" w:hint="eastAsia"/>
        </w:rPr>
        <w:t>月末、</w:t>
      </w:r>
      <w:r w:rsidRPr="00515DA7">
        <w:rPr>
          <w:rFonts w:ascii="Century" w:eastAsia="ＭＳ 明朝" w:hAnsi="Century" w:cs="Times New Roman" w:hint="eastAsia"/>
        </w:rPr>
        <w:t>4</w:t>
      </w:r>
      <w:r w:rsidRPr="00515DA7">
        <w:rPr>
          <w:rFonts w:ascii="Century" w:eastAsia="ＭＳ 明朝" w:hAnsi="Century" w:cs="Times New Roman" w:hint="eastAsia"/>
        </w:rPr>
        <w:t>月末時点の米ドル準備高</w:t>
      </w:r>
      <w:r w:rsidRPr="00515DA7">
        <w:rPr>
          <w:rFonts w:ascii="Century" w:eastAsia="ＭＳ 明朝" w:hAnsi="Century" w:cs="Times New Roman"/>
        </w:rPr>
        <w:t>(</w:t>
      </w:r>
      <w:r w:rsidRPr="00515DA7">
        <w:rPr>
          <w:rFonts w:ascii="Century" w:eastAsia="ＭＳ 明朝" w:hAnsi="Century" w:cs="Times New Roman" w:hint="eastAsia"/>
        </w:rPr>
        <w:t>表</w:t>
      </w:r>
      <w:r w:rsidRPr="00515DA7">
        <w:rPr>
          <w:rFonts w:ascii="Century" w:eastAsia="ＭＳ 明朝" w:hAnsi="Century" w:cs="Times New Roman"/>
        </w:rPr>
        <w:t>12)</w:t>
      </w:r>
      <w:r w:rsidR="00A37AC1">
        <w:rPr>
          <w:rFonts w:ascii="Century" w:eastAsia="ＭＳ 明朝" w:hAnsi="Century" w:cs="Times New Roman" w:hint="eastAsia"/>
        </w:rPr>
        <w:t>はそれぞれ</w:t>
      </w:r>
      <w:r w:rsidRPr="00515DA7">
        <w:rPr>
          <w:rFonts w:ascii="Century" w:eastAsia="ＭＳ 明朝" w:hAnsi="Century" w:cs="Times New Roman" w:hint="eastAsia"/>
        </w:rPr>
        <w:t>6</w:t>
      </w:r>
      <w:r w:rsidRPr="00515DA7">
        <w:rPr>
          <w:rFonts w:ascii="Century" w:eastAsia="ＭＳ 明朝" w:hAnsi="Century" w:cs="Times New Roman"/>
        </w:rPr>
        <w:t>,</w:t>
      </w:r>
      <w:r w:rsidRPr="00515DA7">
        <w:rPr>
          <w:rFonts w:ascii="Century" w:eastAsia="ＭＳ 明朝" w:hAnsi="Century" w:cs="Times New Roman" w:hint="eastAsia"/>
        </w:rPr>
        <w:t>785</w:t>
      </w:r>
      <w:r w:rsidRPr="00515DA7">
        <w:rPr>
          <w:rFonts w:ascii="Century" w:eastAsia="ＭＳ 明朝" w:hAnsi="Century" w:cs="Times New Roman"/>
        </w:rPr>
        <w:t>.</w:t>
      </w:r>
      <w:r w:rsidRPr="00515DA7">
        <w:rPr>
          <w:rFonts w:ascii="Century" w:eastAsia="ＭＳ 明朝" w:hAnsi="Century" w:cs="Times New Roman" w:hint="eastAsia"/>
        </w:rPr>
        <w:t>6</w:t>
      </w:r>
      <w:r w:rsidR="00A37AC1">
        <w:rPr>
          <w:rFonts w:ascii="Century" w:eastAsia="ＭＳ 明朝" w:hAnsi="Century" w:cs="Times New Roman" w:hint="eastAsia"/>
        </w:rPr>
        <w:t>百万ドル、</w:t>
      </w:r>
      <w:r w:rsidRPr="00515DA7">
        <w:rPr>
          <w:rFonts w:ascii="Century" w:eastAsia="ＭＳ 明朝" w:hAnsi="Century" w:cs="Times New Roman"/>
        </w:rPr>
        <w:t>7,</w:t>
      </w:r>
      <w:r w:rsidRPr="00515DA7">
        <w:rPr>
          <w:rFonts w:ascii="Century" w:eastAsia="ＭＳ 明朝" w:hAnsi="Century" w:cs="Times New Roman" w:hint="eastAsia"/>
        </w:rPr>
        <w:t>768</w:t>
      </w:r>
      <w:r w:rsidRPr="00515DA7">
        <w:rPr>
          <w:rFonts w:ascii="Century" w:eastAsia="ＭＳ 明朝" w:hAnsi="Century" w:cs="Times New Roman"/>
        </w:rPr>
        <w:t>.</w:t>
      </w:r>
      <w:r w:rsidRPr="00515DA7">
        <w:rPr>
          <w:rFonts w:ascii="Century" w:eastAsia="ＭＳ 明朝" w:hAnsi="Century" w:cs="Times New Roman" w:hint="eastAsia"/>
        </w:rPr>
        <w:t>8</w:t>
      </w:r>
      <w:r w:rsidRPr="00515DA7">
        <w:rPr>
          <w:rFonts w:ascii="Century" w:eastAsia="ＭＳ 明朝" w:hAnsi="Century" w:cs="Times New Roman" w:hint="eastAsia"/>
        </w:rPr>
        <w:t>百万ドルとなった。</w:t>
      </w:r>
    </w:p>
    <w:p w:rsidR="00515DA7" w:rsidRPr="00515DA7" w:rsidRDefault="00A37AC1" w:rsidP="003759DC">
      <w:pPr>
        <w:jc w:val="left"/>
        <w:rPr>
          <w:rFonts w:ascii="Century" w:eastAsia="ＭＳ 明朝" w:hAnsi="Century" w:cs="Times New Roman"/>
        </w:rPr>
      </w:pPr>
      <w:r>
        <w:rPr>
          <w:rFonts w:ascii="Century" w:eastAsia="ＭＳ 明朝" w:hAnsi="Century" w:cs="Times New Roman" w:hint="eastAsia"/>
        </w:rPr>
        <w:t>●</w:t>
      </w:r>
      <w:r w:rsidR="00515DA7" w:rsidRPr="00515DA7">
        <w:rPr>
          <w:rFonts w:ascii="Century" w:eastAsia="ＭＳ 明朝" w:hAnsi="Century" w:cs="Times New Roman" w:hint="eastAsia"/>
        </w:rPr>
        <w:t>4</w:t>
      </w:r>
      <w:r w:rsidR="00515DA7" w:rsidRPr="00515DA7">
        <w:rPr>
          <w:rFonts w:ascii="Century" w:eastAsia="ＭＳ 明朝" w:hAnsi="Century" w:cs="Times New Roman" w:hint="eastAsia"/>
        </w:rPr>
        <w:t>月の</w:t>
      </w:r>
      <w:r w:rsidR="00515DA7" w:rsidRPr="00515DA7">
        <w:rPr>
          <w:rFonts w:ascii="Century" w:eastAsia="ＭＳ 明朝" w:hAnsi="Century" w:cs="Times New Roman"/>
        </w:rPr>
        <w:t>10</w:t>
      </w:r>
      <w:r>
        <w:rPr>
          <w:rFonts w:ascii="Century" w:eastAsia="ＭＳ 明朝" w:hAnsi="Century" w:cs="Times New Roman" w:hint="eastAsia"/>
        </w:rPr>
        <w:t>億米ドル規模のユーロ債の発行により、同月に急激な準備高が記録された</w:t>
      </w:r>
      <w:r w:rsidR="00515DA7" w:rsidRPr="00515DA7">
        <w:rPr>
          <w:rFonts w:ascii="Century" w:eastAsia="ＭＳ 明朝" w:hAnsi="Century" w:cs="Times New Roman" w:hint="eastAsia"/>
        </w:rPr>
        <w:t>。当面は急速な輸出額の増大も見込まれていないことから、今後は外貨準備高の値は大きな増加をみせず、前年同様の減少傾向を示していくと考えられる。</w:t>
      </w:r>
    </w:p>
    <w:p w:rsidR="00515DA7" w:rsidRPr="00515DA7" w:rsidRDefault="00515DA7" w:rsidP="00515DA7">
      <w:pPr>
        <w:rPr>
          <w:rFonts w:ascii="Century" w:eastAsia="ＭＳ 明朝" w:hAnsi="Century" w:cs="Times New Roman"/>
        </w:rPr>
      </w:pPr>
    </w:p>
    <w:p w:rsidR="00515DA7" w:rsidRPr="00515DA7" w:rsidRDefault="00515DA7" w:rsidP="00515DA7">
      <w:pPr>
        <w:jc w:val="center"/>
        <w:rPr>
          <w:rFonts w:ascii="Century" w:eastAsia="ＭＳ 明朝" w:hAnsi="Century" w:cs="Times New Roman"/>
        </w:rPr>
      </w:pPr>
      <w:r w:rsidRPr="00515DA7">
        <w:rPr>
          <w:rFonts w:ascii="Century" w:eastAsia="ＭＳ 明朝" w:hAnsi="Century" w:cs="Times New Roman"/>
          <w:noProof/>
        </w:rPr>
        <w:drawing>
          <wp:inline distT="0" distB="0" distL="0" distR="0" wp14:anchorId="69D0597E" wp14:editId="79061A33">
            <wp:extent cx="4095750" cy="2562225"/>
            <wp:effectExtent l="0" t="0" r="19050" b="9525"/>
            <wp:docPr id="12"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15DA7" w:rsidRDefault="00515DA7" w:rsidP="00515DA7">
      <w:pPr>
        <w:rPr>
          <w:rFonts w:ascii="Century" w:eastAsia="ＭＳ 明朝" w:hAnsi="Century" w:cs="Times New Roman"/>
        </w:rPr>
      </w:pPr>
    </w:p>
    <w:p w:rsidR="00D17176" w:rsidRDefault="00D17176" w:rsidP="00515DA7">
      <w:pPr>
        <w:rPr>
          <w:rFonts w:ascii="Century" w:eastAsia="ＭＳ 明朝" w:hAnsi="Century" w:cs="Times New Roman"/>
        </w:rPr>
      </w:pPr>
    </w:p>
    <w:p w:rsidR="00515DA7" w:rsidRPr="00515DA7" w:rsidRDefault="00515DA7" w:rsidP="00515DA7">
      <w:pPr>
        <w:rPr>
          <w:rFonts w:ascii="Century" w:eastAsia="ＭＳ 明朝" w:hAnsi="Century" w:cs="Times New Roman"/>
        </w:rPr>
      </w:pPr>
      <w:r w:rsidRPr="00515DA7">
        <w:rPr>
          <w:rFonts w:ascii="Century" w:eastAsia="ＭＳ 明朝" w:hAnsi="Century" w:cs="Times New Roman" w:hint="eastAsia"/>
        </w:rPr>
        <w:lastRenderedPageBreak/>
        <w:t>７．主な出来事</w:t>
      </w:r>
      <w:r w:rsidRPr="00515DA7">
        <w:rPr>
          <w:rFonts w:ascii="Century" w:eastAsia="ＭＳ 明朝" w:hAnsi="Century" w:cs="Times New Roman" w:hint="eastAsia"/>
        </w:rPr>
        <w:t>(3</w:t>
      </w:r>
      <w:r w:rsidRPr="00515DA7">
        <w:rPr>
          <w:rFonts w:ascii="Century" w:eastAsia="ＭＳ 明朝" w:hAnsi="Century" w:cs="Times New Roman" w:hint="eastAsia"/>
        </w:rPr>
        <w:t>－</w:t>
      </w:r>
      <w:r w:rsidRPr="00515DA7">
        <w:rPr>
          <w:rFonts w:ascii="Century" w:eastAsia="ＭＳ 明朝" w:hAnsi="Century" w:cs="Times New Roman" w:hint="eastAsia"/>
        </w:rPr>
        <w:t>4</w:t>
      </w:r>
      <w:r w:rsidRPr="00515DA7">
        <w:rPr>
          <w:rFonts w:ascii="Century" w:eastAsia="ＭＳ 明朝" w:hAnsi="Century" w:cs="Times New Roman" w:hint="eastAsia"/>
        </w:rPr>
        <w:t>月</w:t>
      </w:r>
      <w:r w:rsidRPr="00515DA7">
        <w:rPr>
          <w:rFonts w:ascii="Century" w:eastAsia="ＭＳ 明朝" w:hAnsi="Century" w:cs="Times New Roman" w:hint="eastAsia"/>
        </w:rPr>
        <w:t>)</w:t>
      </w:r>
    </w:p>
    <w:p w:rsidR="00515DA7" w:rsidRPr="00515DA7" w:rsidRDefault="00515DA7" w:rsidP="00515DA7">
      <w:pPr>
        <w:rPr>
          <w:rFonts w:ascii="Century" w:eastAsia="ＭＳ 明朝" w:hAnsi="Century" w:cs="Times New Roman"/>
        </w:rPr>
      </w:pPr>
      <w:r w:rsidRPr="00515DA7">
        <w:rPr>
          <w:rFonts w:ascii="Century" w:eastAsia="ＭＳ 明朝" w:hAnsi="Century" w:cs="Times New Roman" w:hint="eastAsia"/>
        </w:rPr>
        <w:t>(</w:t>
      </w:r>
      <w:r w:rsidRPr="00515DA7">
        <w:rPr>
          <w:rFonts w:ascii="Century" w:eastAsia="ＭＳ 明朝" w:hAnsi="Century" w:cs="Times New Roman" w:hint="eastAsia"/>
        </w:rPr>
        <w:t>１</w:t>
      </w:r>
      <w:r w:rsidRPr="00515DA7">
        <w:rPr>
          <w:rFonts w:ascii="Century" w:eastAsia="ＭＳ 明朝" w:hAnsi="Century" w:cs="Times New Roman" w:hint="eastAsia"/>
        </w:rPr>
        <w:t>)</w:t>
      </w:r>
      <w:r w:rsidRPr="00515DA7">
        <w:rPr>
          <w:rFonts w:ascii="Century" w:eastAsia="ＭＳ 明朝" w:hAnsi="Century" w:cs="Times New Roman" w:hint="eastAsia"/>
        </w:rPr>
        <w:t>国内経済</w:t>
      </w:r>
    </w:p>
    <w:p w:rsidR="00515DA7" w:rsidRPr="00515DA7" w:rsidRDefault="00515DA7" w:rsidP="003759DC">
      <w:pPr>
        <w:jc w:val="left"/>
        <w:rPr>
          <w:rFonts w:ascii="Century" w:eastAsia="ＭＳ 明朝" w:hAnsi="Century" w:cs="Times New Roman"/>
        </w:rPr>
      </w:pPr>
      <w:r w:rsidRPr="00515DA7">
        <w:rPr>
          <w:rFonts w:ascii="Century" w:eastAsia="ＭＳ 明朝" w:hAnsi="Century" w:cs="Times New Roman" w:hint="eastAsia"/>
        </w:rPr>
        <w:t>ア　財政関係</w:t>
      </w:r>
    </w:p>
    <w:p w:rsidR="00515DA7" w:rsidRPr="00831BFA" w:rsidRDefault="00515DA7" w:rsidP="00515DA7">
      <w:pPr>
        <w:rPr>
          <w:rFonts w:ascii="Century" w:eastAsia="ＭＳ 明朝" w:hAnsi="Century" w:cs="Times New Roman"/>
          <w:u w:val="single"/>
          <w:lang w:val="es-ES"/>
        </w:rPr>
      </w:pPr>
      <w:r w:rsidRPr="00831BFA">
        <w:rPr>
          <w:rFonts w:ascii="Century" w:eastAsia="ＭＳ 明朝" w:hAnsi="Century" w:cs="Times New Roman" w:hint="eastAsia"/>
          <w:u w:val="single"/>
          <w:lang w:val="es-ES"/>
        </w:rPr>
        <w:t>●</w:t>
      </w:r>
      <w:r w:rsidR="00166523" w:rsidRPr="00831BFA">
        <w:rPr>
          <w:rFonts w:ascii="Century" w:eastAsia="ＭＳ 明朝" w:hAnsi="Century" w:cs="Times New Roman" w:hint="eastAsia"/>
          <w:u w:val="single"/>
          <w:lang w:val="es-ES"/>
        </w:rPr>
        <w:t>投資家はコスタリカの発行したユーロ債の利子上昇を求めている</w:t>
      </w:r>
      <w:r w:rsidRPr="00831BFA">
        <w:rPr>
          <w:rFonts w:ascii="Century" w:eastAsia="ＭＳ 明朝" w:hAnsi="Century" w:cs="Times New Roman" w:hint="eastAsia"/>
          <w:u w:val="single"/>
          <w:lang w:val="es-ES"/>
        </w:rPr>
        <w:t>(4/2)</w:t>
      </w:r>
    </w:p>
    <w:p w:rsidR="00515DA7" w:rsidRDefault="00515DA7" w:rsidP="003759DC">
      <w:pPr>
        <w:jc w:val="left"/>
        <w:rPr>
          <w:rFonts w:ascii="Century" w:eastAsia="ＭＳ 明朝" w:hAnsi="Century" w:cs="Times New Roman"/>
        </w:rPr>
      </w:pPr>
      <w:r w:rsidRPr="00515DA7">
        <w:rPr>
          <w:rFonts w:ascii="Century" w:eastAsia="ＭＳ 明朝" w:hAnsi="Century" w:cs="Times New Roman"/>
        </w:rPr>
        <w:t>2012</w:t>
      </w:r>
      <w:r w:rsidRPr="00515DA7">
        <w:rPr>
          <w:rFonts w:ascii="Century" w:eastAsia="ＭＳ 明朝" w:hAnsi="Century" w:cs="Times New Roman" w:hint="eastAsia"/>
        </w:rPr>
        <w:t>年に国会で承認された全</w:t>
      </w:r>
      <w:r w:rsidRPr="00515DA7">
        <w:rPr>
          <w:rFonts w:ascii="Century" w:eastAsia="ＭＳ 明朝" w:hAnsi="Century" w:cs="Times New Roman" w:hint="eastAsia"/>
        </w:rPr>
        <w:t>4</w:t>
      </w:r>
      <w:r w:rsidRPr="00515DA7">
        <w:rPr>
          <w:rFonts w:ascii="Century" w:eastAsia="ＭＳ 明朝" w:hAnsi="Century" w:cs="Times New Roman" w:hint="eastAsia"/>
        </w:rPr>
        <w:t>回のユーロ債発行の</w:t>
      </w:r>
      <w:r w:rsidR="00117064">
        <w:rPr>
          <w:rFonts w:ascii="Century" w:eastAsia="ＭＳ 明朝" w:hAnsi="Century" w:cs="Times New Roman" w:hint="eastAsia"/>
        </w:rPr>
        <w:t>うちの</w:t>
      </w:r>
      <w:r w:rsidRPr="00515DA7">
        <w:rPr>
          <w:rFonts w:ascii="Century" w:eastAsia="ＭＳ 明朝" w:hAnsi="Century" w:cs="Times New Roman"/>
        </w:rPr>
        <w:t>3</w:t>
      </w:r>
      <w:r w:rsidRPr="00515DA7">
        <w:rPr>
          <w:rFonts w:ascii="Century" w:eastAsia="ＭＳ 明朝" w:hAnsi="Century" w:cs="Times New Roman" w:hint="eastAsia"/>
        </w:rPr>
        <w:t>回目が実施され、政府は新たに</w:t>
      </w:r>
      <w:r w:rsidRPr="00515DA7">
        <w:rPr>
          <w:rFonts w:ascii="Century" w:eastAsia="ＭＳ 明朝" w:hAnsi="Century" w:cs="Times New Roman"/>
        </w:rPr>
        <w:t>10</w:t>
      </w:r>
      <w:r w:rsidRPr="00515DA7">
        <w:rPr>
          <w:rFonts w:ascii="Century" w:eastAsia="ＭＳ 明朝" w:hAnsi="Century" w:cs="Times New Roman" w:hint="eastAsia"/>
        </w:rPr>
        <w:t>億米ドルにのぼる外貨資金を獲得した。同債務は、年率</w:t>
      </w:r>
      <w:r w:rsidRPr="00515DA7">
        <w:rPr>
          <w:rFonts w:ascii="Century" w:eastAsia="ＭＳ 明朝" w:hAnsi="Century" w:cs="Times New Roman" w:hint="eastAsia"/>
        </w:rPr>
        <w:t>7</w:t>
      </w:r>
      <w:r w:rsidRPr="00515DA7">
        <w:rPr>
          <w:rFonts w:ascii="Century" w:eastAsia="ＭＳ 明朝" w:hAnsi="Century" w:cs="Times New Roman" w:hint="eastAsia"/>
        </w:rPr>
        <w:t>％の利子で今後</w:t>
      </w:r>
      <w:r w:rsidRPr="00515DA7">
        <w:rPr>
          <w:rFonts w:ascii="Century" w:eastAsia="ＭＳ 明朝" w:hAnsi="Century" w:cs="Times New Roman"/>
        </w:rPr>
        <w:t>30</w:t>
      </w:r>
      <w:r w:rsidRPr="00515DA7">
        <w:rPr>
          <w:rFonts w:ascii="Century" w:eastAsia="ＭＳ 明朝" w:hAnsi="Century" w:cs="Times New Roman" w:hint="eastAsia"/>
        </w:rPr>
        <w:t>年</w:t>
      </w:r>
      <w:r w:rsidRPr="00515DA7">
        <w:rPr>
          <w:rFonts w:ascii="Century" w:eastAsia="ＭＳ 明朝" w:hAnsi="Century" w:cs="Times New Roman"/>
        </w:rPr>
        <w:t>(2043</w:t>
      </w:r>
      <w:r w:rsidRPr="00515DA7">
        <w:rPr>
          <w:rFonts w:ascii="Century" w:eastAsia="ＭＳ 明朝" w:hAnsi="Century" w:cs="Times New Roman" w:hint="eastAsia"/>
        </w:rPr>
        <w:t>年まで</w:t>
      </w:r>
      <w:r w:rsidRPr="00515DA7">
        <w:rPr>
          <w:rFonts w:ascii="Century" w:eastAsia="ＭＳ 明朝" w:hAnsi="Century" w:cs="Times New Roman"/>
        </w:rPr>
        <w:t>)</w:t>
      </w:r>
      <w:r w:rsidRPr="00515DA7">
        <w:rPr>
          <w:rFonts w:ascii="Century" w:eastAsia="ＭＳ 明朝" w:hAnsi="Century" w:cs="Times New Roman" w:hint="eastAsia"/>
        </w:rPr>
        <w:t>かけて返済される予定となっている。今回の利子が前回の</w:t>
      </w:r>
      <w:r w:rsidRPr="00515DA7">
        <w:rPr>
          <w:rFonts w:ascii="Century" w:eastAsia="ＭＳ 明朝" w:hAnsi="Century" w:cs="Times New Roman"/>
        </w:rPr>
        <w:t>5.63</w:t>
      </w:r>
      <w:r w:rsidR="004D7E9F">
        <w:rPr>
          <w:rFonts w:ascii="Century" w:eastAsia="ＭＳ 明朝" w:hAnsi="Century" w:cs="Times New Roman" w:hint="eastAsia"/>
        </w:rPr>
        <w:t>％より</w:t>
      </w:r>
      <w:r w:rsidR="00170814">
        <w:rPr>
          <w:rFonts w:ascii="Century" w:eastAsia="ＭＳ 明朝" w:hAnsi="Century" w:cs="Times New Roman" w:hint="eastAsia"/>
        </w:rPr>
        <w:t>上昇した</w:t>
      </w:r>
      <w:r w:rsidR="00F104D5">
        <w:rPr>
          <w:rFonts w:ascii="Century" w:eastAsia="ＭＳ 明朝" w:hAnsi="Century" w:cs="Times New Roman" w:hint="eastAsia"/>
        </w:rPr>
        <w:t>こと</w:t>
      </w:r>
      <w:r w:rsidR="004D7E9F">
        <w:rPr>
          <w:rFonts w:ascii="Century" w:eastAsia="ＭＳ 明朝" w:hAnsi="Century" w:cs="Times New Roman" w:hint="eastAsia"/>
        </w:rPr>
        <w:t>について</w:t>
      </w:r>
      <w:r w:rsidR="00F104D5">
        <w:rPr>
          <w:rFonts w:ascii="Century" w:eastAsia="ＭＳ 明朝" w:hAnsi="Century" w:cs="Times New Roman" w:hint="eastAsia"/>
        </w:rPr>
        <w:t>専門家は</w:t>
      </w:r>
      <w:r w:rsidR="00170814">
        <w:rPr>
          <w:rFonts w:ascii="Century" w:eastAsia="ＭＳ 明朝" w:hAnsi="Century" w:cs="Times New Roman" w:hint="eastAsia"/>
        </w:rPr>
        <w:t>、</w:t>
      </w:r>
      <w:r w:rsidRPr="00515DA7">
        <w:rPr>
          <w:rFonts w:ascii="Century" w:eastAsia="ＭＳ 明朝" w:hAnsi="Century" w:cs="Times New Roman" w:hint="eastAsia"/>
        </w:rPr>
        <w:t>昨年</w:t>
      </w:r>
      <w:r w:rsidRPr="00515DA7">
        <w:rPr>
          <w:rFonts w:ascii="Century" w:eastAsia="ＭＳ 明朝" w:hAnsi="Century" w:cs="Times New Roman" w:hint="eastAsia"/>
        </w:rPr>
        <w:t>9</w:t>
      </w:r>
      <w:r w:rsidRPr="00515DA7">
        <w:rPr>
          <w:rFonts w:ascii="Century" w:eastAsia="ＭＳ 明朝" w:hAnsi="Century" w:cs="Times New Roman" w:hint="eastAsia"/>
        </w:rPr>
        <w:t>月</w:t>
      </w:r>
      <w:r w:rsidR="00170814">
        <w:rPr>
          <w:rFonts w:ascii="Century" w:eastAsia="ＭＳ 明朝" w:hAnsi="Century" w:cs="Times New Roman" w:hint="eastAsia"/>
        </w:rPr>
        <w:t>に</w:t>
      </w:r>
      <w:r w:rsidRPr="00515DA7">
        <w:rPr>
          <w:rFonts w:ascii="Century" w:eastAsia="ＭＳ 明朝" w:hAnsi="Century" w:cs="Times New Roman" w:hint="eastAsia"/>
        </w:rPr>
        <w:t>ムーディーズの格付け</w:t>
      </w:r>
      <w:r w:rsidR="00F104D5">
        <w:rPr>
          <w:rFonts w:ascii="Century" w:eastAsia="ＭＳ 明朝" w:hAnsi="Century" w:cs="Times New Roman" w:hint="eastAsia"/>
        </w:rPr>
        <w:t>によって</w:t>
      </w:r>
      <w:r w:rsidR="004D7E9F">
        <w:rPr>
          <w:rFonts w:ascii="Century" w:eastAsia="ＭＳ 明朝" w:hAnsi="Century" w:cs="Times New Roman" w:hint="eastAsia"/>
        </w:rPr>
        <w:t>コスタリカの債務状況がネガティブな評価を受けた</w:t>
      </w:r>
      <w:r w:rsidR="00170814">
        <w:rPr>
          <w:rFonts w:ascii="Century" w:eastAsia="ＭＳ 明朝" w:hAnsi="Century" w:cs="Times New Roman" w:hint="eastAsia"/>
        </w:rPr>
        <w:t>ことが一因</w:t>
      </w:r>
      <w:r w:rsidR="00F104D5">
        <w:rPr>
          <w:rFonts w:ascii="Century" w:eastAsia="ＭＳ 明朝" w:hAnsi="Century" w:cs="Times New Roman" w:hint="eastAsia"/>
        </w:rPr>
        <w:t>であるとし</w:t>
      </w:r>
      <w:r w:rsidR="004D7E9F">
        <w:rPr>
          <w:rFonts w:ascii="Century" w:eastAsia="ＭＳ 明朝" w:hAnsi="Century" w:cs="Times New Roman" w:hint="eastAsia"/>
        </w:rPr>
        <w:t>ている</w:t>
      </w:r>
      <w:r w:rsidRPr="00515DA7">
        <w:rPr>
          <w:rFonts w:ascii="Century" w:eastAsia="ＭＳ 明朝" w:hAnsi="Century" w:cs="Times New Roman" w:hint="eastAsia"/>
        </w:rPr>
        <w:t>。</w:t>
      </w:r>
    </w:p>
    <w:p w:rsidR="00515DA7" w:rsidRPr="00831BFA" w:rsidRDefault="00515DA7" w:rsidP="00515DA7">
      <w:pPr>
        <w:rPr>
          <w:rFonts w:ascii="Century" w:eastAsia="ＭＳ 明朝" w:hAnsi="Century" w:cs="Times New Roman"/>
          <w:u w:val="single"/>
        </w:rPr>
      </w:pPr>
      <w:r w:rsidRPr="00831BFA">
        <w:rPr>
          <w:rFonts w:ascii="Century" w:eastAsia="ＭＳ 明朝" w:hAnsi="Century" w:cs="Times New Roman" w:hint="eastAsia"/>
          <w:u w:val="single"/>
        </w:rPr>
        <w:t>●エリオ・ファジャス次期財務大臣インタビュー</w:t>
      </w:r>
      <w:r w:rsidRPr="00831BFA">
        <w:rPr>
          <w:rFonts w:ascii="Century" w:eastAsia="ＭＳ 明朝" w:hAnsi="Century" w:cs="Times New Roman" w:hint="eastAsia"/>
          <w:u w:val="single"/>
        </w:rPr>
        <w:t>(4/15</w:t>
      </w:r>
      <w:r w:rsidR="00284431" w:rsidRPr="00831BFA">
        <w:rPr>
          <w:rFonts w:ascii="Century" w:eastAsia="ＭＳ 明朝" w:hAnsi="Century" w:cs="Times New Roman" w:hint="eastAsia"/>
          <w:u w:val="single"/>
        </w:rPr>
        <w:t>)</w:t>
      </w:r>
    </w:p>
    <w:p w:rsidR="00515DA7" w:rsidRPr="00515DA7" w:rsidRDefault="00515DA7" w:rsidP="003759DC">
      <w:pPr>
        <w:jc w:val="left"/>
        <w:rPr>
          <w:rFonts w:ascii="Century" w:eastAsia="ＭＳ 明朝" w:hAnsi="Century" w:cs="Times New Roman"/>
        </w:rPr>
      </w:pPr>
      <w:r w:rsidRPr="00515DA7">
        <w:rPr>
          <w:rFonts w:ascii="Century" w:eastAsia="ＭＳ 明朝" w:hAnsi="Century" w:cs="Times New Roman"/>
        </w:rPr>
        <w:t>2014</w:t>
      </w:r>
      <w:r w:rsidRPr="00515DA7">
        <w:rPr>
          <w:rFonts w:ascii="Century" w:eastAsia="ＭＳ 明朝" w:hAnsi="Century" w:cs="Times New Roman" w:hint="eastAsia"/>
        </w:rPr>
        <w:t>年には</w:t>
      </w:r>
      <w:r w:rsidRPr="00515DA7">
        <w:rPr>
          <w:rFonts w:ascii="Century" w:eastAsia="ＭＳ 明朝" w:hAnsi="Century" w:cs="Times New Roman"/>
        </w:rPr>
        <w:t>GDP</w:t>
      </w:r>
      <w:r w:rsidRPr="00515DA7">
        <w:rPr>
          <w:rFonts w:ascii="Century" w:eastAsia="ＭＳ 明朝" w:hAnsi="Century" w:cs="Times New Roman" w:hint="eastAsia"/>
        </w:rPr>
        <w:t>の</w:t>
      </w:r>
      <w:r w:rsidRPr="00515DA7">
        <w:rPr>
          <w:rFonts w:ascii="Century" w:eastAsia="ＭＳ 明朝" w:hAnsi="Century" w:cs="Times New Roman" w:hint="eastAsia"/>
        </w:rPr>
        <w:t>6</w:t>
      </w:r>
      <w:r w:rsidRPr="00515DA7">
        <w:rPr>
          <w:rFonts w:ascii="Century" w:eastAsia="ＭＳ 明朝" w:hAnsi="Century" w:cs="Times New Roman" w:hint="eastAsia"/>
        </w:rPr>
        <w:t>％に到達しうる財政赤字への対処は喫緊の課題であるとし、最初の</w:t>
      </w:r>
      <w:r w:rsidRPr="00515DA7">
        <w:rPr>
          <w:rFonts w:ascii="Century" w:eastAsia="ＭＳ 明朝" w:hAnsi="Century" w:cs="Times New Roman" w:hint="eastAsia"/>
        </w:rPr>
        <w:t>1</w:t>
      </w:r>
      <w:r w:rsidRPr="00515DA7">
        <w:rPr>
          <w:rFonts w:ascii="Century" w:eastAsia="ＭＳ 明朝" w:hAnsi="Century" w:cs="Times New Roman" w:hint="eastAsia"/>
        </w:rPr>
        <w:t>年間で財政赤字額を前年から１％削減するために財政支出の削減と脱税の撲滅に</w:t>
      </w:r>
      <w:r w:rsidR="00AC3015">
        <w:rPr>
          <w:rFonts w:ascii="Century" w:eastAsia="ＭＳ 明朝" w:hAnsi="Century" w:cs="Times New Roman" w:hint="eastAsia"/>
        </w:rPr>
        <w:t>努めていくと述べた。また、売上税から付加価値税への移行や、所得税制の変更</w:t>
      </w:r>
      <w:r w:rsidRPr="00515DA7">
        <w:rPr>
          <w:rFonts w:ascii="Century" w:eastAsia="ＭＳ 明朝" w:hAnsi="Century" w:cs="Times New Roman" w:hint="eastAsia"/>
        </w:rPr>
        <w:t>などにも言及した。</w:t>
      </w:r>
    </w:p>
    <w:p w:rsidR="00515DA7" w:rsidRPr="00515DA7" w:rsidRDefault="00515DA7" w:rsidP="00515DA7">
      <w:pPr>
        <w:rPr>
          <w:rFonts w:ascii="Century" w:eastAsia="ＭＳ 明朝" w:hAnsi="Century" w:cs="Times New Roman"/>
        </w:rPr>
      </w:pPr>
    </w:p>
    <w:p w:rsidR="00515DA7" w:rsidRPr="00515DA7" w:rsidRDefault="00515DA7" w:rsidP="00515DA7">
      <w:pPr>
        <w:rPr>
          <w:rFonts w:ascii="Century" w:eastAsia="ＭＳ 明朝" w:hAnsi="Century" w:cs="Times New Roman"/>
        </w:rPr>
      </w:pPr>
      <w:r w:rsidRPr="00515DA7">
        <w:rPr>
          <w:rFonts w:ascii="Century" w:eastAsia="ＭＳ 明朝" w:hAnsi="Century" w:cs="Times New Roman" w:hint="eastAsia"/>
        </w:rPr>
        <w:t>イ　為替</w:t>
      </w:r>
    </w:p>
    <w:p w:rsidR="00515DA7" w:rsidRPr="00D456A9" w:rsidRDefault="00515DA7" w:rsidP="00515DA7">
      <w:pPr>
        <w:rPr>
          <w:rFonts w:ascii="Century" w:eastAsia="ＭＳ 明朝" w:hAnsi="Century" w:cs="Times New Roman"/>
          <w:u w:val="single"/>
        </w:rPr>
      </w:pPr>
      <w:r w:rsidRPr="00D456A9">
        <w:rPr>
          <w:rFonts w:ascii="Century" w:eastAsia="ＭＳ 明朝" w:hAnsi="Century" w:cs="Times New Roman" w:hint="eastAsia"/>
          <w:u w:val="single"/>
        </w:rPr>
        <w:t>●</w:t>
      </w:r>
      <w:r w:rsidR="000B0AB1" w:rsidRPr="00D456A9">
        <w:rPr>
          <w:rFonts w:ascii="Century" w:eastAsia="ＭＳ 明朝" w:hAnsi="Century" w:cs="Times New Roman" w:hint="eastAsia"/>
          <w:u w:val="single"/>
        </w:rPr>
        <w:t>オリビエル・カストロ</w:t>
      </w:r>
      <w:r w:rsidRPr="00D456A9">
        <w:rPr>
          <w:rFonts w:ascii="Century" w:eastAsia="ＭＳ 明朝" w:hAnsi="Century" w:cs="Times New Roman" w:hint="eastAsia"/>
          <w:u w:val="single"/>
        </w:rPr>
        <w:t>次期中央銀行総裁インタビュー</w:t>
      </w:r>
      <w:r w:rsidRPr="00D456A9">
        <w:rPr>
          <w:rFonts w:ascii="Century" w:eastAsia="ＭＳ 明朝" w:hAnsi="Century" w:cs="Times New Roman" w:hint="eastAsia"/>
          <w:u w:val="single"/>
        </w:rPr>
        <w:t>(4/15)</w:t>
      </w:r>
    </w:p>
    <w:p w:rsidR="00515DA7" w:rsidRPr="00515DA7" w:rsidRDefault="00515DA7" w:rsidP="003759DC">
      <w:pPr>
        <w:jc w:val="left"/>
        <w:rPr>
          <w:rFonts w:ascii="Century" w:eastAsia="ＭＳ 明朝" w:hAnsi="Century" w:cs="Times New Roman"/>
        </w:rPr>
      </w:pPr>
      <w:r w:rsidRPr="00515DA7">
        <w:rPr>
          <w:rFonts w:ascii="Century" w:eastAsia="ＭＳ 明朝" w:hAnsi="Century" w:cs="Times New Roman" w:hint="eastAsia"/>
        </w:rPr>
        <w:t>・為替相場の安定のためにクローリング・バンド制を当面継続していくことと、その上</w:t>
      </w:r>
      <w:r w:rsidR="00117064">
        <w:rPr>
          <w:rFonts w:ascii="Century" w:eastAsia="ＭＳ 明朝" w:hAnsi="Century" w:cs="Times New Roman" w:hint="eastAsia"/>
        </w:rPr>
        <w:t>下</w:t>
      </w:r>
      <w:r w:rsidRPr="00515DA7">
        <w:rPr>
          <w:rFonts w:ascii="Century" w:eastAsia="ＭＳ 明朝" w:hAnsi="Century" w:cs="Times New Roman" w:hint="eastAsia"/>
        </w:rPr>
        <w:t>限</w:t>
      </w:r>
      <w:r w:rsidR="006171E6">
        <w:rPr>
          <w:rFonts w:ascii="Century" w:eastAsia="ＭＳ 明朝" w:hAnsi="Century" w:cs="Times New Roman" w:hint="eastAsia"/>
        </w:rPr>
        <w:t>値や幅を</w:t>
      </w:r>
      <w:r w:rsidRPr="00515DA7">
        <w:rPr>
          <w:rFonts w:ascii="Century" w:eastAsia="ＭＳ 明朝" w:hAnsi="Century" w:cs="Times New Roman" w:hint="eastAsia"/>
        </w:rPr>
        <w:t>変更</w:t>
      </w:r>
      <w:r w:rsidR="006171E6">
        <w:rPr>
          <w:rFonts w:ascii="Century" w:eastAsia="ＭＳ 明朝" w:hAnsi="Century" w:cs="Times New Roman" w:hint="eastAsia"/>
        </w:rPr>
        <w:t>する</w:t>
      </w:r>
      <w:r w:rsidRPr="00515DA7">
        <w:rPr>
          <w:rFonts w:ascii="Century" w:eastAsia="ＭＳ 明朝" w:hAnsi="Century" w:cs="Times New Roman" w:hint="eastAsia"/>
        </w:rPr>
        <w:t>可能性があることに言及した。また、外為市場</w:t>
      </w:r>
      <w:r w:rsidRPr="00515DA7">
        <w:rPr>
          <w:rFonts w:ascii="Century" w:eastAsia="ＭＳ 明朝" w:hAnsi="Century" w:cs="Times New Roman" w:hint="eastAsia"/>
        </w:rPr>
        <w:t>(</w:t>
      </w:r>
      <w:proofErr w:type="spellStart"/>
      <w:r w:rsidRPr="00515DA7">
        <w:rPr>
          <w:rFonts w:ascii="Century" w:eastAsia="ＭＳ 明朝" w:hAnsi="Century" w:cs="Times New Roman"/>
        </w:rPr>
        <w:t>Monex</w:t>
      </w:r>
      <w:proofErr w:type="spellEnd"/>
      <w:r w:rsidRPr="00515DA7">
        <w:rPr>
          <w:rFonts w:ascii="Century" w:eastAsia="ＭＳ 明朝" w:hAnsi="Century" w:cs="Times New Roman" w:hint="eastAsia"/>
        </w:rPr>
        <w:t>)</w:t>
      </w:r>
      <w:r w:rsidRPr="00515DA7">
        <w:rPr>
          <w:rFonts w:ascii="Century" w:eastAsia="ＭＳ 明朝" w:hAnsi="Century" w:cs="Times New Roman" w:hint="eastAsia"/>
        </w:rPr>
        <w:t>において</w:t>
      </w:r>
      <w:r w:rsidRPr="00515DA7">
        <w:rPr>
          <w:rFonts w:ascii="Century" w:eastAsia="ＭＳ 明朝" w:hAnsi="Century" w:cs="Times New Roman"/>
        </w:rPr>
        <w:t>1</w:t>
      </w:r>
      <w:r w:rsidR="00CD2595">
        <w:rPr>
          <w:rFonts w:ascii="Century" w:eastAsia="ＭＳ 明朝" w:hAnsi="Century" w:cs="Times New Roman" w:hint="eastAsia"/>
        </w:rPr>
        <w:t>,</w:t>
      </w:r>
      <w:r w:rsidRPr="00515DA7">
        <w:rPr>
          <w:rFonts w:ascii="Century" w:eastAsia="ＭＳ 明朝" w:hAnsi="Century" w:cs="Times New Roman"/>
        </w:rPr>
        <w:t>000</w:t>
      </w:r>
      <w:r w:rsidRPr="00515DA7">
        <w:rPr>
          <w:rFonts w:ascii="Century" w:eastAsia="ＭＳ 明朝" w:hAnsi="Century" w:cs="Times New Roman" w:hint="eastAsia"/>
        </w:rPr>
        <w:t>ドル以下の少額参加者を排除</w:t>
      </w:r>
      <w:r w:rsidR="00CD2595">
        <w:rPr>
          <w:rFonts w:ascii="Century" w:eastAsia="ＭＳ 明朝" w:hAnsi="Century" w:cs="Times New Roman" w:hint="eastAsia"/>
        </w:rPr>
        <w:t>することでそれらの</w:t>
      </w:r>
      <w:r w:rsidRPr="00515DA7">
        <w:rPr>
          <w:rFonts w:ascii="Century" w:eastAsia="ＭＳ 明朝" w:hAnsi="Century" w:cs="Times New Roman" w:hint="eastAsia"/>
        </w:rPr>
        <w:t>為替への影響</w:t>
      </w:r>
      <w:r w:rsidR="00CD2595">
        <w:rPr>
          <w:rFonts w:ascii="Century" w:eastAsia="ＭＳ 明朝" w:hAnsi="Century" w:cs="Times New Roman" w:hint="eastAsia"/>
        </w:rPr>
        <w:t>力をなくしていく</w:t>
      </w:r>
      <w:r w:rsidRPr="00515DA7">
        <w:rPr>
          <w:rFonts w:ascii="Century" w:eastAsia="ＭＳ 明朝" w:hAnsi="Century" w:cs="Times New Roman" w:hint="eastAsia"/>
        </w:rPr>
        <w:t>方針</w:t>
      </w:r>
      <w:r w:rsidR="00CD2595">
        <w:rPr>
          <w:rFonts w:ascii="Century" w:eastAsia="ＭＳ 明朝" w:hAnsi="Century" w:cs="Times New Roman" w:hint="eastAsia"/>
        </w:rPr>
        <w:t>を示</w:t>
      </w:r>
      <w:r w:rsidR="00117064">
        <w:rPr>
          <w:rFonts w:ascii="Century" w:eastAsia="ＭＳ 明朝" w:hAnsi="Century" w:cs="Times New Roman" w:hint="eastAsia"/>
        </w:rPr>
        <w:t>した他</w:t>
      </w:r>
      <w:r w:rsidR="00CD2595">
        <w:rPr>
          <w:rFonts w:ascii="Century" w:eastAsia="ＭＳ 明朝" w:hAnsi="Century" w:cs="Times New Roman" w:hint="eastAsia"/>
        </w:rPr>
        <w:t>、インフレ・ターゲットの維持や中銀による</w:t>
      </w:r>
      <w:r w:rsidRPr="00515DA7">
        <w:rPr>
          <w:rFonts w:ascii="Century" w:eastAsia="ＭＳ 明朝" w:hAnsi="Century" w:cs="Times New Roman" w:hint="eastAsia"/>
        </w:rPr>
        <w:t>為替へ積極介入等の方針についても言及した。</w:t>
      </w:r>
    </w:p>
    <w:p w:rsidR="00515DA7" w:rsidRPr="00515DA7" w:rsidRDefault="004333A9" w:rsidP="00515DA7">
      <w:pPr>
        <w:rPr>
          <w:rFonts w:ascii="Century" w:eastAsia="ＭＳ 明朝" w:hAnsi="Century" w:cs="Times New Roman"/>
          <w:u w:val="single"/>
        </w:rPr>
      </w:pPr>
      <w:r>
        <w:rPr>
          <w:rFonts w:ascii="Century" w:eastAsia="ＭＳ 明朝" w:hAnsi="Century" w:cs="Times New Roman" w:hint="eastAsia"/>
          <w:u w:val="single"/>
        </w:rPr>
        <w:t>●ドル高がガソリン・自動車・インターネット等の料金に影響</w:t>
      </w:r>
      <w:r w:rsidR="00515DA7" w:rsidRPr="00515DA7">
        <w:rPr>
          <w:rFonts w:ascii="Century" w:eastAsia="ＭＳ 明朝" w:hAnsi="Century" w:cs="Times New Roman" w:hint="eastAsia"/>
          <w:u w:val="single"/>
        </w:rPr>
        <w:t>(3/3)</w:t>
      </w:r>
    </w:p>
    <w:p w:rsidR="00515DA7" w:rsidRPr="00515DA7" w:rsidRDefault="006171E6" w:rsidP="003759DC">
      <w:pPr>
        <w:jc w:val="left"/>
        <w:rPr>
          <w:rFonts w:ascii="Century" w:eastAsia="ＭＳ 明朝" w:hAnsi="Century" w:cs="Times New Roman"/>
        </w:rPr>
      </w:pPr>
      <w:r>
        <w:rPr>
          <w:rFonts w:ascii="Century" w:eastAsia="ＭＳ 明朝" w:hAnsi="Century" w:cs="Times New Roman" w:hint="eastAsia"/>
        </w:rPr>
        <w:t>年始からの急速なドル高が</w:t>
      </w:r>
      <w:r w:rsidR="00515DA7" w:rsidRPr="00515DA7">
        <w:rPr>
          <w:rFonts w:ascii="Century" w:eastAsia="ＭＳ 明朝" w:hAnsi="Century" w:cs="Times New Roman" w:hint="eastAsia"/>
        </w:rPr>
        <w:t>、ガソ</w:t>
      </w:r>
      <w:r w:rsidR="003E77FA">
        <w:rPr>
          <w:rFonts w:ascii="Century" w:eastAsia="ＭＳ 明朝" w:hAnsi="Century" w:cs="Times New Roman" w:hint="eastAsia"/>
        </w:rPr>
        <w:t>リン、</w:t>
      </w:r>
      <w:r>
        <w:rPr>
          <w:rFonts w:ascii="Century" w:eastAsia="ＭＳ 明朝" w:hAnsi="Century" w:cs="Times New Roman" w:hint="eastAsia"/>
        </w:rPr>
        <w:t>自動車</w:t>
      </w:r>
      <w:r w:rsidR="003E77FA">
        <w:rPr>
          <w:rFonts w:ascii="Century" w:eastAsia="ＭＳ 明朝" w:hAnsi="Century" w:cs="Times New Roman" w:hint="eastAsia"/>
        </w:rPr>
        <w:t>、</w:t>
      </w:r>
      <w:r>
        <w:rPr>
          <w:rFonts w:ascii="Century" w:eastAsia="ＭＳ 明朝" w:hAnsi="Century" w:cs="Times New Roman" w:hint="eastAsia"/>
        </w:rPr>
        <w:t>インターネット</w:t>
      </w:r>
      <w:r w:rsidR="003E77FA">
        <w:rPr>
          <w:rFonts w:ascii="Century" w:eastAsia="ＭＳ 明朝" w:hAnsi="Century" w:cs="Times New Roman" w:hint="eastAsia"/>
        </w:rPr>
        <w:t>料金</w:t>
      </w:r>
      <w:r>
        <w:rPr>
          <w:rFonts w:ascii="Century" w:eastAsia="ＭＳ 明朝" w:hAnsi="Century" w:cs="Times New Roman" w:hint="eastAsia"/>
        </w:rPr>
        <w:t>の値上げを招いている。この傾向が持続</w:t>
      </w:r>
      <w:r w:rsidR="00E61FD3">
        <w:rPr>
          <w:rFonts w:ascii="Century" w:eastAsia="ＭＳ 明朝" w:hAnsi="Century" w:cs="Times New Roman" w:hint="eastAsia"/>
        </w:rPr>
        <w:t>すれば、その他の公共</w:t>
      </w:r>
      <w:r w:rsidR="00515DA7" w:rsidRPr="00515DA7">
        <w:rPr>
          <w:rFonts w:ascii="Century" w:eastAsia="ＭＳ 明朝" w:hAnsi="Century" w:cs="Times New Roman" w:hint="eastAsia"/>
        </w:rPr>
        <w:t>サービス料金</w:t>
      </w:r>
      <w:r w:rsidR="00515DA7" w:rsidRPr="00515DA7">
        <w:rPr>
          <w:rFonts w:ascii="Century" w:eastAsia="ＭＳ 明朝" w:hAnsi="Century" w:cs="Times New Roman" w:hint="eastAsia"/>
        </w:rPr>
        <w:t>(</w:t>
      </w:r>
      <w:r w:rsidR="00515DA7" w:rsidRPr="00515DA7">
        <w:rPr>
          <w:rFonts w:ascii="Century" w:eastAsia="ＭＳ 明朝" w:hAnsi="Century" w:cs="Times New Roman" w:hint="eastAsia"/>
        </w:rPr>
        <w:t>水・電気・タクシー等</w:t>
      </w:r>
      <w:r w:rsidR="00515DA7" w:rsidRPr="00515DA7">
        <w:rPr>
          <w:rFonts w:ascii="Century" w:eastAsia="ＭＳ 明朝" w:hAnsi="Century" w:cs="Times New Roman" w:hint="eastAsia"/>
        </w:rPr>
        <w:t>)</w:t>
      </w:r>
      <w:r w:rsidR="00515DA7" w:rsidRPr="00515DA7">
        <w:rPr>
          <w:rFonts w:ascii="Century" w:eastAsia="ＭＳ 明朝" w:hAnsi="Century" w:cs="Times New Roman" w:hint="eastAsia"/>
        </w:rPr>
        <w:t>も、次回の料金改定時に値上がりする可能性がある。公共サービス調整庁</w:t>
      </w:r>
      <w:r w:rsidR="00515DA7" w:rsidRPr="00515DA7">
        <w:rPr>
          <w:rFonts w:ascii="Century" w:eastAsia="ＭＳ 明朝" w:hAnsi="Century" w:cs="Times New Roman" w:hint="eastAsia"/>
        </w:rPr>
        <w:t>(</w:t>
      </w:r>
      <w:proofErr w:type="spellStart"/>
      <w:r w:rsidR="00515DA7" w:rsidRPr="00515DA7">
        <w:rPr>
          <w:rFonts w:ascii="Century" w:eastAsia="ＭＳ 明朝" w:hAnsi="Century" w:cs="Times New Roman" w:hint="eastAsia"/>
        </w:rPr>
        <w:t>Aresep</w:t>
      </w:r>
      <w:proofErr w:type="spellEnd"/>
      <w:r w:rsidR="00515DA7" w:rsidRPr="00515DA7">
        <w:rPr>
          <w:rFonts w:ascii="Century" w:eastAsia="ＭＳ 明朝" w:hAnsi="Century" w:cs="Times New Roman" w:hint="eastAsia"/>
        </w:rPr>
        <w:t>)</w:t>
      </w:r>
      <w:r w:rsidR="00515DA7" w:rsidRPr="00515DA7">
        <w:rPr>
          <w:rFonts w:ascii="Century" w:eastAsia="ＭＳ 明朝" w:hAnsi="Century" w:cs="Times New Roman" w:hint="eastAsia"/>
        </w:rPr>
        <w:t>は燃料料金の値上げ措置を検討中</w:t>
      </w:r>
      <w:r>
        <w:rPr>
          <w:rFonts w:ascii="Century" w:eastAsia="ＭＳ 明朝" w:hAnsi="Century" w:cs="Times New Roman" w:hint="eastAsia"/>
        </w:rPr>
        <w:t>である</w:t>
      </w:r>
      <w:r w:rsidR="00515DA7" w:rsidRPr="00515DA7">
        <w:rPr>
          <w:rFonts w:ascii="Century" w:eastAsia="ＭＳ 明朝" w:hAnsi="Century" w:cs="Times New Roman" w:hint="eastAsia"/>
        </w:rPr>
        <w:t>。中銀はドル高によるインフレを抑える</w:t>
      </w:r>
      <w:r w:rsidR="00771C76">
        <w:rPr>
          <w:rFonts w:ascii="Century" w:eastAsia="ＭＳ 明朝" w:hAnsi="Century" w:cs="Times New Roman" w:hint="eastAsia"/>
        </w:rPr>
        <w:t>対策が整っているとしつつも、現在の現象を一時的なものと</w:t>
      </w:r>
      <w:r>
        <w:rPr>
          <w:rFonts w:ascii="Century" w:eastAsia="ＭＳ 明朝" w:hAnsi="Century" w:cs="Times New Roman" w:hint="eastAsia"/>
        </w:rPr>
        <w:t>判断している間は</w:t>
      </w:r>
      <w:r w:rsidR="00771C76">
        <w:rPr>
          <w:rFonts w:ascii="Century" w:eastAsia="ＭＳ 明朝" w:hAnsi="Century" w:cs="Times New Roman" w:hint="eastAsia"/>
        </w:rPr>
        <w:t>特に問題視しない意向を示し</w:t>
      </w:r>
      <w:r w:rsidR="00515DA7" w:rsidRPr="00515DA7">
        <w:rPr>
          <w:rFonts w:ascii="Century" w:eastAsia="ＭＳ 明朝" w:hAnsi="Century" w:cs="Times New Roman" w:hint="eastAsia"/>
        </w:rPr>
        <w:t>、引き続き</w:t>
      </w:r>
      <w:r w:rsidR="00515DA7" w:rsidRPr="00515DA7">
        <w:rPr>
          <w:rFonts w:ascii="Century" w:eastAsia="ＭＳ 明朝" w:hAnsi="Century" w:cs="Times New Roman" w:hint="eastAsia"/>
        </w:rPr>
        <w:t>3</w:t>
      </w:r>
      <w:r w:rsidR="00515DA7" w:rsidRPr="00515DA7">
        <w:rPr>
          <w:rFonts w:ascii="Century" w:eastAsia="ＭＳ 明朝" w:hAnsi="Century" w:cs="Times New Roman" w:hint="eastAsia"/>
        </w:rPr>
        <w:t>～</w:t>
      </w:r>
      <w:r w:rsidR="00515DA7" w:rsidRPr="00515DA7">
        <w:rPr>
          <w:rFonts w:ascii="Century" w:eastAsia="ＭＳ 明朝" w:hAnsi="Century" w:cs="Times New Roman" w:hint="eastAsia"/>
        </w:rPr>
        <w:t>5</w:t>
      </w:r>
      <w:r w:rsidR="00A05480">
        <w:rPr>
          <w:rFonts w:ascii="Century" w:eastAsia="ＭＳ 明朝" w:hAnsi="Century" w:cs="Times New Roman" w:hint="eastAsia"/>
        </w:rPr>
        <w:t>％のインフレ・ターゲットも維持していくことを表明</w:t>
      </w:r>
      <w:r w:rsidR="00515DA7" w:rsidRPr="00515DA7">
        <w:rPr>
          <w:rFonts w:ascii="Century" w:eastAsia="ＭＳ 明朝" w:hAnsi="Century" w:cs="Times New Roman" w:hint="eastAsia"/>
        </w:rPr>
        <w:t>している。</w:t>
      </w:r>
    </w:p>
    <w:p w:rsidR="00515DA7" w:rsidRPr="00515DA7" w:rsidRDefault="00515DA7" w:rsidP="00515DA7">
      <w:pPr>
        <w:rPr>
          <w:rFonts w:ascii="Century" w:eastAsia="ＭＳ 明朝" w:hAnsi="Century" w:cs="Times New Roman"/>
        </w:rPr>
      </w:pPr>
    </w:p>
    <w:p w:rsidR="00515DA7" w:rsidRPr="00515DA7" w:rsidRDefault="00515DA7" w:rsidP="00515DA7">
      <w:pPr>
        <w:rPr>
          <w:rFonts w:ascii="Century" w:eastAsia="ＭＳ 明朝" w:hAnsi="Century" w:cs="Times New Roman"/>
        </w:rPr>
      </w:pPr>
      <w:r w:rsidRPr="00515DA7">
        <w:rPr>
          <w:rFonts w:ascii="Century" w:eastAsia="ＭＳ 明朝" w:hAnsi="Century" w:cs="Times New Roman" w:hint="eastAsia"/>
        </w:rPr>
        <w:t>ウ　雇用関連</w:t>
      </w:r>
    </w:p>
    <w:p w:rsidR="00515DA7" w:rsidRPr="00D456A9" w:rsidRDefault="00515DA7" w:rsidP="00515DA7">
      <w:pPr>
        <w:rPr>
          <w:rFonts w:ascii="Century" w:eastAsia="ＭＳ 明朝" w:hAnsi="Century" w:cs="Times New Roman"/>
          <w:u w:val="single"/>
        </w:rPr>
      </w:pPr>
      <w:r w:rsidRPr="00515DA7">
        <w:rPr>
          <w:rFonts w:ascii="Century" w:eastAsia="ＭＳ 明朝" w:hAnsi="Century" w:cs="Times New Roman" w:hint="eastAsia"/>
        </w:rPr>
        <w:t>●</w:t>
      </w:r>
      <w:r w:rsidR="000D797A">
        <w:rPr>
          <w:rFonts w:ascii="Century" w:eastAsia="ＭＳ 明朝" w:hAnsi="Century" w:cs="Times New Roman" w:hint="eastAsia"/>
          <w:u w:val="single"/>
        </w:rPr>
        <w:t>インテル社は経営戦略を転換し、生産</w:t>
      </w:r>
      <w:r w:rsidR="00D456A9">
        <w:rPr>
          <w:rFonts w:ascii="Century" w:eastAsia="ＭＳ 明朝" w:hAnsi="Century" w:cs="Times New Roman" w:hint="eastAsia"/>
          <w:u w:val="single"/>
        </w:rPr>
        <w:t>部門</w:t>
      </w:r>
      <w:r w:rsidR="000D797A">
        <w:rPr>
          <w:rFonts w:ascii="Century" w:eastAsia="ＭＳ 明朝" w:hAnsi="Century" w:cs="Times New Roman" w:hint="eastAsia"/>
          <w:u w:val="single"/>
        </w:rPr>
        <w:t>を</w:t>
      </w:r>
      <w:r w:rsidR="00D456A9">
        <w:rPr>
          <w:rFonts w:ascii="Century" w:eastAsia="ＭＳ 明朝" w:hAnsi="Century" w:cs="Times New Roman" w:hint="eastAsia"/>
          <w:u w:val="single"/>
        </w:rPr>
        <w:t>アジアに移設</w:t>
      </w:r>
      <w:r w:rsidRPr="00515DA7">
        <w:rPr>
          <w:rFonts w:ascii="Century" w:eastAsia="ＭＳ 明朝" w:hAnsi="Century" w:cs="Times New Roman" w:hint="eastAsia"/>
          <w:u w:val="single"/>
        </w:rPr>
        <w:t>(4/5)</w:t>
      </w:r>
    </w:p>
    <w:p w:rsidR="00515DA7" w:rsidRPr="00515DA7" w:rsidRDefault="00BC58A9" w:rsidP="003759DC">
      <w:pPr>
        <w:jc w:val="left"/>
        <w:rPr>
          <w:rFonts w:ascii="Century" w:eastAsia="ＭＳ 明朝" w:hAnsi="Century" w:cs="Times New Roman"/>
        </w:rPr>
      </w:pPr>
      <w:r>
        <w:rPr>
          <w:rFonts w:ascii="Century" w:eastAsia="ＭＳ 明朝" w:hAnsi="Century" w:cs="Times New Roman" w:hint="eastAsia"/>
        </w:rPr>
        <w:t>インテル社はベレン</w:t>
      </w:r>
      <w:r w:rsidR="00515DA7" w:rsidRPr="00515DA7">
        <w:rPr>
          <w:rFonts w:ascii="Century" w:eastAsia="ＭＳ 明朝" w:hAnsi="Century" w:cs="Times New Roman" w:hint="eastAsia"/>
        </w:rPr>
        <w:t>工場の生産部門</w:t>
      </w:r>
      <w:r w:rsidR="00515DA7" w:rsidRPr="00515DA7">
        <w:rPr>
          <w:rFonts w:ascii="Century" w:eastAsia="ＭＳ 明朝" w:hAnsi="Century" w:cs="Times New Roman" w:hint="eastAsia"/>
        </w:rPr>
        <w:t>(</w:t>
      </w:r>
      <w:r w:rsidR="00515DA7" w:rsidRPr="00515DA7">
        <w:rPr>
          <w:rFonts w:ascii="Century" w:eastAsia="ＭＳ 明朝" w:hAnsi="Century" w:cs="Times New Roman"/>
        </w:rPr>
        <w:t>1500</w:t>
      </w:r>
      <w:r w:rsidR="00515DA7" w:rsidRPr="00515DA7">
        <w:rPr>
          <w:rFonts w:ascii="Century" w:eastAsia="ＭＳ 明朝" w:hAnsi="Century" w:cs="Times New Roman" w:hint="eastAsia"/>
        </w:rPr>
        <w:t>人</w:t>
      </w:r>
      <w:r w:rsidR="00515DA7" w:rsidRPr="00515DA7">
        <w:rPr>
          <w:rFonts w:ascii="Century" w:eastAsia="ＭＳ 明朝" w:hAnsi="Century" w:cs="Times New Roman" w:hint="eastAsia"/>
        </w:rPr>
        <w:t>)</w:t>
      </w:r>
      <w:r w:rsidR="000D797A">
        <w:rPr>
          <w:rFonts w:ascii="Century" w:eastAsia="ＭＳ 明朝" w:hAnsi="Century" w:cs="Times New Roman" w:hint="eastAsia"/>
        </w:rPr>
        <w:t>を削減する予定である。生産</w:t>
      </w:r>
      <w:r w:rsidR="00515DA7" w:rsidRPr="00515DA7">
        <w:rPr>
          <w:rFonts w:ascii="Century" w:eastAsia="ＭＳ 明朝" w:hAnsi="Century" w:cs="Times New Roman" w:hint="eastAsia"/>
        </w:rPr>
        <w:t>部門撤退後も、国内のエンジニア部門・デザイン部門・グローバルサービス部門は存続</w:t>
      </w:r>
      <w:r w:rsidR="000D797A">
        <w:rPr>
          <w:rFonts w:ascii="Century" w:eastAsia="ＭＳ 明朝" w:hAnsi="Century" w:cs="Times New Roman" w:hint="eastAsia"/>
        </w:rPr>
        <w:t>され、これらの部門においては</w:t>
      </w:r>
      <w:r w:rsidR="00515DA7" w:rsidRPr="00515DA7">
        <w:rPr>
          <w:rFonts w:ascii="Century" w:eastAsia="ＭＳ 明朝" w:hAnsi="Century" w:cs="Times New Roman" w:hint="eastAsia"/>
        </w:rPr>
        <w:t>現状の</w:t>
      </w:r>
      <w:r w:rsidR="00515DA7" w:rsidRPr="00515DA7">
        <w:rPr>
          <w:rFonts w:ascii="Century" w:eastAsia="ＭＳ 明朝" w:hAnsi="Century" w:cs="Times New Roman"/>
        </w:rPr>
        <w:t>1</w:t>
      </w:r>
      <w:r w:rsidR="00515DA7" w:rsidRPr="00515DA7">
        <w:rPr>
          <w:rFonts w:ascii="Century" w:eastAsia="ＭＳ 明朝" w:hAnsi="Century" w:cs="Times New Roman" w:hint="eastAsia"/>
        </w:rPr>
        <w:t>,</w:t>
      </w:r>
      <w:r w:rsidR="00515DA7" w:rsidRPr="00515DA7">
        <w:rPr>
          <w:rFonts w:ascii="Century" w:eastAsia="ＭＳ 明朝" w:hAnsi="Century" w:cs="Times New Roman"/>
        </w:rPr>
        <w:t>200</w:t>
      </w:r>
      <w:r w:rsidR="00515DA7" w:rsidRPr="00515DA7">
        <w:rPr>
          <w:rFonts w:ascii="Century" w:eastAsia="ＭＳ 明朝" w:hAnsi="Century" w:cs="Times New Roman" w:hint="eastAsia"/>
        </w:rPr>
        <w:t>人</w:t>
      </w:r>
      <w:r w:rsidR="000D797A">
        <w:rPr>
          <w:rFonts w:ascii="Century" w:eastAsia="ＭＳ 明朝" w:hAnsi="Century" w:cs="Times New Roman" w:hint="eastAsia"/>
        </w:rPr>
        <w:t>の人員</w:t>
      </w:r>
      <w:r w:rsidR="00515DA7" w:rsidRPr="00515DA7">
        <w:rPr>
          <w:rFonts w:ascii="Century" w:eastAsia="ＭＳ 明朝" w:hAnsi="Century" w:cs="Times New Roman" w:hint="eastAsia"/>
        </w:rPr>
        <w:t>から</w:t>
      </w:r>
      <w:r w:rsidR="00515DA7" w:rsidRPr="00515DA7">
        <w:rPr>
          <w:rFonts w:ascii="Century" w:eastAsia="ＭＳ 明朝" w:hAnsi="Century" w:cs="Times New Roman"/>
        </w:rPr>
        <w:t>200</w:t>
      </w:r>
      <w:r w:rsidR="00515DA7" w:rsidRPr="00515DA7">
        <w:rPr>
          <w:rFonts w:ascii="Century" w:eastAsia="ＭＳ 明朝" w:hAnsi="Century" w:cs="Times New Roman" w:hint="eastAsia"/>
        </w:rPr>
        <w:t>人増加させる</w:t>
      </w:r>
      <w:r w:rsidR="000D797A">
        <w:rPr>
          <w:rFonts w:ascii="Century" w:eastAsia="ＭＳ 明朝" w:hAnsi="Century" w:cs="Times New Roman" w:hint="eastAsia"/>
        </w:rPr>
        <w:t>予定である</w:t>
      </w:r>
      <w:r w:rsidR="00515DA7" w:rsidRPr="00515DA7">
        <w:rPr>
          <w:rFonts w:ascii="Century" w:eastAsia="ＭＳ 明朝" w:hAnsi="Century" w:cs="Times New Roman" w:hint="eastAsia"/>
        </w:rPr>
        <w:t>。今回の再編成は、これまでパソコン部品生産が中心だったインテルの社の経営が、近年のスマートフォンなどのタブレット</w:t>
      </w:r>
      <w:r w:rsidR="005F60A3">
        <w:rPr>
          <w:rFonts w:ascii="Century" w:eastAsia="ＭＳ 明朝" w:hAnsi="Century" w:cs="Times New Roman" w:hint="eastAsia"/>
        </w:rPr>
        <w:t>機器</w:t>
      </w:r>
      <w:r w:rsidR="00515DA7" w:rsidRPr="00515DA7">
        <w:rPr>
          <w:rFonts w:ascii="Century" w:eastAsia="ＭＳ 明朝" w:hAnsi="Century" w:cs="Times New Roman" w:hint="eastAsia"/>
        </w:rPr>
        <w:t>産業の台頭により悪化したことが主</w:t>
      </w:r>
      <w:r w:rsidR="000D797A">
        <w:rPr>
          <w:rFonts w:ascii="Century" w:eastAsia="ＭＳ 明朝" w:hAnsi="Century" w:cs="Times New Roman" w:hint="eastAsia"/>
        </w:rPr>
        <w:t>な</w:t>
      </w:r>
      <w:r w:rsidR="00515DA7" w:rsidRPr="00515DA7">
        <w:rPr>
          <w:rFonts w:ascii="Century" w:eastAsia="ＭＳ 明朝" w:hAnsi="Century" w:cs="Times New Roman" w:hint="eastAsia"/>
        </w:rPr>
        <w:t>要因とされている。インテル社</w:t>
      </w:r>
      <w:r w:rsidR="00515DA7" w:rsidRPr="00515DA7">
        <w:rPr>
          <w:rFonts w:ascii="Century" w:eastAsia="ＭＳ 明朝" w:hAnsi="Century" w:cs="Times New Roman" w:hint="eastAsia"/>
        </w:rPr>
        <w:lastRenderedPageBreak/>
        <w:t>は</w:t>
      </w:r>
      <w:r w:rsidR="00515DA7" w:rsidRPr="00515DA7">
        <w:rPr>
          <w:rFonts w:ascii="Century" w:eastAsia="ＭＳ 明朝" w:hAnsi="Century" w:cs="Times New Roman"/>
        </w:rPr>
        <w:t>9</w:t>
      </w:r>
      <w:r w:rsidR="00515DA7" w:rsidRPr="00515DA7">
        <w:rPr>
          <w:rFonts w:ascii="Century" w:eastAsia="ＭＳ 明朝" w:hAnsi="Century" w:cs="Times New Roman" w:hint="eastAsia"/>
        </w:rPr>
        <w:t>7</w:t>
      </w:r>
      <w:r w:rsidR="00515DA7" w:rsidRPr="00515DA7">
        <w:rPr>
          <w:rFonts w:ascii="Century" w:eastAsia="ＭＳ 明朝" w:hAnsi="Century" w:cs="Times New Roman" w:hint="eastAsia"/>
        </w:rPr>
        <w:t>年のコスタリカ進出以降、国内製造業を支えてきた企業であり、輸出額の</w:t>
      </w:r>
      <w:r w:rsidR="00515DA7" w:rsidRPr="00515DA7">
        <w:rPr>
          <w:rFonts w:ascii="Century" w:eastAsia="ＭＳ 明朝" w:hAnsi="Century" w:cs="Times New Roman"/>
        </w:rPr>
        <w:t>20</w:t>
      </w:r>
      <w:r w:rsidR="00515DA7" w:rsidRPr="00515DA7">
        <w:rPr>
          <w:rFonts w:ascii="Century" w:eastAsia="ＭＳ 明朝" w:hAnsi="Century" w:cs="Times New Roman" w:hint="eastAsia"/>
        </w:rPr>
        <w:t>％以上を同社製品が占める時代もあった。近年はコスタリカもインテル依存から脱却するために、</w:t>
      </w:r>
      <w:r w:rsidR="00E372F5">
        <w:rPr>
          <w:rFonts w:ascii="Century" w:eastAsia="ＭＳ 明朝" w:hAnsi="Century" w:cs="Times New Roman" w:hint="eastAsia"/>
        </w:rPr>
        <w:t>外国直接投資</w:t>
      </w:r>
      <w:r w:rsidR="00E372F5">
        <w:rPr>
          <w:rFonts w:ascii="Century" w:eastAsia="ＭＳ 明朝" w:hAnsi="Century" w:cs="Times New Roman" w:hint="eastAsia"/>
        </w:rPr>
        <w:t>(</w:t>
      </w:r>
      <w:r w:rsidR="00515DA7" w:rsidRPr="00515DA7">
        <w:rPr>
          <w:rFonts w:ascii="Century" w:eastAsia="ＭＳ 明朝" w:hAnsi="Century" w:cs="Times New Roman"/>
        </w:rPr>
        <w:t>FDI</w:t>
      </w:r>
      <w:r w:rsidR="00E372F5">
        <w:rPr>
          <w:rFonts w:ascii="Century" w:eastAsia="ＭＳ 明朝" w:hAnsi="Century" w:cs="Times New Roman" w:hint="eastAsia"/>
        </w:rPr>
        <w:t>)</w:t>
      </w:r>
      <w:r w:rsidR="00515DA7" w:rsidRPr="00515DA7">
        <w:rPr>
          <w:rFonts w:ascii="Century" w:eastAsia="ＭＳ 明朝" w:hAnsi="Century" w:cs="Times New Roman" w:hint="eastAsia"/>
        </w:rPr>
        <w:t>の対象となる産業の多様化を図ってきたが、それでも依然としてインテルの比重は大きいままだった。</w:t>
      </w:r>
    </w:p>
    <w:p w:rsidR="00515DA7" w:rsidRPr="00C06E76" w:rsidRDefault="00515DA7" w:rsidP="00515DA7">
      <w:pPr>
        <w:rPr>
          <w:rFonts w:ascii="Century" w:eastAsia="ＭＳ 明朝" w:hAnsi="Century" w:cs="Times New Roman"/>
          <w:u w:val="single"/>
          <w:lang w:val="es-ES"/>
        </w:rPr>
      </w:pPr>
      <w:r w:rsidRPr="00C06E76">
        <w:rPr>
          <w:rFonts w:ascii="Century" w:eastAsia="ＭＳ 明朝" w:hAnsi="Century" w:cs="Times New Roman" w:hint="eastAsia"/>
          <w:u w:val="single"/>
        </w:rPr>
        <w:t>●インテル社</w:t>
      </w:r>
      <w:r w:rsidR="00C06E76" w:rsidRPr="00C06E76">
        <w:rPr>
          <w:rFonts w:ascii="Century" w:eastAsia="ＭＳ 明朝" w:hAnsi="Century" w:cs="Times New Roman" w:hint="eastAsia"/>
          <w:u w:val="single"/>
        </w:rPr>
        <w:t>、</w:t>
      </w:r>
      <w:r w:rsidR="00E372F5" w:rsidRPr="00C06E76">
        <w:rPr>
          <w:rFonts w:ascii="Century" w:eastAsia="ＭＳ 明朝" w:hAnsi="Century" w:cs="Times New Roman" w:hint="eastAsia"/>
          <w:u w:val="single"/>
        </w:rPr>
        <w:t>生産部門の</w:t>
      </w:r>
      <w:r w:rsidRPr="00C06E76">
        <w:rPr>
          <w:rFonts w:ascii="Century" w:eastAsia="ＭＳ 明朝" w:hAnsi="Century" w:cs="Times New Roman" w:hint="eastAsia"/>
          <w:u w:val="single"/>
        </w:rPr>
        <w:t>撤退</w:t>
      </w:r>
      <w:r w:rsidR="00E372F5" w:rsidRPr="00C06E76">
        <w:rPr>
          <w:rFonts w:ascii="Century" w:eastAsia="ＭＳ 明朝" w:hAnsi="Century" w:cs="Times New Roman" w:hint="eastAsia"/>
          <w:u w:val="single"/>
        </w:rPr>
        <w:t>を</w:t>
      </w:r>
      <w:r w:rsidRPr="00C06E76">
        <w:rPr>
          <w:rFonts w:ascii="Century" w:eastAsia="ＭＳ 明朝" w:hAnsi="Century" w:cs="Times New Roman" w:hint="eastAsia"/>
          <w:u w:val="single"/>
        </w:rPr>
        <w:t>正式発表</w:t>
      </w:r>
      <w:r w:rsidRPr="00C06E76">
        <w:rPr>
          <w:rFonts w:ascii="Century" w:eastAsia="ＭＳ 明朝" w:hAnsi="Century" w:cs="Times New Roman" w:hint="eastAsia"/>
          <w:u w:val="single"/>
        </w:rPr>
        <w:t>(4/9)</w:t>
      </w:r>
    </w:p>
    <w:p w:rsidR="00515DA7" w:rsidRPr="00515DA7" w:rsidRDefault="00515DA7" w:rsidP="003759DC">
      <w:pPr>
        <w:jc w:val="left"/>
        <w:rPr>
          <w:rFonts w:ascii="Century" w:eastAsia="ＭＳ 明朝" w:hAnsi="Century" w:cs="Times New Roman"/>
        </w:rPr>
      </w:pPr>
      <w:r w:rsidRPr="00515DA7">
        <w:rPr>
          <w:rFonts w:ascii="Century" w:eastAsia="ＭＳ 明朝" w:hAnsi="Century" w:cs="Times New Roman" w:hint="eastAsia"/>
        </w:rPr>
        <w:t>8</w:t>
      </w:r>
      <w:r w:rsidRPr="00515DA7">
        <w:rPr>
          <w:rFonts w:ascii="Century" w:eastAsia="ＭＳ 明朝" w:hAnsi="Century" w:cs="Times New Roman" w:hint="eastAsia"/>
        </w:rPr>
        <w:t>日、インテル社は、</w:t>
      </w:r>
      <w:r w:rsidRPr="00515DA7">
        <w:rPr>
          <w:rFonts w:ascii="Century" w:eastAsia="ＭＳ 明朝" w:hAnsi="Century" w:cs="Times New Roman"/>
        </w:rPr>
        <w:t>2014</w:t>
      </w:r>
      <w:r w:rsidRPr="00515DA7">
        <w:rPr>
          <w:rFonts w:ascii="Century" w:eastAsia="ＭＳ 明朝" w:hAnsi="Century" w:cs="Times New Roman" w:hint="eastAsia"/>
        </w:rPr>
        <w:t>年中の国内工場の生産部門の廃止を公式に発表した。同社のコスタリカ代表マイク・フォレスト氏は、今回の変化はあくまでもグローバルな再編成の一部に過ぎないと述べ、コスタリカの競争力低下</w:t>
      </w:r>
      <w:r w:rsidRPr="00515DA7">
        <w:rPr>
          <w:rFonts w:ascii="Century" w:eastAsia="ＭＳ 明朝" w:hAnsi="Century" w:cs="Times New Roman"/>
        </w:rPr>
        <w:t xml:space="preserve"> (</w:t>
      </w:r>
      <w:r w:rsidRPr="00515DA7">
        <w:rPr>
          <w:rFonts w:ascii="Century" w:eastAsia="ＭＳ 明朝" w:hAnsi="Century" w:cs="Times New Roman" w:hint="eastAsia"/>
        </w:rPr>
        <w:t>水や電気料金の上昇</w:t>
      </w:r>
      <w:r w:rsidRPr="00515DA7">
        <w:rPr>
          <w:rFonts w:ascii="Century" w:eastAsia="ＭＳ 明朝" w:hAnsi="Century" w:cs="Times New Roman" w:hint="eastAsia"/>
        </w:rPr>
        <w:t>)</w:t>
      </w:r>
      <w:r w:rsidRPr="00515DA7">
        <w:rPr>
          <w:rFonts w:ascii="Century" w:eastAsia="ＭＳ 明朝" w:hAnsi="Century" w:cs="Times New Roman" w:hint="eastAsia"/>
        </w:rPr>
        <w:t>が理由ではないとしている。今</w:t>
      </w:r>
      <w:r w:rsidR="00341B71">
        <w:rPr>
          <w:rFonts w:ascii="Century" w:eastAsia="ＭＳ 明朝" w:hAnsi="Century" w:cs="Times New Roman" w:hint="eastAsia"/>
        </w:rPr>
        <w:t>回の削減対象となる生産および実験部門のエンジニアには、補償</w:t>
      </w:r>
      <w:r w:rsidRPr="00515DA7">
        <w:rPr>
          <w:rFonts w:ascii="Century" w:eastAsia="ＭＳ 明朝" w:hAnsi="Century" w:cs="Times New Roman" w:hint="eastAsia"/>
        </w:rPr>
        <w:t>金と転職への支援が提供される予定になっている。</w:t>
      </w:r>
    </w:p>
    <w:p w:rsidR="00515DA7" w:rsidRPr="00C44AD6" w:rsidRDefault="00515DA7" w:rsidP="00515DA7">
      <w:pPr>
        <w:rPr>
          <w:rFonts w:ascii="Century" w:eastAsia="ＭＳ 明朝" w:hAnsi="Century" w:cs="Times New Roman"/>
          <w:u w:val="single"/>
        </w:rPr>
      </w:pPr>
      <w:r w:rsidRPr="00C44AD6">
        <w:rPr>
          <w:rFonts w:ascii="Century" w:eastAsia="ＭＳ 明朝" w:hAnsi="Century" w:cs="Times New Roman" w:hint="eastAsia"/>
          <w:u w:val="single"/>
        </w:rPr>
        <w:t>●バンク・オブ・アメリカの撤退</w:t>
      </w:r>
      <w:r w:rsidRPr="00C44AD6">
        <w:rPr>
          <w:rFonts w:ascii="Century" w:eastAsia="ＭＳ 明朝" w:hAnsi="Century" w:cs="Times New Roman" w:hint="eastAsia"/>
          <w:u w:val="single"/>
        </w:rPr>
        <w:t>(4/9)</w:t>
      </w:r>
      <w:r w:rsidRPr="00C44AD6">
        <w:rPr>
          <w:rFonts w:ascii="Century" w:eastAsia="ＭＳ 明朝" w:hAnsi="Century" w:cs="Times New Roman" w:hint="eastAsia"/>
          <w:u w:val="single"/>
        </w:rPr>
        <w:t xml:space="preserve">　</w:t>
      </w:r>
    </w:p>
    <w:p w:rsidR="00515DA7" w:rsidRPr="00515DA7" w:rsidRDefault="00515DA7" w:rsidP="003759DC">
      <w:pPr>
        <w:jc w:val="left"/>
        <w:rPr>
          <w:rFonts w:ascii="Century" w:eastAsia="ＭＳ 明朝" w:hAnsi="Century" w:cs="Times New Roman"/>
        </w:rPr>
      </w:pPr>
      <w:r w:rsidRPr="00515DA7">
        <w:rPr>
          <w:rFonts w:ascii="Century" w:eastAsia="ＭＳ 明朝" w:hAnsi="Century" w:cs="Times New Roman" w:hint="eastAsia"/>
        </w:rPr>
        <w:t>8</w:t>
      </w:r>
      <w:r w:rsidRPr="00515DA7">
        <w:rPr>
          <w:rFonts w:ascii="Century" w:eastAsia="ＭＳ 明朝" w:hAnsi="Century" w:cs="Times New Roman" w:hint="eastAsia"/>
        </w:rPr>
        <w:t>日、バンク・オブ・アメリカは今後</w:t>
      </w:r>
      <w:r w:rsidRPr="00515DA7">
        <w:rPr>
          <w:rFonts w:ascii="Century" w:eastAsia="ＭＳ 明朝" w:hAnsi="Century" w:cs="Times New Roman"/>
        </w:rPr>
        <w:t>9-12</w:t>
      </w:r>
      <w:r w:rsidRPr="00515DA7">
        <w:rPr>
          <w:rFonts w:ascii="Century" w:eastAsia="ＭＳ 明朝" w:hAnsi="Century" w:cs="Times New Roman" w:hint="eastAsia"/>
        </w:rPr>
        <w:t>ヶ月の間に国内のオペレーション部門と技術部門を削減していくという声明を公式に発表した。同時に今回の削減対象者への転職支援を行っていくことも明言した。コスタリカ投資振興機構</w:t>
      </w:r>
      <w:r w:rsidRPr="00515DA7">
        <w:rPr>
          <w:rFonts w:ascii="Century" w:eastAsia="ＭＳ 明朝" w:hAnsi="Century" w:cs="Times New Roman" w:hint="eastAsia"/>
        </w:rPr>
        <w:t>(</w:t>
      </w:r>
      <w:r w:rsidRPr="00515DA7">
        <w:rPr>
          <w:rFonts w:ascii="Century" w:eastAsia="ＭＳ 明朝" w:hAnsi="Century" w:cs="Times New Roman"/>
        </w:rPr>
        <w:t>CINDE</w:t>
      </w:r>
      <w:r w:rsidRPr="00515DA7">
        <w:rPr>
          <w:rFonts w:ascii="Century" w:eastAsia="ＭＳ 明朝" w:hAnsi="Century" w:cs="Times New Roman" w:hint="eastAsia"/>
        </w:rPr>
        <w:t>)</w:t>
      </w:r>
      <w:r w:rsidRPr="00515DA7">
        <w:rPr>
          <w:rFonts w:ascii="Century" w:eastAsia="ＭＳ 明朝" w:hAnsi="Century" w:cs="Times New Roman" w:hint="eastAsia"/>
        </w:rPr>
        <w:t>は今回</w:t>
      </w:r>
      <w:r w:rsidRPr="00515DA7">
        <w:rPr>
          <w:rFonts w:ascii="Century" w:eastAsia="ＭＳ 明朝" w:hAnsi="Century" w:cs="Times New Roman"/>
        </w:rPr>
        <w:t>1</w:t>
      </w:r>
      <w:r w:rsidRPr="00515DA7">
        <w:rPr>
          <w:rFonts w:ascii="Century" w:eastAsia="ＭＳ 明朝" w:hAnsi="Century" w:cs="Times New Roman" w:hint="eastAsia"/>
        </w:rPr>
        <w:t>,</w:t>
      </w:r>
      <w:r w:rsidRPr="00515DA7">
        <w:rPr>
          <w:rFonts w:ascii="Century" w:eastAsia="ＭＳ 明朝" w:hAnsi="Century" w:cs="Times New Roman"/>
        </w:rPr>
        <w:t>500</w:t>
      </w:r>
      <w:r w:rsidRPr="00515DA7">
        <w:rPr>
          <w:rFonts w:ascii="Century" w:eastAsia="ＭＳ 明朝" w:hAnsi="Century" w:cs="Times New Roman" w:hint="eastAsia"/>
        </w:rPr>
        <w:t>人近くが整理対象となると見込んでおり、また同銀行の発表が</w:t>
      </w:r>
      <w:r w:rsidR="00765386">
        <w:rPr>
          <w:rFonts w:ascii="Century" w:eastAsia="ＭＳ 明朝" w:hAnsi="Century" w:cs="Times New Roman" w:hint="eastAsia"/>
        </w:rPr>
        <w:t>インテル社の生産部門撤退の発表と重なったことはコスタリカにとって大きな</w:t>
      </w:r>
      <w:r w:rsidRPr="00515DA7">
        <w:rPr>
          <w:rFonts w:ascii="Century" w:eastAsia="ＭＳ 明朝" w:hAnsi="Century" w:cs="Times New Roman" w:hint="eastAsia"/>
        </w:rPr>
        <w:t>打撃であるとしている。</w:t>
      </w:r>
    </w:p>
    <w:p w:rsidR="00515DA7" w:rsidRPr="00515DA7" w:rsidRDefault="00515DA7" w:rsidP="00515DA7">
      <w:pPr>
        <w:rPr>
          <w:rFonts w:ascii="Century" w:eastAsia="ＭＳ 明朝" w:hAnsi="Century" w:cs="Times New Roman"/>
        </w:rPr>
      </w:pPr>
    </w:p>
    <w:p w:rsidR="00515DA7" w:rsidRPr="00515DA7" w:rsidRDefault="00515DA7" w:rsidP="00515DA7">
      <w:pPr>
        <w:rPr>
          <w:rFonts w:ascii="Century" w:eastAsia="ＭＳ 明朝" w:hAnsi="Century" w:cs="Times New Roman"/>
        </w:rPr>
      </w:pPr>
      <w:r w:rsidRPr="00515DA7">
        <w:rPr>
          <w:rFonts w:ascii="Century" w:eastAsia="ＭＳ 明朝" w:hAnsi="Century" w:cs="Times New Roman" w:hint="eastAsia"/>
        </w:rPr>
        <w:t xml:space="preserve"> (</w:t>
      </w:r>
      <w:r w:rsidRPr="00515DA7">
        <w:rPr>
          <w:rFonts w:ascii="Century" w:eastAsia="ＭＳ 明朝" w:hAnsi="Century" w:cs="Times New Roman" w:hint="eastAsia"/>
        </w:rPr>
        <w:t>２</w:t>
      </w:r>
      <w:r w:rsidRPr="00515DA7">
        <w:rPr>
          <w:rFonts w:ascii="Century" w:eastAsia="ＭＳ 明朝" w:hAnsi="Century" w:cs="Times New Roman" w:hint="eastAsia"/>
        </w:rPr>
        <w:t>)</w:t>
      </w:r>
      <w:r w:rsidRPr="00515DA7">
        <w:rPr>
          <w:rFonts w:ascii="Century" w:eastAsia="ＭＳ 明朝" w:hAnsi="Century" w:cs="Times New Roman" w:hint="eastAsia"/>
        </w:rPr>
        <w:t>対外経済</w:t>
      </w:r>
    </w:p>
    <w:p w:rsidR="00515DA7" w:rsidRPr="005B6FA2" w:rsidRDefault="00515DA7" w:rsidP="00515DA7">
      <w:pPr>
        <w:rPr>
          <w:rFonts w:ascii="Century" w:eastAsia="ＭＳ 明朝" w:hAnsi="Century" w:cs="Times New Roman"/>
        </w:rPr>
      </w:pPr>
      <w:r w:rsidRPr="005B6FA2">
        <w:rPr>
          <w:rFonts w:ascii="Century" w:eastAsia="ＭＳ 明朝" w:hAnsi="Century" w:cs="Times New Roman" w:hint="eastAsia"/>
        </w:rPr>
        <w:t>ア　自由貿易協定</w:t>
      </w:r>
      <w:r w:rsidRPr="005B6FA2">
        <w:rPr>
          <w:rFonts w:ascii="Century" w:eastAsia="ＭＳ 明朝" w:hAnsi="Century" w:cs="Times New Roman" w:hint="eastAsia"/>
        </w:rPr>
        <w:t>(FTA)</w:t>
      </w:r>
      <w:r w:rsidRPr="005B6FA2">
        <w:rPr>
          <w:rFonts w:ascii="Century" w:eastAsia="ＭＳ 明朝" w:hAnsi="Century" w:cs="Times New Roman" w:hint="eastAsia"/>
        </w:rPr>
        <w:t>・貿易関係</w:t>
      </w:r>
    </w:p>
    <w:p w:rsidR="00515DA7" w:rsidRPr="00026CA9" w:rsidRDefault="00515DA7" w:rsidP="00515DA7">
      <w:pPr>
        <w:rPr>
          <w:rFonts w:ascii="Century" w:eastAsia="ＭＳ 明朝" w:hAnsi="Century" w:cs="Times New Roman"/>
          <w:u w:val="single"/>
        </w:rPr>
      </w:pPr>
      <w:r w:rsidRPr="00026CA9">
        <w:rPr>
          <w:rFonts w:ascii="Century" w:eastAsia="ＭＳ 明朝" w:hAnsi="Century" w:cs="Times New Roman" w:hint="eastAsia"/>
          <w:u w:val="single"/>
        </w:rPr>
        <w:t>●コロンビアとの</w:t>
      </w:r>
      <w:r w:rsidRPr="00026CA9">
        <w:rPr>
          <w:rFonts w:ascii="Century" w:eastAsia="ＭＳ 明朝" w:hAnsi="Century" w:cs="Times New Roman" w:hint="eastAsia"/>
          <w:u w:val="single"/>
        </w:rPr>
        <w:t>FTA</w:t>
      </w:r>
      <w:r w:rsidRPr="00026CA9">
        <w:rPr>
          <w:rFonts w:ascii="Century" w:eastAsia="ＭＳ 明朝" w:hAnsi="Century" w:cs="Times New Roman" w:hint="eastAsia"/>
          <w:u w:val="single"/>
        </w:rPr>
        <w:t>締結が国会で承認</w:t>
      </w:r>
      <w:r w:rsidRPr="00026CA9">
        <w:rPr>
          <w:rFonts w:ascii="Century" w:eastAsia="ＭＳ 明朝" w:hAnsi="Century" w:cs="Times New Roman" w:hint="eastAsia"/>
          <w:u w:val="single"/>
        </w:rPr>
        <w:t>(4/25)</w:t>
      </w:r>
    </w:p>
    <w:p w:rsidR="00515DA7" w:rsidRPr="00515DA7" w:rsidRDefault="00515DA7" w:rsidP="003759DC">
      <w:pPr>
        <w:jc w:val="left"/>
        <w:rPr>
          <w:rFonts w:ascii="Century" w:eastAsia="ＭＳ 明朝" w:hAnsi="Century" w:cs="Times New Roman"/>
        </w:rPr>
      </w:pPr>
      <w:r w:rsidRPr="00515DA7">
        <w:rPr>
          <w:rFonts w:ascii="Century" w:eastAsia="ＭＳ 明朝" w:hAnsi="Century" w:cs="Times New Roman" w:hint="eastAsia"/>
        </w:rPr>
        <w:t>前日、コロンビアとの自由貿易協定</w:t>
      </w:r>
      <w:r w:rsidRPr="00515DA7">
        <w:rPr>
          <w:rFonts w:ascii="Century" w:eastAsia="ＭＳ 明朝" w:hAnsi="Century" w:cs="Times New Roman" w:hint="eastAsia"/>
        </w:rPr>
        <w:t>(FTA)</w:t>
      </w:r>
      <w:r w:rsidRPr="00515DA7">
        <w:rPr>
          <w:rFonts w:ascii="Century" w:eastAsia="ＭＳ 明朝" w:hAnsi="Century" w:cs="Times New Roman" w:hint="eastAsia"/>
        </w:rPr>
        <w:t>締結が国会において最終審議にかけられ、可決した。あとはコロンビアにお</w:t>
      </w:r>
      <w:r w:rsidR="00341B71">
        <w:rPr>
          <w:rFonts w:ascii="Century" w:eastAsia="ＭＳ 明朝" w:hAnsi="Century" w:cs="Times New Roman" w:hint="eastAsia"/>
        </w:rPr>
        <w:t>ける国会承認を待つのみとなる。同協定交渉開始当初、コロンビア側</w:t>
      </w:r>
      <w:r w:rsidRPr="00515DA7">
        <w:rPr>
          <w:rFonts w:ascii="Century" w:eastAsia="ＭＳ 明朝" w:hAnsi="Century" w:cs="Times New Roman" w:hint="eastAsia"/>
        </w:rPr>
        <w:t>が</w:t>
      </w:r>
      <w:r w:rsidRPr="00515DA7">
        <w:rPr>
          <w:rFonts w:ascii="Century" w:eastAsia="ＭＳ 明朝" w:hAnsi="Century" w:cs="Times New Roman" w:hint="eastAsia"/>
        </w:rPr>
        <w:t>FTA</w:t>
      </w:r>
      <w:r w:rsidRPr="00515DA7">
        <w:rPr>
          <w:rFonts w:ascii="Century" w:eastAsia="ＭＳ 明朝" w:hAnsi="Century" w:cs="Times New Roman" w:hint="eastAsia"/>
        </w:rPr>
        <w:t>内で例外産業を設けないという提案をし、これに対しコスタリカ産業界には懸念が広がった。しかし、最終的には交渉された商品の約</w:t>
      </w:r>
      <w:r w:rsidRPr="00515DA7">
        <w:rPr>
          <w:rFonts w:ascii="Century" w:eastAsia="ＭＳ 明朝" w:hAnsi="Century" w:cs="Times New Roman" w:hint="eastAsia"/>
        </w:rPr>
        <w:t>70</w:t>
      </w:r>
      <w:r w:rsidRPr="00515DA7">
        <w:rPr>
          <w:rFonts w:ascii="Century" w:eastAsia="ＭＳ 明朝" w:hAnsi="Century" w:cs="Times New Roman" w:hint="eastAsia"/>
        </w:rPr>
        <w:t>％が関税撤廃の対象となり、同時に乳製品・肉・ビールなどの対象外商品も規定された。貿易省の調べによると、</w:t>
      </w:r>
      <w:r w:rsidRPr="00515DA7">
        <w:rPr>
          <w:rFonts w:ascii="Century" w:eastAsia="ＭＳ 明朝" w:hAnsi="Century" w:cs="Times New Roman" w:hint="eastAsia"/>
        </w:rPr>
        <w:t>2003</w:t>
      </w:r>
      <w:r w:rsidRPr="00515DA7">
        <w:rPr>
          <w:rFonts w:ascii="Century" w:eastAsia="ＭＳ 明朝" w:hAnsi="Century" w:cs="Times New Roman" w:hint="eastAsia"/>
        </w:rPr>
        <w:t>年から</w:t>
      </w:r>
      <w:r w:rsidRPr="00515DA7">
        <w:rPr>
          <w:rFonts w:ascii="Century" w:eastAsia="ＭＳ 明朝" w:hAnsi="Century" w:cs="Times New Roman" w:hint="eastAsia"/>
        </w:rPr>
        <w:t>2013</w:t>
      </w:r>
      <w:r w:rsidRPr="00515DA7">
        <w:rPr>
          <w:rFonts w:ascii="Century" w:eastAsia="ＭＳ 明朝" w:hAnsi="Century" w:cs="Times New Roman" w:hint="eastAsia"/>
        </w:rPr>
        <w:t>年にかけて</w:t>
      </w:r>
      <w:r w:rsidR="002E4EEB">
        <w:rPr>
          <w:rFonts w:ascii="Century" w:eastAsia="ＭＳ 明朝" w:hAnsi="Century" w:cs="Times New Roman" w:hint="eastAsia"/>
        </w:rPr>
        <w:t>の</w:t>
      </w:r>
      <w:r w:rsidRPr="00515DA7">
        <w:rPr>
          <w:rFonts w:ascii="Century" w:eastAsia="ＭＳ 明朝" w:hAnsi="Century" w:cs="Times New Roman" w:hint="eastAsia"/>
        </w:rPr>
        <w:t>コスタリカからコロンビア</w:t>
      </w:r>
      <w:r w:rsidR="002E4EEB">
        <w:rPr>
          <w:rFonts w:ascii="Century" w:eastAsia="ＭＳ 明朝" w:hAnsi="Century" w:cs="Times New Roman" w:hint="eastAsia"/>
        </w:rPr>
        <w:t>へ</w:t>
      </w:r>
      <w:r w:rsidRPr="00515DA7">
        <w:rPr>
          <w:rFonts w:ascii="Century" w:eastAsia="ＭＳ 明朝" w:hAnsi="Century" w:cs="Times New Roman" w:hint="eastAsia"/>
        </w:rPr>
        <w:t>の輸出額は</w:t>
      </w:r>
      <w:r w:rsidR="002E4EEB">
        <w:rPr>
          <w:rFonts w:ascii="Century" w:eastAsia="ＭＳ 明朝" w:hAnsi="Century" w:cs="Times New Roman" w:hint="eastAsia"/>
        </w:rPr>
        <w:t>、平均して</w:t>
      </w:r>
      <w:r w:rsidRPr="00515DA7">
        <w:rPr>
          <w:rFonts w:ascii="Century" w:eastAsia="ＭＳ 明朝" w:hAnsi="Century" w:cs="Times New Roman" w:hint="eastAsia"/>
        </w:rPr>
        <w:t>年率</w:t>
      </w:r>
      <w:r w:rsidRPr="00515DA7">
        <w:rPr>
          <w:rFonts w:ascii="Century" w:eastAsia="ＭＳ 明朝" w:hAnsi="Century" w:cs="Times New Roman" w:hint="eastAsia"/>
        </w:rPr>
        <w:t>10.1</w:t>
      </w:r>
      <w:r w:rsidRPr="00515DA7">
        <w:rPr>
          <w:rFonts w:ascii="Century" w:eastAsia="ＭＳ 明朝" w:hAnsi="Century" w:cs="Times New Roman" w:hint="eastAsia"/>
        </w:rPr>
        <w:t>％</w:t>
      </w:r>
      <w:r w:rsidR="002E4EEB">
        <w:rPr>
          <w:rFonts w:ascii="Century" w:eastAsia="ＭＳ 明朝" w:hAnsi="Century" w:cs="Times New Roman" w:hint="eastAsia"/>
        </w:rPr>
        <w:t>の増加を記録し、輸入についても同様に</w:t>
      </w:r>
      <w:r w:rsidRPr="00515DA7">
        <w:rPr>
          <w:rFonts w:ascii="Century" w:eastAsia="ＭＳ 明朝" w:hAnsi="Century" w:cs="Times New Roman" w:hint="eastAsia"/>
        </w:rPr>
        <w:t>4.3</w:t>
      </w:r>
      <w:r w:rsidRPr="00515DA7">
        <w:rPr>
          <w:rFonts w:ascii="Century" w:eastAsia="ＭＳ 明朝" w:hAnsi="Century" w:cs="Times New Roman" w:hint="eastAsia"/>
        </w:rPr>
        <w:t>％増を記録している。</w:t>
      </w:r>
    </w:p>
    <w:p w:rsidR="00515DA7" w:rsidRPr="00515DA7" w:rsidRDefault="00515DA7" w:rsidP="00515DA7">
      <w:pPr>
        <w:rPr>
          <w:rFonts w:ascii="Century" w:eastAsia="ＭＳ 明朝" w:hAnsi="Century" w:cs="Times New Roman"/>
        </w:rPr>
      </w:pPr>
    </w:p>
    <w:p w:rsidR="00515DA7" w:rsidRPr="00515DA7" w:rsidRDefault="00515DA7" w:rsidP="00515DA7">
      <w:pPr>
        <w:rPr>
          <w:rFonts w:ascii="Century" w:eastAsia="ＭＳ 明朝" w:hAnsi="Century" w:cs="Times New Roman"/>
        </w:rPr>
      </w:pPr>
      <w:r w:rsidRPr="00515DA7">
        <w:rPr>
          <w:rFonts w:ascii="Century" w:eastAsia="ＭＳ 明朝" w:hAnsi="Century" w:cs="Times New Roman" w:hint="eastAsia"/>
        </w:rPr>
        <w:t>イ　外国直接投資</w:t>
      </w:r>
      <w:r w:rsidRPr="00515DA7">
        <w:rPr>
          <w:rFonts w:ascii="Century" w:eastAsia="ＭＳ 明朝" w:hAnsi="Century" w:cs="Times New Roman" w:hint="eastAsia"/>
        </w:rPr>
        <w:t>(FDI)</w:t>
      </w:r>
      <w:r w:rsidRPr="00515DA7">
        <w:rPr>
          <w:rFonts w:ascii="Century" w:eastAsia="ＭＳ 明朝" w:hAnsi="Century" w:cs="Times New Roman" w:hint="eastAsia"/>
        </w:rPr>
        <w:t>関連</w:t>
      </w:r>
    </w:p>
    <w:p w:rsidR="00515DA7" w:rsidRPr="00A46CB4" w:rsidRDefault="00515DA7" w:rsidP="00515DA7">
      <w:pPr>
        <w:rPr>
          <w:rFonts w:ascii="Century" w:eastAsia="ＭＳ 明朝" w:hAnsi="Century" w:cs="Times New Roman"/>
          <w:u w:val="single"/>
          <w:lang w:val="es-ES"/>
        </w:rPr>
      </w:pPr>
      <w:r w:rsidRPr="00A46CB4">
        <w:rPr>
          <w:rFonts w:ascii="Century" w:eastAsia="ＭＳ 明朝" w:hAnsi="Century" w:cs="Times New Roman" w:hint="eastAsia"/>
          <w:u w:val="single"/>
          <w:lang w:val="es-ES"/>
        </w:rPr>
        <w:t>●</w:t>
      </w:r>
      <w:r w:rsidR="000D797A" w:rsidRPr="00A46CB4">
        <w:rPr>
          <w:rFonts w:ascii="Century" w:eastAsia="ＭＳ 明朝" w:hAnsi="Century" w:cs="Times New Roman" w:hint="eastAsia"/>
          <w:u w:val="single"/>
          <w:lang w:val="es-ES"/>
        </w:rPr>
        <w:t>コスタリカの</w:t>
      </w:r>
      <w:r w:rsidR="00A46CB4" w:rsidRPr="00A46CB4">
        <w:rPr>
          <w:rFonts w:ascii="Century" w:eastAsia="ＭＳ 明朝" w:hAnsi="Century" w:cs="Times New Roman" w:hint="eastAsia"/>
          <w:u w:val="single"/>
          <w:lang w:val="es-ES"/>
        </w:rPr>
        <w:t>FDI</w:t>
      </w:r>
      <w:r w:rsidR="000A0373">
        <w:rPr>
          <w:rFonts w:ascii="Century" w:eastAsia="ＭＳ 明朝" w:hAnsi="Century" w:cs="Times New Roman" w:hint="eastAsia"/>
          <w:u w:val="single"/>
          <w:lang w:val="es-ES"/>
        </w:rPr>
        <w:t>伸び</w:t>
      </w:r>
      <w:r w:rsidR="00A46CB4" w:rsidRPr="00A46CB4">
        <w:rPr>
          <w:rFonts w:ascii="Century" w:eastAsia="ＭＳ 明朝" w:hAnsi="Century" w:cs="Times New Roman" w:hint="eastAsia"/>
          <w:u w:val="single"/>
          <w:lang w:val="es-ES"/>
        </w:rPr>
        <w:t>率は他の中米諸国との比較において鈍化</w:t>
      </w:r>
      <w:r w:rsidRPr="00A46CB4">
        <w:rPr>
          <w:rFonts w:ascii="Century" w:eastAsia="ＭＳ 明朝" w:hAnsi="Century" w:cs="Times New Roman" w:hint="eastAsia"/>
          <w:u w:val="single"/>
          <w:lang w:val="es-ES"/>
        </w:rPr>
        <w:t>(4</w:t>
      </w:r>
      <w:r w:rsidR="00A46CB4" w:rsidRPr="00A46CB4">
        <w:rPr>
          <w:rFonts w:ascii="Century" w:eastAsia="ＭＳ 明朝" w:hAnsi="Century" w:cs="Times New Roman" w:hint="eastAsia"/>
          <w:u w:val="single"/>
          <w:lang w:val="es-ES"/>
        </w:rPr>
        <w:t>/</w:t>
      </w:r>
      <w:r w:rsidRPr="00A46CB4">
        <w:rPr>
          <w:rFonts w:ascii="Century" w:eastAsia="ＭＳ 明朝" w:hAnsi="Century" w:cs="Times New Roman" w:hint="eastAsia"/>
          <w:u w:val="single"/>
          <w:lang w:val="es-ES"/>
        </w:rPr>
        <w:t>7)</w:t>
      </w:r>
    </w:p>
    <w:p w:rsidR="00515DA7" w:rsidRPr="00515DA7" w:rsidRDefault="00515DA7" w:rsidP="003759DC">
      <w:pPr>
        <w:jc w:val="left"/>
        <w:rPr>
          <w:rFonts w:ascii="Century" w:eastAsia="ＭＳ 明朝" w:hAnsi="Century" w:cs="Times New Roman"/>
        </w:rPr>
      </w:pPr>
      <w:r w:rsidRPr="00515DA7">
        <w:rPr>
          <w:rFonts w:ascii="Century" w:eastAsia="ＭＳ 明朝" w:hAnsi="Century" w:cs="Times New Roman" w:hint="eastAsia"/>
        </w:rPr>
        <w:t>コスタリカの外国直接投資</w:t>
      </w:r>
      <w:r w:rsidRPr="00515DA7">
        <w:rPr>
          <w:rFonts w:ascii="Century" w:eastAsia="ＭＳ 明朝" w:hAnsi="Century" w:cs="Times New Roman" w:hint="eastAsia"/>
        </w:rPr>
        <w:t>(</w:t>
      </w:r>
      <w:r w:rsidRPr="00515DA7">
        <w:rPr>
          <w:rFonts w:ascii="Century" w:eastAsia="ＭＳ 明朝" w:hAnsi="Century" w:cs="Times New Roman"/>
        </w:rPr>
        <w:t>FDI</w:t>
      </w:r>
      <w:r w:rsidRPr="00515DA7">
        <w:rPr>
          <w:rFonts w:ascii="Century" w:eastAsia="ＭＳ 明朝" w:hAnsi="Century" w:cs="Times New Roman" w:hint="eastAsia"/>
        </w:rPr>
        <w:t>)</w:t>
      </w:r>
      <w:r w:rsidR="000A0373">
        <w:rPr>
          <w:rFonts w:ascii="Century" w:eastAsia="ＭＳ 明朝" w:hAnsi="Century" w:cs="Times New Roman" w:hint="eastAsia"/>
        </w:rPr>
        <w:t>額の伸び</w:t>
      </w:r>
      <w:r w:rsidRPr="00515DA7">
        <w:rPr>
          <w:rFonts w:ascii="Century" w:eastAsia="ＭＳ 明朝" w:hAnsi="Century" w:cs="Times New Roman" w:hint="eastAsia"/>
        </w:rPr>
        <w:t>率が鈍化している。コスタリカの</w:t>
      </w:r>
      <w:r w:rsidRPr="00515DA7">
        <w:rPr>
          <w:rFonts w:ascii="Century" w:eastAsia="ＭＳ 明朝" w:hAnsi="Century" w:cs="Times New Roman" w:hint="eastAsia"/>
        </w:rPr>
        <w:t>FDI</w:t>
      </w:r>
      <w:r w:rsidR="000A0373">
        <w:rPr>
          <w:rFonts w:ascii="Century" w:eastAsia="ＭＳ 明朝" w:hAnsi="Century" w:cs="Times New Roman" w:hint="eastAsia"/>
        </w:rPr>
        <w:t>額は依然として中米地域ではトップクラスだが、伸び</w:t>
      </w:r>
      <w:r w:rsidRPr="00515DA7">
        <w:rPr>
          <w:rFonts w:ascii="Century" w:eastAsia="ＭＳ 明朝" w:hAnsi="Century" w:cs="Times New Roman" w:hint="eastAsia"/>
        </w:rPr>
        <w:t>率</w:t>
      </w:r>
      <w:r w:rsidR="00BB5875">
        <w:rPr>
          <w:rFonts w:ascii="Century" w:eastAsia="ＭＳ 明朝" w:hAnsi="Century" w:cs="Times New Roman" w:hint="eastAsia"/>
        </w:rPr>
        <w:t>に関しては、近年エルサルバドルやグアテマラ</w:t>
      </w:r>
      <w:r w:rsidR="000A0373">
        <w:rPr>
          <w:rFonts w:ascii="Century" w:eastAsia="ＭＳ 明朝" w:hAnsi="Century" w:cs="Times New Roman" w:hint="eastAsia"/>
        </w:rPr>
        <w:t>を下回っている</w:t>
      </w:r>
      <w:r w:rsidR="00BB5875">
        <w:rPr>
          <w:rFonts w:ascii="Century" w:eastAsia="ＭＳ 明朝" w:hAnsi="Century" w:cs="Times New Roman" w:hint="eastAsia"/>
        </w:rPr>
        <w:t>。</w:t>
      </w:r>
      <w:r w:rsidRPr="00515DA7">
        <w:rPr>
          <w:rFonts w:ascii="Century" w:eastAsia="ＭＳ 明朝" w:hAnsi="Century" w:cs="Times New Roman" w:hint="eastAsia"/>
        </w:rPr>
        <w:t>コスタリカがこれまで投資を呼び込んできた製造業などが近隣諸国でも成長して</w:t>
      </w:r>
      <w:r w:rsidR="00BB5875">
        <w:rPr>
          <w:rFonts w:ascii="Century" w:eastAsia="ＭＳ 明朝" w:hAnsi="Century" w:cs="Times New Roman" w:hint="eastAsia"/>
        </w:rPr>
        <w:t>きて</w:t>
      </w:r>
      <w:r w:rsidR="00D17176">
        <w:rPr>
          <w:rFonts w:ascii="Century" w:eastAsia="ＭＳ 明朝" w:hAnsi="Century" w:cs="Times New Roman" w:hint="eastAsia"/>
        </w:rPr>
        <w:t>おり、さらに</w:t>
      </w:r>
      <w:r w:rsidRPr="00515DA7">
        <w:rPr>
          <w:rFonts w:ascii="Century" w:eastAsia="ＭＳ 明朝" w:hAnsi="Century" w:cs="Times New Roman" w:hint="eastAsia"/>
        </w:rPr>
        <w:t>これらの国々では国内で</w:t>
      </w:r>
      <w:r w:rsidR="00BB5875">
        <w:rPr>
          <w:rFonts w:ascii="Century" w:eastAsia="ＭＳ 明朝" w:hAnsi="Century" w:cs="Times New Roman" w:hint="eastAsia"/>
        </w:rPr>
        <w:t>の</w:t>
      </w:r>
      <w:r w:rsidR="000A0373">
        <w:rPr>
          <w:rFonts w:ascii="Century" w:eastAsia="ＭＳ 明朝" w:hAnsi="Century" w:cs="Times New Roman" w:hint="eastAsia"/>
        </w:rPr>
        <w:t>企業</w:t>
      </w:r>
      <w:r w:rsidRPr="00515DA7">
        <w:rPr>
          <w:rFonts w:ascii="Century" w:eastAsia="ＭＳ 明朝" w:hAnsi="Century" w:cs="Times New Roman" w:hint="eastAsia"/>
        </w:rPr>
        <w:t>活動開始手続きが簡略化</w:t>
      </w:r>
      <w:r w:rsidR="00D17176">
        <w:rPr>
          <w:rFonts w:ascii="Century" w:eastAsia="ＭＳ 明朝" w:hAnsi="Century" w:cs="Times New Roman" w:hint="eastAsia"/>
        </w:rPr>
        <w:t>が進んでいる</w:t>
      </w:r>
      <w:r w:rsidRPr="00515DA7">
        <w:rPr>
          <w:rFonts w:ascii="Century" w:eastAsia="ＭＳ 明朝" w:hAnsi="Century" w:cs="Times New Roman" w:hint="eastAsia"/>
        </w:rPr>
        <w:t>こともあ</w:t>
      </w:r>
      <w:r w:rsidR="00BB5875">
        <w:rPr>
          <w:rFonts w:ascii="Century" w:eastAsia="ＭＳ 明朝" w:hAnsi="Century" w:cs="Times New Roman" w:hint="eastAsia"/>
        </w:rPr>
        <w:t>り、今後の中米における投資先としてのコスタリカの立場は</w:t>
      </w:r>
      <w:r w:rsidRPr="00515DA7">
        <w:rPr>
          <w:rFonts w:ascii="Century" w:eastAsia="ＭＳ 明朝" w:hAnsi="Century" w:cs="Times New Roman" w:hint="eastAsia"/>
        </w:rPr>
        <w:t>安泰とはいえな</w:t>
      </w:r>
      <w:r w:rsidR="00BB5875">
        <w:rPr>
          <w:rFonts w:ascii="Century" w:eastAsia="ＭＳ 明朝" w:hAnsi="Century" w:cs="Times New Roman" w:hint="eastAsia"/>
        </w:rPr>
        <w:t>い</w:t>
      </w:r>
      <w:r w:rsidRPr="00515DA7">
        <w:rPr>
          <w:rFonts w:ascii="Century" w:eastAsia="ＭＳ 明朝" w:hAnsi="Century" w:cs="Times New Roman" w:hint="eastAsia"/>
        </w:rPr>
        <w:t>。</w:t>
      </w:r>
    </w:p>
    <w:p w:rsidR="00515DA7" w:rsidRPr="00515DA7" w:rsidRDefault="00515DA7" w:rsidP="00515DA7">
      <w:pPr>
        <w:tabs>
          <w:tab w:val="left" w:pos="3282"/>
        </w:tabs>
        <w:rPr>
          <w:rFonts w:ascii="Century" w:eastAsia="ＭＳ 明朝" w:hAnsi="Century" w:cs="Times New Roman"/>
        </w:rPr>
      </w:pPr>
      <w:r w:rsidRPr="00515DA7">
        <w:rPr>
          <w:rFonts w:ascii="Century" w:eastAsia="ＭＳ 明朝" w:hAnsi="Century" w:cs="Times New Roman" w:hint="eastAsia"/>
        </w:rPr>
        <w:lastRenderedPageBreak/>
        <w:t>ウ　その他</w:t>
      </w:r>
    </w:p>
    <w:p w:rsidR="00515DA7" w:rsidRPr="007C114B" w:rsidRDefault="00515DA7" w:rsidP="00515DA7">
      <w:pPr>
        <w:tabs>
          <w:tab w:val="left" w:pos="3282"/>
        </w:tabs>
        <w:rPr>
          <w:rFonts w:ascii="Century" w:eastAsia="ＭＳ 明朝" w:hAnsi="Century" w:cs="Times New Roman"/>
          <w:u w:val="single"/>
        </w:rPr>
      </w:pPr>
      <w:r w:rsidRPr="007C114B">
        <w:rPr>
          <w:rFonts w:ascii="Century" w:eastAsia="ＭＳ 明朝" w:hAnsi="Century" w:cs="Times New Roman" w:hint="eastAsia"/>
          <w:u w:val="single"/>
        </w:rPr>
        <w:t>●</w:t>
      </w:r>
      <w:r w:rsidR="005E3969">
        <w:rPr>
          <w:rFonts w:ascii="Century" w:eastAsia="ＭＳ 明朝" w:hAnsi="Century" w:cs="Times New Roman" w:hint="eastAsia"/>
          <w:u w:val="single"/>
        </w:rPr>
        <w:t>コスタリカ石油精製公社</w:t>
      </w:r>
      <w:r w:rsidR="00B638C9" w:rsidRPr="007C114B">
        <w:rPr>
          <w:rFonts w:ascii="Century" w:eastAsia="ＭＳ 明朝" w:hAnsi="Century" w:cs="Times New Roman" w:hint="eastAsia"/>
          <w:u w:val="single"/>
        </w:rPr>
        <w:t>は精</w:t>
      </w:r>
      <w:r w:rsidR="005E3969">
        <w:rPr>
          <w:rFonts w:ascii="Century" w:eastAsia="ＭＳ 明朝" w:hAnsi="Century" w:cs="Times New Roman" w:hint="eastAsia"/>
          <w:u w:val="single"/>
        </w:rPr>
        <w:t>油</w:t>
      </w:r>
      <w:r w:rsidR="00B638C9" w:rsidRPr="007C114B">
        <w:rPr>
          <w:rFonts w:ascii="Century" w:eastAsia="ＭＳ 明朝" w:hAnsi="Century" w:cs="Times New Roman" w:hint="eastAsia"/>
          <w:u w:val="single"/>
        </w:rPr>
        <w:t>所</w:t>
      </w:r>
      <w:r w:rsidR="005E3969">
        <w:rPr>
          <w:rFonts w:ascii="Century" w:eastAsia="ＭＳ 明朝" w:hAnsi="Century" w:cs="Times New Roman" w:hint="eastAsia"/>
          <w:u w:val="single"/>
        </w:rPr>
        <w:t>近代化プロジェクト</w:t>
      </w:r>
      <w:r w:rsidR="00B638C9" w:rsidRPr="007C114B">
        <w:rPr>
          <w:rFonts w:ascii="Century" w:eastAsia="ＭＳ 明朝" w:hAnsi="Century" w:cs="Times New Roman" w:hint="eastAsia"/>
          <w:u w:val="single"/>
        </w:rPr>
        <w:t>の正当化に再び失敗</w:t>
      </w:r>
      <w:r w:rsidR="00E9695C" w:rsidRPr="007C114B">
        <w:rPr>
          <w:rFonts w:ascii="Century" w:eastAsia="ＭＳ 明朝" w:hAnsi="Century" w:cs="Times New Roman" w:hint="eastAsia"/>
          <w:u w:val="single"/>
        </w:rPr>
        <w:t>(</w:t>
      </w:r>
      <w:r w:rsidR="007C114B">
        <w:rPr>
          <w:rFonts w:ascii="Century" w:eastAsia="ＭＳ 明朝" w:hAnsi="Century" w:cs="Times New Roman" w:hint="eastAsia"/>
          <w:u w:val="single"/>
        </w:rPr>
        <w:t>4</w:t>
      </w:r>
      <w:r w:rsidR="00A73813" w:rsidRPr="007C114B">
        <w:rPr>
          <w:rFonts w:ascii="Century" w:eastAsia="ＭＳ 明朝" w:hAnsi="Century" w:cs="Times New Roman" w:hint="eastAsia"/>
          <w:u w:val="single"/>
        </w:rPr>
        <w:t>/</w:t>
      </w:r>
      <w:r w:rsidR="007C114B">
        <w:rPr>
          <w:rFonts w:ascii="Century" w:eastAsia="ＭＳ 明朝" w:hAnsi="Century" w:cs="Times New Roman" w:hint="eastAsia"/>
          <w:u w:val="single"/>
        </w:rPr>
        <w:t>26</w:t>
      </w:r>
      <w:r w:rsidR="00E9695C" w:rsidRPr="007C114B">
        <w:rPr>
          <w:rFonts w:ascii="Century" w:eastAsia="ＭＳ 明朝" w:hAnsi="Century" w:cs="Times New Roman" w:hint="eastAsia"/>
          <w:u w:val="single"/>
        </w:rPr>
        <w:t>)</w:t>
      </w:r>
    </w:p>
    <w:p w:rsidR="008B0CF1" w:rsidRPr="00515DA7" w:rsidRDefault="00515DA7" w:rsidP="003759DC">
      <w:pPr>
        <w:tabs>
          <w:tab w:val="left" w:pos="3282"/>
        </w:tabs>
        <w:jc w:val="left"/>
        <w:rPr>
          <w:rFonts w:ascii="Century" w:eastAsia="ＭＳ 明朝" w:hAnsi="Century" w:cs="Times New Roman"/>
        </w:rPr>
      </w:pPr>
      <w:r w:rsidRPr="00515DA7">
        <w:rPr>
          <w:rFonts w:ascii="Century" w:eastAsia="ＭＳ 明朝" w:hAnsi="Century" w:cs="Times New Roman" w:hint="eastAsia"/>
        </w:rPr>
        <w:t>会計検査院</w:t>
      </w:r>
      <w:r w:rsidRPr="00515DA7">
        <w:rPr>
          <w:rFonts w:ascii="Century" w:eastAsia="ＭＳ 明朝" w:hAnsi="Century" w:cs="Times New Roman" w:hint="eastAsia"/>
        </w:rPr>
        <w:t>(CGR)</w:t>
      </w:r>
      <w:r w:rsidRPr="00515DA7">
        <w:rPr>
          <w:rFonts w:ascii="Century" w:eastAsia="ＭＳ 明朝" w:hAnsi="Century" w:cs="Times New Roman" w:hint="eastAsia"/>
        </w:rPr>
        <w:t>は</w:t>
      </w:r>
      <w:r w:rsidR="008B0CF1">
        <w:rPr>
          <w:rFonts w:ascii="Century" w:eastAsia="ＭＳ 明朝" w:hAnsi="Century" w:cs="Times New Roman" w:hint="eastAsia"/>
        </w:rPr>
        <w:t>、</w:t>
      </w:r>
      <w:r w:rsidRPr="00515DA7">
        <w:rPr>
          <w:rFonts w:ascii="Century" w:eastAsia="ＭＳ 明朝" w:hAnsi="Century" w:cs="Times New Roman" w:hint="eastAsia"/>
        </w:rPr>
        <w:t>コスタリカ石油精製公社</w:t>
      </w:r>
      <w:r w:rsidRPr="00515DA7">
        <w:rPr>
          <w:rFonts w:ascii="Century" w:eastAsia="ＭＳ 明朝" w:hAnsi="Century" w:cs="Times New Roman" w:hint="eastAsia"/>
        </w:rPr>
        <w:t>(RECOPE)</w:t>
      </w:r>
      <w:r w:rsidR="008B0CF1">
        <w:rPr>
          <w:rFonts w:ascii="Century" w:eastAsia="ＭＳ 明朝" w:hAnsi="Century" w:cs="Times New Roman" w:hint="eastAsia"/>
        </w:rPr>
        <w:t>と</w:t>
      </w:r>
      <w:r w:rsidRPr="00515DA7">
        <w:rPr>
          <w:rFonts w:ascii="Century" w:eastAsia="ＭＳ 明朝" w:hAnsi="Century" w:cs="Times New Roman" w:hint="eastAsia"/>
        </w:rPr>
        <w:t>中国国有石油会社</w:t>
      </w:r>
      <w:r w:rsidRPr="00515DA7">
        <w:rPr>
          <w:rFonts w:ascii="Century" w:eastAsia="ＭＳ 明朝" w:hAnsi="Century" w:cs="Times New Roman" w:hint="eastAsia"/>
        </w:rPr>
        <w:t>(CNPC)</w:t>
      </w:r>
      <w:r w:rsidR="008B0CF1">
        <w:rPr>
          <w:rFonts w:ascii="Century" w:eastAsia="ＭＳ 明朝" w:hAnsi="Century" w:cs="Times New Roman" w:hint="eastAsia"/>
        </w:rPr>
        <w:t>が合弁で経営する</w:t>
      </w:r>
      <w:r w:rsidRPr="00515DA7">
        <w:rPr>
          <w:rFonts w:ascii="Century" w:eastAsia="ＭＳ 明朝" w:hAnsi="Century" w:cs="Times New Roman" w:hint="eastAsia"/>
        </w:rPr>
        <w:t>SORESCO</w:t>
      </w:r>
      <w:r w:rsidR="008B0CF1">
        <w:rPr>
          <w:rFonts w:ascii="Century" w:eastAsia="ＭＳ 明朝" w:hAnsi="Century" w:cs="Times New Roman" w:hint="eastAsia"/>
        </w:rPr>
        <w:t>によって進められている</w:t>
      </w:r>
      <w:r w:rsidR="000A0373">
        <w:rPr>
          <w:rFonts w:ascii="Century" w:eastAsia="ＭＳ 明朝" w:hAnsi="Century" w:cs="Times New Roman" w:hint="eastAsia"/>
        </w:rPr>
        <w:t>にモイン</w:t>
      </w:r>
      <w:r w:rsidRPr="00515DA7">
        <w:rPr>
          <w:rFonts w:ascii="Century" w:eastAsia="ＭＳ 明朝" w:hAnsi="Century" w:cs="Times New Roman" w:hint="eastAsia"/>
        </w:rPr>
        <w:t>精油所</w:t>
      </w:r>
      <w:r w:rsidR="008B0CF1">
        <w:rPr>
          <w:rFonts w:ascii="Century" w:eastAsia="ＭＳ 明朝" w:hAnsi="Century" w:cs="Times New Roman" w:hint="eastAsia"/>
        </w:rPr>
        <w:t>近代化プロジェクト</w:t>
      </w:r>
      <w:r w:rsidRPr="00515DA7">
        <w:rPr>
          <w:rFonts w:ascii="Century" w:eastAsia="ＭＳ 明朝" w:hAnsi="Century" w:cs="Times New Roman" w:hint="eastAsia"/>
        </w:rPr>
        <w:t>のフィージビリティ・スタディを示した報告書を棄却し、無効化を命じた。</w:t>
      </w:r>
      <w:r w:rsidR="0034070A">
        <w:rPr>
          <w:rFonts w:ascii="Century" w:eastAsia="ＭＳ 明朝" w:hAnsi="Century" w:cs="Times New Roman" w:hint="eastAsia"/>
        </w:rPr>
        <w:t>会計検査院は昨年</w:t>
      </w:r>
      <w:r w:rsidR="0034070A">
        <w:rPr>
          <w:rFonts w:ascii="Century" w:eastAsia="ＭＳ 明朝" w:hAnsi="Century" w:cs="Times New Roman" w:hint="eastAsia"/>
        </w:rPr>
        <w:t>6</w:t>
      </w:r>
      <w:r w:rsidR="0034070A">
        <w:rPr>
          <w:rFonts w:ascii="Century" w:eastAsia="ＭＳ 明朝" w:hAnsi="Century" w:cs="Times New Roman" w:hint="eastAsia"/>
        </w:rPr>
        <w:t>月にも同様の理由で同プロジェクトの無効化を命じている。</w:t>
      </w:r>
      <w:r w:rsidRPr="00515DA7">
        <w:rPr>
          <w:rFonts w:ascii="Century" w:eastAsia="ＭＳ 明朝" w:hAnsi="Century" w:cs="Times New Roman" w:hint="eastAsia"/>
        </w:rPr>
        <w:t>RECOPE</w:t>
      </w:r>
      <w:r w:rsidRPr="00515DA7">
        <w:rPr>
          <w:rFonts w:ascii="Century" w:eastAsia="ＭＳ 明朝" w:hAnsi="Century" w:cs="Times New Roman" w:hint="eastAsia"/>
        </w:rPr>
        <w:t>はこの</w:t>
      </w:r>
      <w:r w:rsidRPr="00515DA7">
        <w:rPr>
          <w:rFonts w:ascii="Century" w:eastAsia="ＭＳ 明朝" w:hAnsi="Century" w:cs="Times New Roman" w:hint="eastAsia"/>
        </w:rPr>
        <w:t>8</w:t>
      </w:r>
      <w:r w:rsidRPr="00515DA7">
        <w:rPr>
          <w:rFonts w:ascii="Century" w:eastAsia="ＭＳ 明朝" w:hAnsi="Century" w:cs="Times New Roman" w:hint="eastAsia"/>
        </w:rPr>
        <w:t>月にも新たな報告を準備する予定で、それに</w:t>
      </w:r>
      <w:r w:rsidRPr="00515DA7">
        <w:rPr>
          <w:rFonts w:ascii="Century" w:eastAsia="ＭＳ 明朝" w:hAnsi="Century" w:cs="Times New Roman" w:hint="eastAsia"/>
        </w:rPr>
        <w:t>26.5</w:t>
      </w:r>
      <w:r w:rsidRPr="00515DA7">
        <w:rPr>
          <w:rFonts w:ascii="Century" w:eastAsia="ＭＳ 明朝" w:hAnsi="Century" w:cs="Times New Roman" w:hint="eastAsia"/>
        </w:rPr>
        <w:t>万ドルの経費がかかる見込みである。また、</w:t>
      </w:r>
      <w:r w:rsidRPr="00515DA7">
        <w:rPr>
          <w:rFonts w:ascii="Century" w:eastAsia="ＭＳ 明朝" w:hAnsi="Century" w:cs="Times New Roman" w:hint="eastAsia"/>
        </w:rPr>
        <w:t>RECOPE</w:t>
      </w:r>
      <w:r w:rsidRPr="00515DA7">
        <w:rPr>
          <w:rFonts w:ascii="Century" w:eastAsia="ＭＳ 明朝" w:hAnsi="Century" w:cs="Times New Roman" w:hint="eastAsia"/>
        </w:rPr>
        <w:t>と</w:t>
      </w:r>
      <w:r w:rsidRPr="00515DA7">
        <w:rPr>
          <w:rFonts w:ascii="Century" w:eastAsia="ＭＳ 明朝" w:hAnsi="Century" w:cs="Times New Roman" w:hint="eastAsia"/>
        </w:rPr>
        <w:t>CNPC</w:t>
      </w:r>
      <w:r w:rsidRPr="00515DA7">
        <w:rPr>
          <w:rFonts w:ascii="Century" w:eastAsia="ＭＳ 明朝" w:hAnsi="Century" w:cs="Times New Roman" w:hint="eastAsia"/>
        </w:rPr>
        <w:t>間には、</w:t>
      </w:r>
      <w:r w:rsidRPr="00515DA7">
        <w:rPr>
          <w:rFonts w:ascii="Century" w:eastAsia="ＭＳ 明朝" w:hAnsi="Century" w:cs="Times New Roman" w:hint="eastAsia"/>
        </w:rPr>
        <w:t>SORESCO</w:t>
      </w:r>
      <w:r w:rsidR="0034070A">
        <w:rPr>
          <w:rFonts w:ascii="Century" w:eastAsia="ＭＳ 明朝" w:hAnsi="Century" w:cs="Times New Roman" w:hint="eastAsia"/>
        </w:rPr>
        <w:t>が負担している中国から派遣された従業員の経費</w:t>
      </w:r>
      <w:r w:rsidRPr="00515DA7">
        <w:rPr>
          <w:rFonts w:ascii="Century" w:eastAsia="ＭＳ 明朝" w:hAnsi="Century" w:cs="Times New Roman" w:hint="eastAsia"/>
        </w:rPr>
        <w:t>支払い責任を巡る問題も存在している。本件に関し、ソリス</w:t>
      </w:r>
      <w:r w:rsidR="008B0CF1">
        <w:rPr>
          <w:rFonts w:ascii="Century" w:eastAsia="ＭＳ 明朝" w:hAnsi="Century" w:cs="Times New Roman" w:hint="eastAsia"/>
        </w:rPr>
        <w:t>次期</w:t>
      </w:r>
      <w:r w:rsidR="00B638C9">
        <w:rPr>
          <w:rFonts w:ascii="Century" w:eastAsia="ＭＳ 明朝" w:hAnsi="Century" w:cs="Times New Roman" w:hint="eastAsia"/>
        </w:rPr>
        <w:t>政権は現在まで</w:t>
      </w:r>
      <w:r w:rsidRPr="00515DA7">
        <w:rPr>
          <w:rFonts w:ascii="Century" w:eastAsia="ＭＳ 明朝" w:hAnsi="Century" w:cs="Times New Roman" w:hint="eastAsia"/>
        </w:rPr>
        <w:t>明確な方針を</w:t>
      </w:r>
      <w:r w:rsidR="007F58B9">
        <w:rPr>
          <w:rFonts w:ascii="Century" w:eastAsia="ＭＳ 明朝" w:hAnsi="Century" w:cs="Times New Roman" w:hint="eastAsia"/>
        </w:rPr>
        <w:t>示して</w:t>
      </w:r>
      <w:r w:rsidRPr="00515DA7">
        <w:rPr>
          <w:rFonts w:ascii="Century" w:eastAsia="ＭＳ 明朝" w:hAnsi="Century" w:cs="Times New Roman" w:hint="eastAsia"/>
        </w:rPr>
        <w:t>いない。</w:t>
      </w:r>
    </w:p>
    <w:p w:rsidR="00515DA7" w:rsidRPr="007C114B" w:rsidRDefault="00515DA7" w:rsidP="00515DA7">
      <w:pPr>
        <w:tabs>
          <w:tab w:val="left" w:pos="3282"/>
        </w:tabs>
        <w:rPr>
          <w:rFonts w:ascii="Century" w:eastAsia="ＭＳ 明朝" w:hAnsi="Century" w:cs="Times New Roman"/>
          <w:u w:val="single"/>
        </w:rPr>
      </w:pPr>
      <w:r w:rsidRPr="007C114B">
        <w:rPr>
          <w:rFonts w:ascii="Century" w:eastAsia="ＭＳ 明朝" w:hAnsi="Century" w:cs="Times New Roman" w:hint="eastAsia"/>
          <w:u w:val="single"/>
        </w:rPr>
        <w:t>●</w:t>
      </w:r>
      <w:r w:rsidR="00E9695C" w:rsidRPr="007C114B">
        <w:rPr>
          <w:rFonts w:ascii="Century" w:eastAsia="ＭＳ 明朝" w:hAnsi="Century" w:cs="Times New Roman" w:hint="eastAsia"/>
          <w:u w:val="single"/>
        </w:rPr>
        <w:t>中国は経済特区の中心地としてプンタレナスを推奨</w:t>
      </w:r>
      <w:r w:rsidR="007C114B">
        <w:rPr>
          <w:rFonts w:ascii="Century" w:eastAsia="ＭＳ 明朝" w:hAnsi="Century" w:cs="Times New Roman" w:hint="eastAsia"/>
          <w:u w:val="single"/>
        </w:rPr>
        <w:t>(4/29)</w:t>
      </w:r>
    </w:p>
    <w:p w:rsidR="00515DA7" w:rsidRPr="00515DA7" w:rsidRDefault="00515DA7" w:rsidP="003759DC">
      <w:pPr>
        <w:tabs>
          <w:tab w:val="left" w:pos="3282"/>
        </w:tabs>
        <w:jc w:val="left"/>
        <w:rPr>
          <w:rFonts w:ascii="Century" w:eastAsia="ＭＳ 明朝" w:hAnsi="Century" w:cs="Times New Roman"/>
        </w:rPr>
      </w:pPr>
      <w:r w:rsidRPr="00515DA7">
        <w:rPr>
          <w:rFonts w:ascii="Century" w:eastAsia="ＭＳ 明朝" w:hAnsi="Century" w:cs="Times New Roman" w:hint="eastAsia"/>
        </w:rPr>
        <w:t>チンチージャ政権が</w:t>
      </w:r>
      <w:r w:rsidRPr="00515DA7">
        <w:rPr>
          <w:rFonts w:ascii="Century" w:eastAsia="ＭＳ 明朝" w:hAnsi="Century" w:cs="Times New Roman" w:hint="eastAsia"/>
        </w:rPr>
        <w:t>2035</w:t>
      </w:r>
      <w:r w:rsidRPr="00515DA7">
        <w:rPr>
          <w:rFonts w:ascii="Century" w:eastAsia="ＭＳ 明朝" w:hAnsi="Century" w:cs="Times New Roman" w:hint="eastAsia"/>
        </w:rPr>
        <w:t>年の完成を目指す中国経済特区建設の候補地として、プンタレナス、グアナカステ、リモン、サンカルロス、カルタゴなどがあがって</w:t>
      </w:r>
      <w:r w:rsidR="003759DC">
        <w:rPr>
          <w:rFonts w:ascii="Century" w:eastAsia="ＭＳ 明朝" w:hAnsi="Century" w:cs="Times New Roman" w:hint="eastAsia"/>
        </w:rPr>
        <w:t>いる。そのなかでも産業資源の輸送や国際的なアクセスシビリティの条件など</w:t>
      </w:r>
      <w:r w:rsidRPr="00515DA7">
        <w:rPr>
          <w:rFonts w:ascii="Century" w:eastAsia="ＭＳ 明朝" w:hAnsi="Century" w:cs="Times New Roman" w:hint="eastAsia"/>
        </w:rPr>
        <w:t>からプンタレナスが最有力地となっている。同経済特区の他に、各地に産業パークを建設して連携させていくことを理想に掲げている。ゴンサレス貿易大臣は、シンガポールが達</w:t>
      </w:r>
      <w:r w:rsidR="000A0373">
        <w:rPr>
          <w:rFonts w:ascii="Century" w:eastAsia="ＭＳ 明朝" w:hAnsi="Century" w:cs="Times New Roman" w:hint="eastAsia"/>
        </w:rPr>
        <w:t>成してきたような経済・産業発展をコスタリカでも実現</w:t>
      </w:r>
      <w:r w:rsidR="009A680F">
        <w:rPr>
          <w:rFonts w:ascii="Century" w:eastAsia="ＭＳ 明朝" w:hAnsi="Century" w:cs="Times New Roman" w:hint="eastAsia"/>
        </w:rPr>
        <w:t>したいと述べ、モラ次期貿易大臣も今後関係資料の精査が必要としながらも、</w:t>
      </w:r>
      <w:r w:rsidR="005214B4">
        <w:rPr>
          <w:rFonts w:ascii="Century" w:eastAsia="ＭＳ 明朝" w:hAnsi="Century" w:cs="Times New Roman" w:hint="eastAsia"/>
        </w:rPr>
        <w:t>同プロジェクトが</w:t>
      </w:r>
      <w:r w:rsidR="00775D9F">
        <w:rPr>
          <w:rFonts w:ascii="Century" w:eastAsia="ＭＳ 明朝" w:hAnsi="Century" w:cs="Times New Roman" w:hint="eastAsia"/>
        </w:rPr>
        <w:t>国内の</w:t>
      </w:r>
      <w:r w:rsidR="000A0373">
        <w:rPr>
          <w:rFonts w:ascii="Century" w:eastAsia="ＭＳ 明朝" w:hAnsi="Century" w:cs="Times New Roman" w:hint="eastAsia"/>
        </w:rPr>
        <w:t>開発が遅れた地域の</w:t>
      </w:r>
      <w:r w:rsidR="0025645D">
        <w:rPr>
          <w:rFonts w:ascii="Century" w:eastAsia="ＭＳ 明朝" w:hAnsi="Century" w:cs="Times New Roman" w:hint="eastAsia"/>
        </w:rPr>
        <w:t>発展につながることに</w:t>
      </w:r>
      <w:r w:rsidR="009A680F">
        <w:rPr>
          <w:rFonts w:ascii="Century" w:eastAsia="ＭＳ 明朝" w:hAnsi="Century" w:cs="Times New Roman" w:hint="eastAsia"/>
        </w:rPr>
        <w:t>期待していると述べている</w:t>
      </w:r>
      <w:r w:rsidR="0025645D">
        <w:rPr>
          <w:rFonts w:ascii="Century" w:eastAsia="ＭＳ 明朝" w:hAnsi="Century" w:cs="Times New Roman" w:hint="eastAsia"/>
        </w:rPr>
        <w:t>。</w:t>
      </w:r>
      <w:r w:rsidR="007F58B9">
        <w:rPr>
          <w:rFonts w:ascii="Century" w:eastAsia="ＭＳ 明朝" w:hAnsi="Century" w:cs="Times New Roman" w:hint="eastAsia"/>
        </w:rPr>
        <w:t xml:space="preserve">　</w:t>
      </w:r>
      <w:r w:rsidRPr="00515DA7">
        <w:rPr>
          <w:rFonts w:ascii="Century" w:eastAsia="ＭＳ 明朝" w:hAnsi="Century" w:cs="Times New Roman" w:hint="eastAsia"/>
        </w:rPr>
        <w:t>（了</w:t>
      </w:r>
      <w:r w:rsidRPr="00515DA7">
        <w:rPr>
          <w:rFonts w:ascii="Century" w:eastAsia="ＭＳ 明朝" w:hAnsi="Century" w:cs="Times New Roman" w:hint="eastAsia"/>
        </w:rPr>
        <w:t>)</w:t>
      </w:r>
    </w:p>
    <w:sectPr w:rsidR="00515DA7" w:rsidRPr="00515DA7" w:rsidSect="00966B7C">
      <w:footerReference w:type="default" r:id="rId2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9ED" w:rsidRDefault="00D139ED" w:rsidP="00515DA7">
      <w:r>
        <w:separator/>
      </w:r>
    </w:p>
  </w:endnote>
  <w:endnote w:type="continuationSeparator" w:id="0">
    <w:p w:rsidR="00D139ED" w:rsidRDefault="00D139ED" w:rsidP="00515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634775"/>
      <w:docPartObj>
        <w:docPartGallery w:val="Page Numbers (Bottom of Page)"/>
        <w:docPartUnique/>
      </w:docPartObj>
    </w:sdtPr>
    <w:sdtEndPr/>
    <w:sdtContent>
      <w:sdt>
        <w:sdtPr>
          <w:id w:val="860082579"/>
          <w:docPartObj>
            <w:docPartGallery w:val="Page Numbers (Top of Page)"/>
            <w:docPartUnique/>
          </w:docPartObj>
        </w:sdtPr>
        <w:sdtEndPr/>
        <w:sdtContent>
          <w:p w:rsidR="00BF5140" w:rsidRDefault="00D139ED">
            <w:pPr>
              <w:pStyle w:val="a3"/>
              <w:jc w:val="right"/>
            </w:pPr>
            <w:r>
              <w:rPr>
                <w:lang w:val="ja-JP"/>
              </w:rPr>
              <w:t xml:space="preserve"> </w:t>
            </w:r>
            <w:r>
              <w:rPr>
                <w:b/>
                <w:bCs/>
                <w:sz w:val="24"/>
                <w:szCs w:val="24"/>
              </w:rPr>
              <w:fldChar w:fldCharType="begin"/>
            </w:r>
            <w:r>
              <w:rPr>
                <w:b/>
                <w:bCs/>
              </w:rPr>
              <w:instrText>PAGE</w:instrText>
            </w:r>
            <w:r>
              <w:rPr>
                <w:b/>
                <w:bCs/>
                <w:sz w:val="24"/>
                <w:szCs w:val="24"/>
              </w:rPr>
              <w:fldChar w:fldCharType="separate"/>
            </w:r>
            <w:r w:rsidR="00FD68B4">
              <w:rPr>
                <w:b/>
                <w:bCs/>
                <w:noProof/>
              </w:rPr>
              <w:t>1</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FD68B4">
              <w:rPr>
                <w:b/>
                <w:bCs/>
                <w:noProof/>
              </w:rPr>
              <w:t>10</w:t>
            </w:r>
            <w:r>
              <w:rPr>
                <w:b/>
                <w:bCs/>
                <w:sz w:val="24"/>
                <w:szCs w:val="24"/>
              </w:rPr>
              <w:fldChar w:fldCharType="end"/>
            </w:r>
          </w:p>
        </w:sdtContent>
      </w:sdt>
    </w:sdtContent>
  </w:sdt>
  <w:p w:rsidR="00BF5140" w:rsidRDefault="00FD68B4">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9ED" w:rsidRDefault="00D139ED" w:rsidP="00515DA7">
      <w:r>
        <w:separator/>
      </w:r>
    </w:p>
  </w:footnote>
  <w:footnote w:type="continuationSeparator" w:id="0">
    <w:p w:rsidR="00D139ED" w:rsidRDefault="00D139ED" w:rsidP="00515DA7">
      <w:r>
        <w:continuationSeparator/>
      </w:r>
    </w:p>
  </w:footnote>
  <w:footnote w:id="1">
    <w:p w:rsidR="00515DA7" w:rsidRPr="00EC400B" w:rsidRDefault="00515DA7" w:rsidP="00515DA7">
      <w:pPr>
        <w:pStyle w:val="a5"/>
        <w:rPr>
          <w:sz w:val="18"/>
          <w:szCs w:val="18"/>
          <w:lang w:val="es-ES"/>
        </w:rPr>
      </w:pPr>
      <w:r>
        <w:rPr>
          <w:rStyle w:val="a7"/>
        </w:rPr>
        <w:footnoteRef/>
      </w:r>
      <w:r>
        <w:rPr>
          <w:lang w:val="es-ES"/>
        </w:rPr>
        <w:t xml:space="preserve"> </w:t>
      </w:r>
      <w:r w:rsidRPr="00EC400B">
        <w:rPr>
          <w:sz w:val="18"/>
          <w:szCs w:val="18"/>
          <w:lang w:val="es-ES"/>
        </w:rPr>
        <w:t>La Naciòn</w:t>
      </w:r>
      <w:r w:rsidR="00320A78" w:rsidRPr="00EC400B">
        <w:rPr>
          <w:rFonts w:hint="eastAsia"/>
          <w:sz w:val="18"/>
          <w:szCs w:val="18"/>
          <w:lang w:val="es-ES"/>
        </w:rPr>
        <w:t>紙、</w:t>
      </w:r>
      <w:r w:rsidRPr="00EC400B">
        <w:rPr>
          <w:sz w:val="18"/>
          <w:szCs w:val="18"/>
          <w:lang w:val="es-ES"/>
        </w:rPr>
        <w:t xml:space="preserve"> La Prensa Libre</w:t>
      </w:r>
      <w:r w:rsidRPr="00EC400B">
        <w:rPr>
          <w:rFonts w:hint="eastAsia"/>
          <w:sz w:val="18"/>
          <w:szCs w:val="18"/>
          <w:lang w:val="es-ES"/>
        </w:rPr>
        <w:t>紙、</w:t>
      </w:r>
      <w:r w:rsidRPr="00EC400B">
        <w:rPr>
          <w:sz w:val="18"/>
          <w:szCs w:val="18"/>
          <w:lang w:val="es-ES"/>
        </w:rPr>
        <w:t>El Financiero</w:t>
      </w:r>
      <w:r w:rsidRPr="00EC400B">
        <w:rPr>
          <w:rFonts w:hint="eastAsia"/>
          <w:sz w:val="18"/>
          <w:szCs w:val="18"/>
          <w:lang w:val="es-ES"/>
        </w:rPr>
        <w:t>紙</w:t>
      </w:r>
    </w:p>
  </w:footnote>
  <w:footnote w:id="2">
    <w:p w:rsidR="001D69CB" w:rsidRPr="006D7BCA" w:rsidRDefault="001D69CB">
      <w:pPr>
        <w:pStyle w:val="a5"/>
        <w:rPr>
          <w:sz w:val="18"/>
          <w:szCs w:val="18"/>
        </w:rPr>
      </w:pPr>
      <w:r>
        <w:rPr>
          <w:rStyle w:val="a7"/>
        </w:rPr>
        <w:footnoteRef/>
      </w:r>
      <w:r>
        <w:t xml:space="preserve"> </w:t>
      </w:r>
      <w:r w:rsidRPr="006D7BCA">
        <w:rPr>
          <w:rFonts w:hint="eastAsia"/>
          <w:sz w:val="18"/>
          <w:szCs w:val="18"/>
        </w:rPr>
        <w:t>次期政権は売上税の付加価値税への変更</w:t>
      </w:r>
      <w:r w:rsidRPr="006D7BCA">
        <w:rPr>
          <w:rFonts w:hint="eastAsia"/>
          <w:sz w:val="18"/>
          <w:szCs w:val="18"/>
        </w:rPr>
        <w:t>(</w:t>
      </w:r>
      <w:r w:rsidRPr="006D7BCA">
        <w:rPr>
          <w:rFonts w:hint="eastAsia"/>
          <w:sz w:val="18"/>
          <w:szCs w:val="18"/>
        </w:rPr>
        <w:t>サービスにも課税する方針</w:t>
      </w:r>
      <w:r w:rsidRPr="006D7BCA">
        <w:rPr>
          <w:rFonts w:hint="eastAsia"/>
          <w:sz w:val="18"/>
          <w:szCs w:val="18"/>
        </w:rPr>
        <w:t>)</w:t>
      </w:r>
      <w:r w:rsidRPr="006D7BCA">
        <w:rPr>
          <w:rFonts w:hint="eastAsia"/>
          <w:sz w:val="18"/>
          <w:szCs w:val="18"/>
        </w:rPr>
        <w:t>や、収入額や収入源によって異なる税制が適用されている現行の所得税の</w:t>
      </w:r>
      <w:r w:rsidR="006D7BCA" w:rsidRPr="006D7BCA">
        <w:rPr>
          <w:rFonts w:hint="eastAsia"/>
          <w:sz w:val="18"/>
          <w:szCs w:val="18"/>
        </w:rPr>
        <w:t>簡略</w:t>
      </w:r>
      <w:r w:rsidRPr="006D7BCA">
        <w:rPr>
          <w:rFonts w:hint="eastAsia"/>
          <w:sz w:val="18"/>
          <w:szCs w:val="18"/>
        </w:rPr>
        <w:t>化などを提案している。</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DA7"/>
    <w:rsid w:val="00007306"/>
    <w:rsid w:val="00026CA9"/>
    <w:rsid w:val="00061917"/>
    <w:rsid w:val="00073955"/>
    <w:rsid w:val="0007764D"/>
    <w:rsid w:val="000925DD"/>
    <w:rsid w:val="00094664"/>
    <w:rsid w:val="0009653B"/>
    <w:rsid w:val="000A0373"/>
    <w:rsid w:val="000B0420"/>
    <w:rsid w:val="000B0AB1"/>
    <w:rsid w:val="000C351C"/>
    <w:rsid w:val="000D797A"/>
    <w:rsid w:val="000F6BC8"/>
    <w:rsid w:val="0010216D"/>
    <w:rsid w:val="00112160"/>
    <w:rsid w:val="001153E0"/>
    <w:rsid w:val="00116EFF"/>
    <w:rsid w:val="00117064"/>
    <w:rsid w:val="00117AD7"/>
    <w:rsid w:val="0015268A"/>
    <w:rsid w:val="001539B9"/>
    <w:rsid w:val="00161A7D"/>
    <w:rsid w:val="00166523"/>
    <w:rsid w:val="00170814"/>
    <w:rsid w:val="00180E9B"/>
    <w:rsid w:val="00191494"/>
    <w:rsid w:val="00192EFA"/>
    <w:rsid w:val="001A4BAB"/>
    <w:rsid w:val="001B1C39"/>
    <w:rsid w:val="001D0ABB"/>
    <w:rsid w:val="001D69CB"/>
    <w:rsid w:val="001E476D"/>
    <w:rsid w:val="00220441"/>
    <w:rsid w:val="002213C6"/>
    <w:rsid w:val="00226631"/>
    <w:rsid w:val="002513C3"/>
    <w:rsid w:val="00252C1D"/>
    <w:rsid w:val="0025645D"/>
    <w:rsid w:val="00257C6F"/>
    <w:rsid w:val="00267780"/>
    <w:rsid w:val="00271183"/>
    <w:rsid w:val="00284431"/>
    <w:rsid w:val="00293E02"/>
    <w:rsid w:val="002A3986"/>
    <w:rsid w:val="002B57BD"/>
    <w:rsid w:val="002E4EEB"/>
    <w:rsid w:val="002F3800"/>
    <w:rsid w:val="002F4351"/>
    <w:rsid w:val="0031663A"/>
    <w:rsid w:val="00320A78"/>
    <w:rsid w:val="003348EA"/>
    <w:rsid w:val="0034070A"/>
    <w:rsid w:val="00341B71"/>
    <w:rsid w:val="003726AD"/>
    <w:rsid w:val="00373465"/>
    <w:rsid w:val="003759DC"/>
    <w:rsid w:val="003963AD"/>
    <w:rsid w:val="003E77FA"/>
    <w:rsid w:val="003F2826"/>
    <w:rsid w:val="004333A9"/>
    <w:rsid w:val="00455EF4"/>
    <w:rsid w:val="00463ACC"/>
    <w:rsid w:val="00465A51"/>
    <w:rsid w:val="00467F14"/>
    <w:rsid w:val="004921CF"/>
    <w:rsid w:val="004A6369"/>
    <w:rsid w:val="004B5B47"/>
    <w:rsid w:val="004D7E9F"/>
    <w:rsid w:val="00515DA7"/>
    <w:rsid w:val="005214B4"/>
    <w:rsid w:val="00523A3B"/>
    <w:rsid w:val="0053587B"/>
    <w:rsid w:val="005451E8"/>
    <w:rsid w:val="005A3AAB"/>
    <w:rsid w:val="005A6CF4"/>
    <w:rsid w:val="005B4300"/>
    <w:rsid w:val="005B6FA2"/>
    <w:rsid w:val="005D7284"/>
    <w:rsid w:val="005E3969"/>
    <w:rsid w:val="005E74B2"/>
    <w:rsid w:val="005F4E67"/>
    <w:rsid w:val="005F60A3"/>
    <w:rsid w:val="006171E6"/>
    <w:rsid w:val="006448B3"/>
    <w:rsid w:val="0064793A"/>
    <w:rsid w:val="006513DF"/>
    <w:rsid w:val="006B20C9"/>
    <w:rsid w:val="006C3422"/>
    <w:rsid w:val="006C4CF0"/>
    <w:rsid w:val="006D7BCA"/>
    <w:rsid w:val="006F7500"/>
    <w:rsid w:val="00706419"/>
    <w:rsid w:val="00707AA2"/>
    <w:rsid w:val="00765386"/>
    <w:rsid w:val="00771C76"/>
    <w:rsid w:val="00775D9F"/>
    <w:rsid w:val="007A621A"/>
    <w:rsid w:val="007B112C"/>
    <w:rsid w:val="007B35F8"/>
    <w:rsid w:val="007B6A5F"/>
    <w:rsid w:val="007C114B"/>
    <w:rsid w:val="007F32A9"/>
    <w:rsid w:val="007F58B9"/>
    <w:rsid w:val="008014B5"/>
    <w:rsid w:val="008022E4"/>
    <w:rsid w:val="00814B2A"/>
    <w:rsid w:val="00831BFA"/>
    <w:rsid w:val="0084571C"/>
    <w:rsid w:val="0085641D"/>
    <w:rsid w:val="008661FD"/>
    <w:rsid w:val="00881ADF"/>
    <w:rsid w:val="00887750"/>
    <w:rsid w:val="008A4563"/>
    <w:rsid w:val="008A4DC7"/>
    <w:rsid w:val="008B0CF1"/>
    <w:rsid w:val="008C7540"/>
    <w:rsid w:val="008D3A13"/>
    <w:rsid w:val="00916037"/>
    <w:rsid w:val="00955D4B"/>
    <w:rsid w:val="00964752"/>
    <w:rsid w:val="0097235A"/>
    <w:rsid w:val="009A680F"/>
    <w:rsid w:val="009C751A"/>
    <w:rsid w:val="009D6C95"/>
    <w:rsid w:val="009D6D80"/>
    <w:rsid w:val="009E25AA"/>
    <w:rsid w:val="009F2E0A"/>
    <w:rsid w:val="00A04803"/>
    <w:rsid w:val="00A05480"/>
    <w:rsid w:val="00A21711"/>
    <w:rsid w:val="00A37AC1"/>
    <w:rsid w:val="00A41CCF"/>
    <w:rsid w:val="00A46CB4"/>
    <w:rsid w:val="00A535D3"/>
    <w:rsid w:val="00A66838"/>
    <w:rsid w:val="00A728BF"/>
    <w:rsid w:val="00A73813"/>
    <w:rsid w:val="00AA1488"/>
    <w:rsid w:val="00AC3015"/>
    <w:rsid w:val="00AD5CE4"/>
    <w:rsid w:val="00B136A5"/>
    <w:rsid w:val="00B638C9"/>
    <w:rsid w:val="00B91FAE"/>
    <w:rsid w:val="00B951D9"/>
    <w:rsid w:val="00BB29E0"/>
    <w:rsid w:val="00BB3BDC"/>
    <w:rsid w:val="00BB48BB"/>
    <w:rsid w:val="00BB5875"/>
    <w:rsid w:val="00BC58A9"/>
    <w:rsid w:val="00BD34E9"/>
    <w:rsid w:val="00BF4228"/>
    <w:rsid w:val="00C045DF"/>
    <w:rsid w:val="00C06E76"/>
    <w:rsid w:val="00C15979"/>
    <w:rsid w:val="00C44AD6"/>
    <w:rsid w:val="00C511F2"/>
    <w:rsid w:val="00C60D10"/>
    <w:rsid w:val="00C63F49"/>
    <w:rsid w:val="00C65149"/>
    <w:rsid w:val="00C753FE"/>
    <w:rsid w:val="00C75D5B"/>
    <w:rsid w:val="00C83A7A"/>
    <w:rsid w:val="00CA0362"/>
    <w:rsid w:val="00CD2595"/>
    <w:rsid w:val="00CD4F45"/>
    <w:rsid w:val="00D139ED"/>
    <w:rsid w:val="00D17176"/>
    <w:rsid w:val="00D33800"/>
    <w:rsid w:val="00D456A9"/>
    <w:rsid w:val="00D76684"/>
    <w:rsid w:val="00D82390"/>
    <w:rsid w:val="00D96CF4"/>
    <w:rsid w:val="00DD25F9"/>
    <w:rsid w:val="00E07D90"/>
    <w:rsid w:val="00E202D2"/>
    <w:rsid w:val="00E35019"/>
    <w:rsid w:val="00E372F5"/>
    <w:rsid w:val="00E44EE5"/>
    <w:rsid w:val="00E54803"/>
    <w:rsid w:val="00E56C92"/>
    <w:rsid w:val="00E61FD3"/>
    <w:rsid w:val="00E84F1B"/>
    <w:rsid w:val="00E9695C"/>
    <w:rsid w:val="00E96ABC"/>
    <w:rsid w:val="00EB6D32"/>
    <w:rsid w:val="00EC32F7"/>
    <w:rsid w:val="00EC400B"/>
    <w:rsid w:val="00EF44ED"/>
    <w:rsid w:val="00F104D5"/>
    <w:rsid w:val="00F118DD"/>
    <w:rsid w:val="00F424E2"/>
    <w:rsid w:val="00F60F4C"/>
    <w:rsid w:val="00F647E0"/>
    <w:rsid w:val="00F70CAE"/>
    <w:rsid w:val="00F9089C"/>
    <w:rsid w:val="00FD68B4"/>
    <w:rsid w:val="00FF2A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515DA7"/>
    <w:pPr>
      <w:tabs>
        <w:tab w:val="center" w:pos="4536"/>
        <w:tab w:val="right" w:pos="9072"/>
      </w:tabs>
      <w:snapToGrid w:val="0"/>
    </w:pPr>
  </w:style>
  <w:style w:type="character" w:customStyle="1" w:styleId="a4">
    <w:name w:val="フッター (文字)"/>
    <w:basedOn w:val="a0"/>
    <w:link w:val="a3"/>
    <w:uiPriority w:val="99"/>
    <w:rsid w:val="00515DA7"/>
  </w:style>
  <w:style w:type="paragraph" w:styleId="a5">
    <w:name w:val="footnote text"/>
    <w:basedOn w:val="a"/>
    <w:link w:val="a6"/>
    <w:uiPriority w:val="99"/>
    <w:semiHidden/>
    <w:unhideWhenUsed/>
    <w:rsid w:val="00515DA7"/>
    <w:pPr>
      <w:snapToGrid w:val="0"/>
      <w:jc w:val="left"/>
    </w:pPr>
  </w:style>
  <w:style w:type="character" w:customStyle="1" w:styleId="a6">
    <w:name w:val="脚注文字列 (文字)"/>
    <w:basedOn w:val="a0"/>
    <w:link w:val="a5"/>
    <w:uiPriority w:val="99"/>
    <w:semiHidden/>
    <w:rsid w:val="00515DA7"/>
  </w:style>
  <w:style w:type="character" w:styleId="a7">
    <w:name w:val="footnote reference"/>
    <w:basedOn w:val="a0"/>
    <w:uiPriority w:val="99"/>
    <w:semiHidden/>
    <w:unhideWhenUsed/>
    <w:rsid w:val="00515DA7"/>
    <w:rPr>
      <w:vertAlign w:val="superscript"/>
    </w:rPr>
  </w:style>
  <w:style w:type="paragraph" w:styleId="a8">
    <w:name w:val="Balloon Text"/>
    <w:basedOn w:val="a"/>
    <w:link w:val="a9"/>
    <w:uiPriority w:val="99"/>
    <w:semiHidden/>
    <w:unhideWhenUsed/>
    <w:rsid w:val="00515DA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15DA7"/>
    <w:rPr>
      <w:rFonts w:asciiTheme="majorHAnsi" w:eastAsiaTheme="majorEastAsia" w:hAnsiTheme="majorHAnsi" w:cstheme="majorBidi"/>
      <w:sz w:val="18"/>
      <w:szCs w:val="18"/>
    </w:rPr>
  </w:style>
  <w:style w:type="paragraph" w:styleId="aa">
    <w:name w:val="header"/>
    <w:basedOn w:val="a"/>
    <w:link w:val="ab"/>
    <w:uiPriority w:val="99"/>
    <w:unhideWhenUsed/>
    <w:rsid w:val="007B6A5F"/>
    <w:pPr>
      <w:tabs>
        <w:tab w:val="center" w:pos="4252"/>
        <w:tab w:val="right" w:pos="8504"/>
      </w:tabs>
      <w:snapToGrid w:val="0"/>
    </w:pPr>
  </w:style>
  <w:style w:type="character" w:customStyle="1" w:styleId="ab">
    <w:name w:val="ヘッダー (文字)"/>
    <w:basedOn w:val="a0"/>
    <w:link w:val="aa"/>
    <w:uiPriority w:val="99"/>
    <w:rsid w:val="007B6A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515DA7"/>
    <w:pPr>
      <w:tabs>
        <w:tab w:val="center" w:pos="4536"/>
        <w:tab w:val="right" w:pos="9072"/>
      </w:tabs>
      <w:snapToGrid w:val="0"/>
    </w:pPr>
  </w:style>
  <w:style w:type="character" w:customStyle="1" w:styleId="a4">
    <w:name w:val="フッター (文字)"/>
    <w:basedOn w:val="a0"/>
    <w:link w:val="a3"/>
    <w:uiPriority w:val="99"/>
    <w:rsid w:val="00515DA7"/>
  </w:style>
  <w:style w:type="paragraph" w:styleId="a5">
    <w:name w:val="footnote text"/>
    <w:basedOn w:val="a"/>
    <w:link w:val="a6"/>
    <w:uiPriority w:val="99"/>
    <w:semiHidden/>
    <w:unhideWhenUsed/>
    <w:rsid w:val="00515DA7"/>
    <w:pPr>
      <w:snapToGrid w:val="0"/>
      <w:jc w:val="left"/>
    </w:pPr>
  </w:style>
  <w:style w:type="character" w:customStyle="1" w:styleId="a6">
    <w:name w:val="脚注文字列 (文字)"/>
    <w:basedOn w:val="a0"/>
    <w:link w:val="a5"/>
    <w:uiPriority w:val="99"/>
    <w:semiHidden/>
    <w:rsid w:val="00515DA7"/>
  </w:style>
  <w:style w:type="character" w:styleId="a7">
    <w:name w:val="footnote reference"/>
    <w:basedOn w:val="a0"/>
    <w:uiPriority w:val="99"/>
    <w:semiHidden/>
    <w:unhideWhenUsed/>
    <w:rsid w:val="00515DA7"/>
    <w:rPr>
      <w:vertAlign w:val="superscript"/>
    </w:rPr>
  </w:style>
  <w:style w:type="paragraph" w:styleId="a8">
    <w:name w:val="Balloon Text"/>
    <w:basedOn w:val="a"/>
    <w:link w:val="a9"/>
    <w:uiPriority w:val="99"/>
    <w:semiHidden/>
    <w:unhideWhenUsed/>
    <w:rsid w:val="00515DA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15DA7"/>
    <w:rPr>
      <w:rFonts w:asciiTheme="majorHAnsi" w:eastAsiaTheme="majorEastAsia" w:hAnsiTheme="majorHAnsi" w:cstheme="majorBidi"/>
      <w:sz w:val="18"/>
      <w:szCs w:val="18"/>
    </w:rPr>
  </w:style>
  <w:style w:type="paragraph" w:styleId="aa">
    <w:name w:val="header"/>
    <w:basedOn w:val="a"/>
    <w:link w:val="ab"/>
    <w:uiPriority w:val="99"/>
    <w:unhideWhenUsed/>
    <w:rsid w:val="007B6A5F"/>
    <w:pPr>
      <w:tabs>
        <w:tab w:val="center" w:pos="4252"/>
        <w:tab w:val="right" w:pos="8504"/>
      </w:tabs>
      <w:snapToGrid w:val="0"/>
    </w:pPr>
  </w:style>
  <w:style w:type="character" w:customStyle="1" w:styleId="ab">
    <w:name w:val="ヘッダー (文字)"/>
    <w:basedOn w:val="a0"/>
    <w:link w:val="aa"/>
    <w:uiPriority w:val="99"/>
    <w:rsid w:val="007B6A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J:\&#23450;&#26399;&#22577;&#21578;&#38306;&#36899;\2014&#24180;3&#26376;&#12539;4&#26376;&#28858;&#26367;.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J:\&#23450;&#26399;&#22577;&#21578;&#38306;&#36899;\2014&#24180;3&#26376;&#37329;&#21033;&#38306;&#20418;.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J:\&#23450;&#26399;&#22577;&#21578;&#38306;&#36899;\2014&#24180;3-4&#26376;&#22806;&#36008;&#28310;&#20633;&#39640;.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file:///J:\&#23450;&#26399;&#22577;&#21578;&#38306;&#36899;\2014&#24180;3-4&#26376;&#36664;&#20986;-&#20837;&#3898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J:\&#23450;&#26399;&#22577;&#21578;&#38306;&#36899;\2014&#24180;3-4&#26376;&#32047;&#31309;&#36031;&#26131;&#3898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J:\&#23450;&#26399;&#22577;&#21578;&#38306;&#36899;\2014&#24180;3&#26376;&#32047;&#31309;&#36031;&#26131;&#3898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Scsjnas01\sj-every\04&#12288;&#32076;&#28168;%20&#65288;&#32076;&#28168;&#29677;&#65289;\&#9733;&#23554;&#38272;&#35519;&#26619;&#21729;\&#9733;&#32076;&#28168;&#25351;&#27161;&#12487;&#12540;&#12479;.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J:\&#23450;&#26399;&#22577;&#21578;&#38306;&#36899;\2014&#24180;3&#26376;IPC&#26376;&#21029;&#19978;&#26119;&#29575;.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J:\&#23450;&#26399;&#22577;&#21578;&#38306;&#36899;\2014&#24180;3&#26376;IPC&#24180;&#29575;&#25563;&#31639;.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ja-JP" altLang="en-US" sz="1200"/>
              <a:t>表</a:t>
            </a:r>
            <a:r>
              <a:rPr lang="en-US" altLang="ja-JP" sz="1200"/>
              <a:t>1</a:t>
            </a:r>
            <a:r>
              <a:rPr lang="ja-JP" altLang="en-US" sz="1200"/>
              <a:t>　経済活動指標　前年同期比成長率</a:t>
            </a:r>
            <a:r>
              <a:rPr lang="en-US" altLang="ja-JP" sz="1200"/>
              <a:t>(</a:t>
            </a:r>
            <a:r>
              <a:rPr lang="ja-JP" altLang="en-US" sz="1200"/>
              <a:t>推移</a:t>
            </a:r>
            <a:r>
              <a:rPr lang="en-US" altLang="ja-JP" sz="1200"/>
              <a:t>)</a:t>
            </a:r>
            <a:endParaRPr lang="ja-JP" altLang="en-US" sz="1200"/>
          </a:p>
        </c:rich>
      </c:tx>
      <c:layout>
        <c:manualLayout>
          <c:xMode val="edge"/>
          <c:yMode val="edge"/>
          <c:x val="0.1891769084420003"/>
          <c:y val="1.6920473773265651E-2"/>
        </c:manualLayout>
      </c:layout>
      <c:overlay val="0"/>
    </c:title>
    <c:autoTitleDeleted val="0"/>
    <c:plotArea>
      <c:layout>
        <c:manualLayout>
          <c:layoutTarget val="inner"/>
          <c:xMode val="edge"/>
          <c:yMode val="edge"/>
          <c:x val="0.1572036828729742"/>
          <c:y val="9.2446754835257244E-2"/>
          <c:w val="0.58057181057918095"/>
          <c:h val="0.7007295788534047"/>
        </c:manualLayout>
      </c:layout>
      <c:barChart>
        <c:barDir val="col"/>
        <c:grouping val="clustered"/>
        <c:varyColors val="0"/>
        <c:ser>
          <c:idx val="12"/>
          <c:order val="12"/>
          <c:tx>
            <c:strRef>
              <c:f>'2014主要経済指標'!$B$16</c:f>
              <c:strCache>
                <c:ptCount val="1"/>
                <c:pt idx="0">
                  <c:v>全体</c:v>
                </c:pt>
              </c:strCache>
            </c:strRef>
          </c:tx>
          <c:invertIfNegative val="0"/>
          <c:dLbls>
            <c:dLbl>
              <c:idx val="0"/>
              <c:layout/>
              <c:showLegendKey val="0"/>
              <c:showVal val="1"/>
              <c:showCatName val="0"/>
              <c:showSerName val="0"/>
              <c:showPercent val="0"/>
              <c:showBubbleSize val="0"/>
            </c:dLbl>
            <c:dLbl>
              <c:idx val="1"/>
              <c:layout>
                <c:manualLayout>
                  <c:x val="4.7031158142269254E-3"/>
                  <c:y val="-1.3536379018612521E-2"/>
                </c:manualLayout>
              </c:layout>
              <c:showLegendKey val="0"/>
              <c:showVal val="1"/>
              <c:showCatName val="0"/>
              <c:showSerName val="0"/>
              <c:showPercent val="0"/>
              <c:showBubbleSize val="0"/>
            </c:dLbl>
            <c:dLbl>
              <c:idx val="12"/>
              <c:layout>
                <c:manualLayout>
                  <c:x val="0"/>
                  <c:y val="-1.3536379018612521E-2"/>
                </c:manualLayout>
              </c:layout>
              <c:showLegendKey val="0"/>
              <c:showVal val="1"/>
              <c:showCatName val="0"/>
              <c:showSerName val="0"/>
              <c:showPercent val="0"/>
              <c:showBubbleSize val="0"/>
            </c:dLbl>
            <c:dLbl>
              <c:idx val="13"/>
              <c:layout>
                <c:manualLayout>
                  <c:x val="7.0546737213403876E-3"/>
                  <c:y val="-1.015228426395939E-2"/>
                </c:manualLayout>
              </c:layout>
              <c:showLegendKey val="0"/>
              <c:showVal val="1"/>
              <c:showCatName val="0"/>
              <c:showSerName val="0"/>
              <c:showPercent val="0"/>
              <c:showBubbleSize val="0"/>
            </c:dLbl>
            <c:txPr>
              <a:bodyPr/>
              <a:lstStyle/>
              <a:p>
                <a:pPr>
                  <a:defRPr sz="1100" b="1"/>
                </a:pPr>
                <a:endParaRPr lang="ja-JP"/>
              </a:p>
            </c:txPr>
            <c:showLegendKey val="0"/>
            <c:showVal val="0"/>
            <c:showCatName val="0"/>
            <c:showSerName val="0"/>
            <c:showPercent val="0"/>
            <c:showBubbleSize val="0"/>
          </c:dLbls>
          <c:cat>
            <c:numRef>
              <c:f>'2014主要経済指標'!$C$3:$P$3</c:f>
              <c:numCache>
                <c:formatCode>yyyy"年"m"月";@</c:formatCode>
                <c:ptCount val="14"/>
                <c:pt idx="0">
                  <c:v>41334</c:v>
                </c:pt>
                <c:pt idx="1">
                  <c:v>41365</c:v>
                </c:pt>
                <c:pt idx="2">
                  <c:v>41395</c:v>
                </c:pt>
                <c:pt idx="3">
                  <c:v>41426</c:v>
                </c:pt>
                <c:pt idx="4">
                  <c:v>41456</c:v>
                </c:pt>
                <c:pt idx="5">
                  <c:v>41487</c:v>
                </c:pt>
                <c:pt idx="6">
                  <c:v>41518</c:v>
                </c:pt>
                <c:pt idx="7">
                  <c:v>41548</c:v>
                </c:pt>
                <c:pt idx="8">
                  <c:v>41579</c:v>
                </c:pt>
                <c:pt idx="9">
                  <c:v>41609</c:v>
                </c:pt>
                <c:pt idx="10">
                  <c:v>41640</c:v>
                </c:pt>
                <c:pt idx="11">
                  <c:v>41671</c:v>
                </c:pt>
                <c:pt idx="12">
                  <c:v>41699</c:v>
                </c:pt>
                <c:pt idx="13">
                  <c:v>41730</c:v>
                </c:pt>
              </c:numCache>
            </c:numRef>
          </c:cat>
          <c:val>
            <c:numRef>
              <c:f>'2014主要経済指標'!$C$16:$P$16</c:f>
              <c:numCache>
                <c:formatCode>#,##0.00</c:formatCode>
                <c:ptCount val="14"/>
                <c:pt idx="0">
                  <c:v>2.2000000000000002</c:v>
                </c:pt>
                <c:pt idx="1">
                  <c:v>2.4</c:v>
                </c:pt>
                <c:pt idx="2">
                  <c:v>3</c:v>
                </c:pt>
                <c:pt idx="3">
                  <c:v>3.6</c:v>
                </c:pt>
                <c:pt idx="4">
                  <c:v>4.2</c:v>
                </c:pt>
                <c:pt idx="5">
                  <c:v>4.7</c:v>
                </c:pt>
                <c:pt idx="6">
                  <c:v>5</c:v>
                </c:pt>
                <c:pt idx="7">
                  <c:v>4.8</c:v>
                </c:pt>
                <c:pt idx="8">
                  <c:v>4.0999999999999996</c:v>
                </c:pt>
                <c:pt idx="9">
                  <c:v>3.2</c:v>
                </c:pt>
                <c:pt idx="10">
                  <c:v>3.4</c:v>
                </c:pt>
                <c:pt idx="11">
                  <c:v>3.8</c:v>
                </c:pt>
                <c:pt idx="12" formatCode="0.00;&quot;▲ &quot;0.00">
                  <c:v>4.3</c:v>
                </c:pt>
                <c:pt idx="13" formatCode="0.00;&quot;▲ &quot;0.00">
                  <c:v>4.5999999999999996</c:v>
                </c:pt>
              </c:numCache>
            </c:numRef>
          </c:val>
        </c:ser>
        <c:ser>
          <c:idx val="13"/>
          <c:order val="13"/>
          <c:tx>
            <c:strRef>
              <c:f>'2014主要経済指標'!$B$17</c:f>
              <c:strCache>
                <c:ptCount val="1"/>
                <c:pt idx="0">
                  <c:v>フリーゾーン除く</c:v>
                </c:pt>
              </c:strCache>
            </c:strRef>
          </c:tx>
          <c:invertIfNegative val="0"/>
          <c:cat>
            <c:numRef>
              <c:f>'2014主要経済指標'!$C$3:$P$3</c:f>
              <c:numCache>
                <c:formatCode>yyyy"年"m"月";@</c:formatCode>
                <c:ptCount val="14"/>
                <c:pt idx="0">
                  <c:v>41334</c:v>
                </c:pt>
                <c:pt idx="1">
                  <c:v>41365</c:v>
                </c:pt>
                <c:pt idx="2">
                  <c:v>41395</c:v>
                </c:pt>
                <c:pt idx="3">
                  <c:v>41426</c:v>
                </c:pt>
                <c:pt idx="4">
                  <c:v>41456</c:v>
                </c:pt>
                <c:pt idx="5">
                  <c:v>41487</c:v>
                </c:pt>
                <c:pt idx="6">
                  <c:v>41518</c:v>
                </c:pt>
                <c:pt idx="7">
                  <c:v>41548</c:v>
                </c:pt>
                <c:pt idx="8">
                  <c:v>41579</c:v>
                </c:pt>
                <c:pt idx="9">
                  <c:v>41609</c:v>
                </c:pt>
                <c:pt idx="10">
                  <c:v>41640</c:v>
                </c:pt>
                <c:pt idx="11">
                  <c:v>41671</c:v>
                </c:pt>
                <c:pt idx="12">
                  <c:v>41699</c:v>
                </c:pt>
                <c:pt idx="13">
                  <c:v>41730</c:v>
                </c:pt>
              </c:numCache>
            </c:numRef>
          </c:cat>
          <c:val>
            <c:numRef>
              <c:f>'2014主要経済指標'!$C$17:$P$17</c:f>
              <c:numCache>
                <c:formatCode>General</c:formatCode>
                <c:ptCount val="14"/>
                <c:pt idx="0">
                  <c:v>2.87</c:v>
                </c:pt>
                <c:pt idx="1">
                  <c:v>2.84</c:v>
                </c:pt>
                <c:pt idx="2">
                  <c:v>2.84</c:v>
                </c:pt>
                <c:pt idx="3">
                  <c:v>2.83</c:v>
                </c:pt>
                <c:pt idx="4">
                  <c:v>2.84</c:v>
                </c:pt>
                <c:pt idx="5">
                  <c:v>2.97</c:v>
                </c:pt>
                <c:pt idx="6">
                  <c:v>3.1</c:v>
                </c:pt>
                <c:pt idx="7">
                  <c:v>3.22</c:v>
                </c:pt>
                <c:pt idx="8">
                  <c:v>3.26</c:v>
                </c:pt>
                <c:pt idx="9">
                  <c:v>3.25</c:v>
                </c:pt>
                <c:pt idx="10">
                  <c:v>3.63</c:v>
                </c:pt>
                <c:pt idx="11">
                  <c:v>3.94</c:v>
                </c:pt>
                <c:pt idx="12" formatCode="0.00;&quot;▲ &quot;0.00">
                  <c:v>4.3499999999999996</c:v>
                </c:pt>
                <c:pt idx="13" formatCode="0.00;&quot;▲ &quot;0.00">
                  <c:v>4.9400000000000004</c:v>
                </c:pt>
              </c:numCache>
            </c:numRef>
          </c:val>
        </c:ser>
        <c:dLbls>
          <c:showLegendKey val="0"/>
          <c:showVal val="0"/>
          <c:showCatName val="0"/>
          <c:showSerName val="0"/>
          <c:showPercent val="0"/>
          <c:showBubbleSize val="0"/>
        </c:dLbls>
        <c:gapWidth val="150"/>
        <c:axId val="85184896"/>
        <c:axId val="85186432"/>
      </c:barChart>
      <c:lineChart>
        <c:grouping val="standard"/>
        <c:varyColors val="0"/>
        <c:ser>
          <c:idx val="0"/>
          <c:order val="0"/>
          <c:tx>
            <c:strRef>
              <c:f>'2014主要経済指標'!$B$4</c:f>
              <c:strCache>
                <c:ptCount val="1"/>
                <c:pt idx="0">
                  <c:v>農業・林業・漁業</c:v>
                </c:pt>
              </c:strCache>
            </c:strRef>
          </c:tx>
          <c:cat>
            <c:numRef>
              <c:f>'2014主要経済指標'!$C$3:$P$3</c:f>
              <c:numCache>
                <c:formatCode>yyyy"年"m"月";@</c:formatCode>
                <c:ptCount val="14"/>
                <c:pt idx="0">
                  <c:v>41334</c:v>
                </c:pt>
                <c:pt idx="1">
                  <c:v>41365</c:v>
                </c:pt>
                <c:pt idx="2">
                  <c:v>41395</c:v>
                </c:pt>
                <c:pt idx="3">
                  <c:v>41426</c:v>
                </c:pt>
                <c:pt idx="4">
                  <c:v>41456</c:v>
                </c:pt>
                <c:pt idx="5">
                  <c:v>41487</c:v>
                </c:pt>
                <c:pt idx="6">
                  <c:v>41518</c:v>
                </c:pt>
                <c:pt idx="7">
                  <c:v>41548</c:v>
                </c:pt>
                <c:pt idx="8">
                  <c:v>41579</c:v>
                </c:pt>
                <c:pt idx="9">
                  <c:v>41609</c:v>
                </c:pt>
                <c:pt idx="10">
                  <c:v>41640</c:v>
                </c:pt>
                <c:pt idx="11">
                  <c:v>41671</c:v>
                </c:pt>
                <c:pt idx="12">
                  <c:v>41699</c:v>
                </c:pt>
                <c:pt idx="13">
                  <c:v>41730</c:v>
                </c:pt>
              </c:numCache>
            </c:numRef>
          </c:cat>
          <c:val>
            <c:numRef>
              <c:f>'2014主要経済指標'!$C$4:$P$4</c:f>
              <c:numCache>
                <c:formatCode>#,##0.00</c:formatCode>
                <c:ptCount val="14"/>
                <c:pt idx="0">
                  <c:v>0.97832423000000002</c:v>
                </c:pt>
                <c:pt idx="1">
                  <c:v>0.97571194000000006</c:v>
                </c:pt>
                <c:pt idx="2">
                  <c:v>1.11038404</c:v>
                </c:pt>
                <c:pt idx="3">
                  <c:v>1.20906242</c:v>
                </c:pt>
                <c:pt idx="4">
                  <c:v>1.1964082</c:v>
                </c:pt>
                <c:pt idx="5">
                  <c:v>1.17843527</c:v>
                </c:pt>
                <c:pt idx="6">
                  <c:v>1.3288410900000001</c:v>
                </c:pt>
                <c:pt idx="7">
                  <c:v>1.6301283900000001</c:v>
                </c:pt>
                <c:pt idx="8">
                  <c:v>1.95047646</c:v>
                </c:pt>
                <c:pt idx="9">
                  <c:v>2.3395601300000002</c:v>
                </c:pt>
                <c:pt idx="10">
                  <c:v>3.8168650300000002</c:v>
                </c:pt>
                <c:pt idx="11">
                  <c:v>4.7654383600000001</c:v>
                </c:pt>
                <c:pt idx="12" formatCode="0.00;&quot;▲ &quot;0.00">
                  <c:v>5.6001005199999998</c:v>
                </c:pt>
                <c:pt idx="13" formatCode="0.00;&quot;▲ &quot;0.00">
                  <c:v>6.1006600100000004</c:v>
                </c:pt>
              </c:numCache>
            </c:numRef>
          </c:val>
          <c:smooth val="0"/>
        </c:ser>
        <c:ser>
          <c:idx val="1"/>
          <c:order val="1"/>
          <c:tx>
            <c:strRef>
              <c:f>'2014主要経済指標'!$B$5</c:f>
              <c:strCache>
                <c:ptCount val="1"/>
                <c:pt idx="0">
                  <c:v>製造業</c:v>
                </c:pt>
              </c:strCache>
            </c:strRef>
          </c:tx>
          <c:cat>
            <c:numRef>
              <c:f>'2014主要経済指標'!$C$3:$P$3</c:f>
              <c:numCache>
                <c:formatCode>yyyy"年"m"月";@</c:formatCode>
                <c:ptCount val="14"/>
                <c:pt idx="0">
                  <c:v>41334</c:v>
                </c:pt>
                <c:pt idx="1">
                  <c:v>41365</c:v>
                </c:pt>
                <c:pt idx="2">
                  <c:v>41395</c:v>
                </c:pt>
                <c:pt idx="3">
                  <c:v>41426</c:v>
                </c:pt>
                <c:pt idx="4">
                  <c:v>41456</c:v>
                </c:pt>
                <c:pt idx="5">
                  <c:v>41487</c:v>
                </c:pt>
                <c:pt idx="6">
                  <c:v>41518</c:v>
                </c:pt>
                <c:pt idx="7">
                  <c:v>41548</c:v>
                </c:pt>
                <c:pt idx="8">
                  <c:v>41579</c:v>
                </c:pt>
                <c:pt idx="9">
                  <c:v>41609</c:v>
                </c:pt>
                <c:pt idx="10">
                  <c:v>41640</c:v>
                </c:pt>
                <c:pt idx="11">
                  <c:v>41671</c:v>
                </c:pt>
                <c:pt idx="12">
                  <c:v>41699</c:v>
                </c:pt>
                <c:pt idx="13">
                  <c:v>41730</c:v>
                </c:pt>
              </c:numCache>
            </c:numRef>
          </c:cat>
          <c:val>
            <c:numRef>
              <c:f>'2014主要経済指標'!$C$5:$P$5</c:f>
              <c:numCache>
                <c:formatCode>#,##0.00</c:formatCode>
                <c:ptCount val="14"/>
                <c:pt idx="0">
                  <c:v>-0.46088265</c:v>
                </c:pt>
                <c:pt idx="1">
                  <c:v>0.28037053000000001</c:v>
                </c:pt>
                <c:pt idx="2">
                  <c:v>2.2874164800000001</c:v>
                </c:pt>
                <c:pt idx="3">
                  <c:v>4.8560866200000001</c:v>
                </c:pt>
                <c:pt idx="4">
                  <c:v>7.0713909099999999</c:v>
                </c:pt>
                <c:pt idx="5">
                  <c:v>8.9661324400000009</c:v>
                </c:pt>
                <c:pt idx="6">
                  <c:v>9.8877969599999993</c:v>
                </c:pt>
                <c:pt idx="7">
                  <c:v>8.7208318499999997</c:v>
                </c:pt>
                <c:pt idx="8">
                  <c:v>5.6108117000000002</c:v>
                </c:pt>
                <c:pt idx="9">
                  <c:v>2.4171143100000001</c:v>
                </c:pt>
                <c:pt idx="10">
                  <c:v>1.67023491</c:v>
                </c:pt>
                <c:pt idx="11">
                  <c:v>2.1437255199999998</c:v>
                </c:pt>
                <c:pt idx="12" formatCode="0.00;&quot;▲ &quot;0.00">
                  <c:v>2.7373616300000001</c:v>
                </c:pt>
                <c:pt idx="13" formatCode="0.00;&quot;▲ &quot;0.00">
                  <c:v>2.5691653900000002</c:v>
                </c:pt>
              </c:numCache>
            </c:numRef>
          </c:val>
          <c:smooth val="0"/>
        </c:ser>
        <c:ser>
          <c:idx val="2"/>
          <c:order val="2"/>
          <c:tx>
            <c:strRef>
              <c:f>'2014主要経済指標'!$B$6</c:f>
              <c:strCache>
                <c:ptCount val="1"/>
                <c:pt idx="0">
                  <c:v>鉱山</c:v>
                </c:pt>
              </c:strCache>
            </c:strRef>
          </c:tx>
          <c:cat>
            <c:numRef>
              <c:f>'2014主要経済指標'!$C$3:$P$3</c:f>
              <c:numCache>
                <c:formatCode>yyyy"年"m"月";@</c:formatCode>
                <c:ptCount val="14"/>
                <c:pt idx="0">
                  <c:v>41334</c:v>
                </c:pt>
                <c:pt idx="1">
                  <c:v>41365</c:v>
                </c:pt>
                <c:pt idx="2">
                  <c:v>41395</c:v>
                </c:pt>
                <c:pt idx="3">
                  <c:v>41426</c:v>
                </c:pt>
                <c:pt idx="4">
                  <c:v>41456</c:v>
                </c:pt>
                <c:pt idx="5">
                  <c:v>41487</c:v>
                </c:pt>
                <c:pt idx="6">
                  <c:v>41518</c:v>
                </c:pt>
                <c:pt idx="7">
                  <c:v>41548</c:v>
                </c:pt>
                <c:pt idx="8">
                  <c:v>41579</c:v>
                </c:pt>
                <c:pt idx="9">
                  <c:v>41609</c:v>
                </c:pt>
                <c:pt idx="10">
                  <c:v>41640</c:v>
                </c:pt>
                <c:pt idx="11">
                  <c:v>41671</c:v>
                </c:pt>
                <c:pt idx="12">
                  <c:v>41699</c:v>
                </c:pt>
                <c:pt idx="13">
                  <c:v>41730</c:v>
                </c:pt>
              </c:numCache>
            </c:numRef>
          </c:cat>
          <c:val>
            <c:numRef>
              <c:f>'2014主要経済指標'!$C$6:$P$6</c:f>
              <c:numCache>
                <c:formatCode>#,##0.00</c:formatCode>
                <c:ptCount val="14"/>
                <c:pt idx="0">
                  <c:v>4.6635073399999998</c:v>
                </c:pt>
                <c:pt idx="1">
                  <c:v>4.1836184699999999</c:v>
                </c:pt>
                <c:pt idx="2">
                  <c:v>3.6971767600000001</c:v>
                </c:pt>
                <c:pt idx="3">
                  <c:v>3.2576203399999999</c:v>
                </c:pt>
                <c:pt idx="4">
                  <c:v>2.8922134599999998</c:v>
                </c:pt>
                <c:pt idx="5">
                  <c:v>2.5973132400000001</c:v>
                </c:pt>
                <c:pt idx="6">
                  <c:v>2.3700325200000001</c:v>
                </c:pt>
                <c:pt idx="7">
                  <c:v>2.2060032399999998</c:v>
                </c:pt>
                <c:pt idx="8">
                  <c:v>2.10220685</c:v>
                </c:pt>
                <c:pt idx="9">
                  <c:v>2.0513716099999999</c:v>
                </c:pt>
                <c:pt idx="10">
                  <c:v>2.1620004399999999</c:v>
                </c:pt>
                <c:pt idx="11">
                  <c:v>2.2459171100000002</c:v>
                </c:pt>
                <c:pt idx="12" formatCode="0.00;&quot;▲ &quot;0.00">
                  <c:v>2.32889101</c:v>
                </c:pt>
                <c:pt idx="13" formatCode="0.00;&quot;▲ &quot;0.00">
                  <c:v>2.42028183</c:v>
                </c:pt>
              </c:numCache>
            </c:numRef>
          </c:val>
          <c:smooth val="0"/>
        </c:ser>
        <c:ser>
          <c:idx val="3"/>
          <c:order val="3"/>
          <c:tx>
            <c:strRef>
              <c:f>'2014主要経済指標'!$B$7</c:f>
              <c:strCache>
                <c:ptCount val="1"/>
                <c:pt idx="0">
                  <c:v>電気・水道</c:v>
                </c:pt>
              </c:strCache>
            </c:strRef>
          </c:tx>
          <c:cat>
            <c:numRef>
              <c:f>'2014主要経済指標'!$C$3:$P$3</c:f>
              <c:numCache>
                <c:formatCode>yyyy"年"m"月";@</c:formatCode>
                <c:ptCount val="14"/>
                <c:pt idx="0">
                  <c:v>41334</c:v>
                </c:pt>
                <c:pt idx="1">
                  <c:v>41365</c:v>
                </c:pt>
                <c:pt idx="2">
                  <c:v>41395</c:v>
                </c:pt>
                <c:pt idx="3">
                  <c:v>41426</c:v>
                </c:pt>
                <c:pt idx="4">
                  <c:v>41456</c:v>
                </c:pt>
                <c:pt idx="5">
                  <c:v>41487</c:v>
                </c:pt>
                <c:pt idx="6">
                  <c:v>41518</c:v>
                </c:pt>
                <c:pt idx="7">
                  <c:v>41548</c:v>
                </c:pt>
                <c:pt idx="8">
                  <c:v>41579</c:v>
                </c:pt>
                <c:pt idx="9">
                  <c:v>41609</c:v>
                </c:pt>
                <c:pt idx="10">
                  <c:v>41640</c:v>
                </c:pt>
                <c:pt idx="11">
                  <c:v>41671</c:v>
                </c:pt>
                <c:pt idx="12">
                  <c:v>41699</c:v>
                </c:pt>
                <c:pt idx="13">
                  <c:v>41730</c:v>
                </c:pt>
              </c:numCache>
            </c:numRef>
          </c:cat>
          <c:val>
            <c:numRef>
              <c:f>'2014主要経済指標'!$C$7:$P$7</c:f>
              <c:numCache>
                <c:formatCode>#,##0.00</c:formatCode>
                <c:ptCount val="14"/>
                <c:pt idx="0">
                  <c:v>1.0228360299999999</c:v>
                </c:pt>
                <c:pt idx="1">
                  <c:v>0.92503491999999998</c:v>
                </c:pt>
                <c:pt idx="2">
                  <c:v>0.97540691999999996</c:v>
                </c:pt>
                <c:pt idx="3">
                  <c:v>1.0307900400000001</c:v>
                </c:pt>
                <c:pt idx="4">
                  <c:v>1.1703079700000001</c:v>
                </c:pt>
                <c:pt idx="5">
                  <c:v>0.97419120000000003</c:v>
                </c:pt>
                <c:pt idx="6">
                  <c:v>0.67466143999999995</c:v>
                </c:pt>
                <c:pt idx="7">
                  <c:v>0.53487587000000003</c:v>
                </c:pt>
                <c:pt idx="8">
                  <c:v>0.46685056000000003</c:v>
                </c:pt>
                <c:pt idx="9">
                  <c:v>0.31159283999999998</c:v>
                </c:pt>
                <c:pt idx="10">
                  <c:v>0.39081887999999998</c:v>
                </c:pt>
                <c:pt idx="11">
                  <c:v>1.09347265</c:v>
                </c:pt>
                <c:pt idx="12" formatCode="0.00;&quot;▲ &quot;0.00">
                  <c:v>1.9952277599999999</c:v>
                </c:pt>
                <c:pt idx="13" formatCode="0.00;&quot;▲ &quot;0.00">
                  <c:v>2.2399116000000001</c:v>
                </c:pt>
              </c:numCache>
            </c:numRef>
          </c:val>
          <c:smooth val="0"/>
        </c:ser>
        <c:ser>
          <c:idx val="4"/>
          <c:order val="4"/>
          <c:tx>
            <c:strRef>
              <c:f>'2014主要経済指標'!$B$8</c:f>
              <c:strCache>
                <c:ptCount val="1"/>
                <c:pt idx="0">
                  <c:v>建設</c:v>
                </c:pt>
              </c:strCache>
            </c:strRef>
          </c:tx>
          <c:cat>
            <c:numRef>
              <c:f>'2014主要経済指標'!$C$3:$P$3</c:f>
              <c:numCache>
                <c:formatCode>yyyy"年"m"月";@</c:formatCode>
                <c:ptCount val="14"/>
                <c:pt idx="0">
                  <c:v>41334</c:v>
                </c:pt>
                <c:pt idx="1">
                  <c:v>41365</c:v>
                </c:pt>
                <c:pt idx="2">
                  <c:v>41395</c:v>
                </c:pt>
                <c:pt idx="3">
                  <c:v>41426</c:v>
                </c:pt>
                <c:pt idx="4">
                  <c:v>41456</c:v>
                </c:pt>
                <c:pt idx="5">
                  <c:v>41487</c:v>
                </c:pt>
                <c:pt idx="6">
                  <c:v>41518</c:v>
                </c:pt>
                <c:pt idx="7">
                  <c:v>41548</c:v>
                </c:pt>
                <c:pt idx="8">
                  <c:v>41579</c:v>
                </c:pt>
                <c:pt idx="9">
                  <c:v>41609</c:v>
                </c:pt>
                <c:pt idx="10">
                  <c:v>41640</c:v>
                </c:pt>
                <c:pt idx="11">
                  <c:v>41671</c:v>
                </c:pt>
                <c:pt idx="12">
                  <c:v>41699</c:v>
                </c:pt>
                <c:pt idx="13">
                  <c:v>41730</c:v>
                </c:pt>
              </c:numCache>
            </c:numRef>
          </c:cat>
          <c:val>
            <c:numRef>
              <c:f>'2014主要経済指標'!$C$8:$P$8</c:f>
              <c:numCache>
                <c:formatCode>#,##0.00</c:formatCode>
                <c:ptCount val="14"/>
                <c:pt idx="0">
                  <c:v>3.41771571</c:v>
                </c:pt>
                <c:pt idx="1">
                  <c:v>2.7422829599999998</c:v>
                </c:pt>
                <c:pt idx="2">
                  <c:v>2.42551344</c:v>
                </c:pt>
                <c:pt idx="3">
                  <c:v>2.2538529600000001</c:v>
                </c:pt>
                <c:pt idx="4">
                  <c:v>1.96718791</c:v>
                </c:pt>
                <c:pt idx="5">
                  <c:v>1.73304148</c:v>
                </c:pt>
                <c:pt idx="6">
                  <c:v>1.5321171600000001</c:v>
                </c:pt>
                <c:pt idx="7">
                  <c:v>1.41080618</c:v>
                </c:pt>
                <c:pt idx="8">
                  <c:v>1.49182357</c:v>
                </c:pt>
                <c:pt idx="9">
                  <c:v>2.0793881399999998</c:v>
                </c:pt>
                <c:pt idx="10">
                  <c:v>3.2184809400000001</c:v>
                </c:pt>
                <c:pt idx="11">
                  <c:v>4.1015197399999996</c:v>
                </c:pt>
                <c:pt idx="12" formatCode="0.00;&quot;▲ &quot;0.00">
                  <c:v>4.6576297899999997</c:v>
                </c:pt>
                <c:pt idx="13" formatCode="0.00;&quot;▲ &quot;0.00">
                  <c:v>5.1742870200000004</c:v>
                </c:pt>
              </c:numCache>
            </c:numRef>
          </c:val>
          <c:smooth val="0"/>
        </c:ser>
        <c:ser>
          <c:idx val="5"/>
          <c:order val="5"/>
          <c:tx>
            <c:strRef>
              <c:f>'2014主要経済指標'!$B$9</c:f>
              <c:strCache>
                <c:ptCount val="1"/>
                <c:pt idx="0">
                  <c:v>商業</c:v>
                </c:pt>
              </c:strCache>
            </c:strRef>
          </c:tx>
          <c:cat>
            <c:numRef>
              <c:f>'2014主要経済指標'!$C$3:$P$3</c:f>
              <c:numCache>
                <c:formatCode>yyyy"年"m"月";@</c:formatCode>
                <c:ptCount val="14"/>
                <c:pt idx="0">
                  <c:v>41334</c:v>
                </c:pt>
                <c:pt idx="1">
                  <c:v>41365</c:v>
                </c:pt>
                <c:pt idx="2">
                  <c:v>41395</c:v>
                </c:pt>
                <c:pt idx="3">
                  <c:v>41426</c:v>
                </c:pt>
                <c:pt idx="4">
                  <c:v>41456</c:v>
                </c:pt>
                <c:pt idx="5">
                  <c:v>41487</c:v>
                </c:pt>
                <c:pt idx="6">
                  <c:v>41518</c:v>
                </c:pt>
                <c:pt idx="7">
                  <c:v>41548</c:v>
                </c:pt>
                <c:pt idx="8">
                  <c:v>41579</c:v>
                </c:pt>
                <c:pt idx="9">
                  <c:v>41609</c:v>
                </c:pt>
                <c:pt idx="10">
                  <c:v>41640</c:v>
                </c:pt>
                <c:pt idx="11">
                  <c:v>41671</c:v>
                </c:pt>
                <c:pt idx="12">
                  <c:v>41699</c:v>
                </c:pt>
                <c:pt idx="13">
                  <c:v>41730</c:v>
                </c:pt>
              </c:numCache>
            </c:numRef>
          </c:cat>
          <c:val>
            <c:numRef>
              <c:f>'2014主要経済指標'!$C$9:$P$9</c:f>
              <c:numCache>
                <c:formatCode>#,##0.00</c:formatCode>
                <c:ptCount val="14"/>
                <c:pt idx="0">
                  <c:v>3.8577195299999998</c:v>
                </c:pt>
                <c:pt idx="1">
                  <c:v>3.7336387800000002</c:v>
                </c:pt>
                <c:pt idx="2">
                  <c:v>3.67508174</c:v>
                </c:pt>
                <c:pt idx="3">
                  <c:v>3.65328155</c:v>
                </c:pt>
                <c:pt idx="4">
                  <c:v>3.58602044</c:v>
                </c:pt>
                <c:pt idx="5">
                  <c:v>3.4955403</c:v>
                </c:pt>
                <c:pt idx="6">
                  <c:v>3.4324641599999999</c:v>
                </c:pt>
                <c:pt idx="7">
                  <c:v>3.4481087800000001</c:v>
                </c:pt>
                <c:pt idx="8">
                  <c:v>3.4823754500000001</c:v>
                </c:pt>
                <c:pt idx="9">
                  <c:v>3.51284142</c:v>
                </c:pt>
                <c:pt idx="10">
                  <c:v>3.47804153</c:v>
                </c:pt>
                <c:pt idx="11">
                  <c:v>3.49682789</c:v>
                </c:pt>
                <c:pt idx="12" formatCode="0.00;&quot;▲ &quot;0.00">
                  <c:v>3.53556501</c:v>
                </c:pt>
                <c:pt idx="13" formatCode="0.00;&quot;▲ &quot;0.00">
                  <c:v>3.6603829000000001</c:v>
                </c:pt>
              </c:numCache>
            </c:numRef>
          </c:val>
          <c:smooth val="0"/>
        </c:ser>
        <c:ser>
          <c:idx val="6"/>
          <c:order val="6"/>
          <c:tx>
            <c:strRef>
              <c:f>'2014主要経済指標'!$B$10</c:f>
              <c:strCache>
                <c:ptCount val="1"/>
                <c:pt idx="0">
                  <c:v>ホテル</c:v>
                </c:pt>
              </c:strCache>
            </c:strRef>
          </c:tx>
          <c:cat>
            <c:numRef>
              <c:f>'2014主要経済指標'!$C$3:$P$3</c:f>
              <c:numCache>
                <c:formatCode>yyyy"年"m"月";@</c:formatCode>
                <c:ptCount val="14"/>
                <c:pt idx="0">
                  <c:v>41334</c:v>
                </c:pt>
                <c:pt idx="1">
                  <c:v>41365</c:v>
                </c:pt>
                <c:pt idx="2">
                  <c:v>41395</c:v>
                </c:pt>
                <c:pt idx="3">
                  <c:v>41426</c:v>
                </c:pt>
                <c:pt idx="4">
                  <c:v>41456</c:v>
                </c:pt>
                <c:pt idx="5">
                  <c:v>41487</c:v>
                </c:pt>
                <c:pt idx="6">
                  <c:v>41518</c:v>
                </c:pt>
                <c:pt idx="7">
                  <c:v>41548</c:v>
                </c:pt>
                <c:pt idx="8">
                  <c:v>41579</c:v>
                </c:pt>
                <c:pt idx="9">
                  <c:v>41609</c:v>
                </c:pt>
                <c:pt idx="10">
                  <c:v>41640</c:v>
                </c:pt>
                <c:pt idx="11">
                  <c:v>41671</c:v>
                </c:pt>
                <c:pt idx="12">
                  <c:v>41699</c:v>
                </c:pt>
                <c:pt idx="13">
                  <c:v>41730</c:v>
                </c:pt>
              </c:numCache>
            </c:numRef>
          </c:cat>
          <c:val>
            <c:numRef>
              <c:f>'2014主要経済指標'!$C$10:$P$10</c:f>
              <c:numCache>
                <c:formatCode>#,##0.00</c:formatCode>
                <c:ptCount val="14"/>
                <c:pt idx="0">
                  <c:v>3.4901124100000001</c:v>
                </c:pt>
                <c:pt idx="1">
                  <c:v>3.4913971400000001</c:v>
                </c:pt>
                <c:pt idx="2">
                  <c:v>3.5352060000000001</c:v>
                </c:pt>
                <c:pt idx="3">
                  <c:v>3.57855553</c:v>
                </c:pt>
                <c:pt idx="4">
                  <c:v>3.65324457</c:v>
                </c:pt>
                <c:pt idx="5">
                  <c:v>3.7526930100000002</c:v>
                </c:pt>
                <c:pt idx="6">
                  <c:v>3.8708030099999999</c:v>
                </c:pt>
                <c:pt idx="7">
                  <c:v>4.00713863</c:v>
                </c:pt>
                <c:pt idx="8">
                  <c:v>4.1403543300000001</c:v>
                </c:pt>
                <c:pt idx="9">
                  <c:v>4.2636684599999999</c:v>
                </c:pt>
                <c:pt idx="10">
                  <c:v>5.3968084699999999</c:v>
                </c:pt>
                <c:pt idx="11">
                  <c:v>5.8802548000000003</c:v>
                </c:pt>
                <c:pt idx="12" formatCode="0.00;&quot;▲ &quot;0.00">
                  <c:v>6.4049198799999996</c:v>
                </c:pt>
                <c:pt idx="13" formatCode="0.00;&quot;▲ &quot;0.00">
                  <c:v>7.0170508600000003</c:v>
                </c:pt>
              </c:numCache>
            </c:numRef>
          </c:val>
          <c:smooth val="0"/>
        </c:ser>
        <c:ser>
          <c:idx val="7"/>
          <c:order val="7"/>
          <c:tx>
            <c:strRef>
              <c:f>'2014主要経済指標'!$B$11</c:f>
              <c:strCache>
                <c:ptCount val="1"/>
                <c:pt idx="0">
                  <c:v>運輸・倉庫・通信</c:v>
                </c:pt>
              </c:strCache>
            </c:strRef>
          </c:tx>
          <c:cat>
            <c:numRef>
              <c:f>'2014主要経済指標'!$C$3:$P$3</c:f>
              <c:numCache>
                <c:formatCode>yyyy"年"m"月";@</c:formatCode>
                <c:ptCount val="14"/>
                <c:pt idx="0">
                  <c:v>41334</c:v>
                </c:pt>
                <c:pt idx="1">
                  <c:v>41365</c:v>
                </c:pt>
                <c:pt idx="2">
                  <c:v>41395</c:v>
                </c:pt>
                <c:pt idx="3">
                  <c:v>41426</c:v>
                </c:pt>
                <c:pt idx="4">
                  <c:v>41456</c:v>
                </c:pt>
                <c:pt idx="5">
                  <c:v>41487</c:v>
                </c:pt>
                <c:pt idx="6">
                  <c:v>41518</c:v>
                </c:pt>
                <c:pt idx="7">
                  <c:v>41548</c:v>
                </c:pt>
                <c:pt idx="8">
                  <c:v>41579</c:v>
                </c:pt>
                <c:pt idx="9">
                  <c:v>41609</c:v>
                </c:pt>
                <c:pt idx="10">
                  <c:v>41640</c:v>
                </c:pt>
                <c:pt idx="11">
                  <c:v>41671</c:v>
                </c:pt>
                <c:pt idx="12">
                  <c:v>41699</c:v>
                </c:pt>
                <c:pt idx="13">
                  <c:v>41730</c:v>
                </c:pt>
              </c:numCache>
            </c:numRef>
          </c:cat>
          <c:val>
            <c:numRef>
              <c:f>'2014主要経済指標'!$C$11:$P$11</c:f>
              <c:numCache>
                <c:formatCode>#,##0.00</c:formatCode>
                <c:ptCount val="14"/>
                <c:pt idx="0">
                  <c:v>2.1533968099999998</c:v>
                </c:pt>
                <c:pt idx="1">
                  <c:v>2.5852526</c:v>
                </c:pt>
                <c:pt idx="2">
                  <c:v>2.9220821899999998</c:v>
                </c:pt>
                <c:pt idx="3">
                  <c:v>3.2910068400000001</c:v>
                </c:pt>
                <c:pt idx="4">
                  <c:v>3.7698424099999999</c:v>
                </c:pt>
                <c:pt idx="5">
                  <c:v>4.4388986600000004</c:v>
                </c:pt>
                <c:pt idx="6">
                  <c:v>5.0920941700000002</c:v>
                </c:pt>
                <c:pt idx="7">
                  <c:v>5.8806754899999998</c:v>
                </c:pt>
                <c:pt idx="8">
                  <c:v>6.9321761799999999</c:v>
                </c:pt>
                <c:pt idx="9">
                  <c:v>7.7449633899999997</c:v>
                </c:pt>
                <c:pt idx="10">
                  <c:v>8.3038863599999999</c:v>
                </c:pt>
                <c:pt idx="11">
                  <c:v>8.4703631900000005</c:v>
                </c:pt>
                <c:pt idx="12" formatCode="0.00;&quot;▲ &quot;0.00">
                  <c:v>8.4795938399999997</c:v>
                </c:pt>
                <c:pt idx="13" formatCode="0.00;&quot;▲ &quot;0.00">
                  <c:v>8.5897476600000005</c:v>
                </c:pt>
              </c:numCache>
            </c:numRef>
          </c:val>
          <c:smooth val="0"/>
        </c:ser>
        <c:ser>
          <c:idx val="8"/>
          <c:order val="8"/>
          <c:tx>
            <c:strRef>
              <c:f>'2014主要経済指標'!$B$12</c:f>
              <c:strCache>
                <c:ptCount val="1"/>
                <c:pt idx="0">
                  <c:v>金融・保険</c:v>
                </c:pt>
              </c:strCache>
            </c:strRef>
          </c:tx>
          <c:cat>
            <c:numRef>
              <c:f>'2014主要経済指標'!$C$3:$P$3</c:f>
              <c:numCache>
                <c:formatCode>yyyy"年"m"月";@</c:formatCode>
                <c:ptCount val="14"/>
                <c:pt idx="0">
                  <c:v>41334</c:v>
                </c:pt>
                <c:pt idx="1">
                  <c:v>41365</c:v>
                </c:pt>
                <c:pt idx="2">
                  <c:v>41395</c:v>
                </c:pt>
                <c:pt idx="3">
                  <c:v>41426</c:v>
                </c:pt>
                <c:pt idx="4">
                  <c:v>41456</c:v>
                </c:pt>
                <c:pt idx="5">
                  <c:v>41487</c:v>
                </c:pt>
                <c:pt idx="6">
                  <c:v>41518</c:v>
                </c:pt>
                <c:pt idx="7">
                  <c:v>41548</c:v>
                </c:pt>
                <c:pt idx="8">
                  <c:v>41579</c:v>
                </c:pt>
                <c:pt idx="9">
                  <c:v>41609</c:v>
                </c:pt>
                <c:pt idx="10">
                  <c:v>41640</c:v>
                </c:pt>
                <c:pt idx="11">
                  <c:v>41671</c:v>
                </c:pt>
                <c:pt idx="12">
                  <c:v>41699</c:v>
                </c:pt>
                <c:pt idx="13">
                  <c:v>41730</c:v>
                </c:pt>
              </c:numCache>
            </c:numRef>
          </c:cat>
          <c:val>
            <c:numRef>
              <c:f>'2014主要経済指標'!$C$12:$P$12</c:f>
              <c:numCache>
                <c:formatCode>#,##0.00</c:formatCode>
                <c:ptCount val="14"/>
                <c:pt idx="0">
                  <c:v>6.9266135499999999</c:v>
                </c:pt>
                <c:pt idx="1">
                  <c:v>7.4091795300000003</c:v>
                </c:pt>
                <c:pt idx="2">
                  <c:v>7.6515129599999998</c:v>
                </c:pt>
                <c:pt idx="3">
                  <c:v>7.6190737500000001</c:v>
                </c:pt>
                <c:pt idx="4">
                  <c:v>7.6108144900000001</c:v>
                </c:pt>
                <c:pt idx="5">
                  <c:v>7.7504285700000004</c:v>
                </c:pt>
                <c:pt idx="6">
                  <c:v>7.9597827900000002</c:v>
                </c:pt>
                <c:pt idx="7">
                  <c:v>8.2084502100000005</c:v>
                </c:pt>
                <c:pt idx="8">
                  <c:v>8.5042793999999997</c:v>
                </c:pt>
                <c:pt idx="9">
                  <c:v>8.77107934</c:v>
                </c:pt>
                <c:pt idx="10">
                  <c:v>8.9934752499999995</c:v>
                </c:pt>
                <c:pt idx="11">
                  <c:v>9.4587022399999992</c:v>
                </c:pt>
                <c:pt idx="12" formatCode="0.00;&quot;▲ &quot;0.00">
                  <c:v>9.4629882700000003</c:v>
                </c:pt>
                <c:pt idx="13" formatCode="0.00;&quot;▲ &quot;0.00">
                  <c:v>9.1843599200000003</c:v>
                </c:pt>
              </c:numCache>
            </c:numRef>
          </c:val>
          <c:smooth val="0"/>
        </c:ser>
        <c:ser>
          <c:idx val="9"/>
          <c:order val="9"/>
          <c:tx>
            <c:strRef>
              <c:f>'2014主要経済指標'!$B$13</c:f>
              <c:strCache>
                <c:ptCount val="1"/>
                <c:pt idx="0">
                  <c:v>企業向けサービス</c:v>
                </c:pt>
              </c:strCache>
            </c:strRef>
          </c:tx>
          <c:cat>
            <c:numRef>
              <c:f>'2014主要経済指標'!$C$3:$P$3</c:f>
              <c:numCache>
                <c:formatCode>yyyy"年"m"月";@</c:formatCode>
                <c:ptCount val="14"/>
                <c:pt idx="0">
                  <c:v>41334</c:v>
                </c:pt>
                <c:pt idx="1">
                  <c:v>41365</c:v>
                </c:pt>
                <c:pt idx="2">
                  <c:v>41395</c:v>
                </c:pt>
                <c:pt idx="3">
                  <c:v>41426</c:v>
                </c:pt>
                <c:pt idx="4">
                  <c:v>41456</c:v>
                </c:pt>
                <c:pt idx="5">
                  <c:v>41487</c:v>
                </c:pt>
                <c:pt idx="6">
                  <c:v>41518</c:v>
                </c:pt>
                <c:pt idx="7">
                  <c:v>41548</c:v>
                </c:pt>
                <c:pt idx="8">
                  <c:v>41579</c:v>
                </c:pt>
                <c:pt idx="9">
                  <c:v>41609</c:v>
                </c:pt>
                <c:pt idx="10">
                  <c:v>41640</c:v>
                </c:pt>
                <c:pt idx="11">
                  <c:v>41671</c:v>
                </c:pt>
                <c:pt idx="12">
                  <c:v>41699</c:v>
                </c:pt>
                <c:pt idx="13">
                  <c:v>41730</c:v>
                </c:pt>
              </c:numCache>
            </c:numRef>
          </c:cat>
          <c:val>
            <c:numRef>
              <c:f>'2014主要経済指標'!$C$13:$P$13</c:f>
              <c:numCache>
                <c:formatCode>#,##0.00</c:formatCode>
                <c:ptCount val="14"/>
                <c:pt idx="0">
                  <c:v>5.28363037</c:v>
                </c:pt>
                <c:pt idx="1">
                  <c:v>5.6727437099999998</c:v>
                </c:pt>
                <c:pt idx="2">
                  <c:v>5.7580384799999997</c:v>
                </c:pt>
                <c:pt idx="3">
                  <c:v>5.2793538699999996</c:v>
                </c:pt>
                <c:pt idx="4">
                  <c:v>4.8075419400000001</c:v>
                </c:pt>
                <c:pt idx="5">
                  <c:v>4.9535392500000004</c:v>
                </c:pt>
                <c:pt idx="6">
                  <c:v>5.4137112299999997</c:v>
                </c:pt>
                <c:pt idx="7">
                  <c:v>5.4336417499999996</c:v>
                </c:pt>
                <c:pt idx="8">
                  <c:v>5.2436956099999996</c:v>
                </c:pt>
                <c:pt idx="9">
                  <c:v>5.5230354100000003</c:v>
                </c:pt>
                <c:pt idx="10">
                  <c:v>6.0172460299999999</c:v>
                </c:pt>
                <c:pt idx="11">
                  <c:v>6.2057323899999997</c:v>
                </c:pt>
                <c:pt idx="12" formatCode="0.00;&quot;▲ &quot;0.00">
                  <c:v>6.0323139299999999</c:v>
                </c:pt>
                <c:pt idx="13" formatCode="0.00;&quot;▲ &quot;0.00">
                  <c:v>5.7620948099999998</c:v>
                </c:pt>
              </c:numCache>
            </c:numRef>
          </c:val>
          <c:smooth val="0"/>
        </c:ser>
        <c:ser>
          <c:idx val="10"/>
          <c:order val="10"/>
          <c:tx>
            <c:strRef>
              <c:f>'2014主要経済指標'!$B$14</c:f>
              <c:strCache>
                <c:ptCount val="1"/>
                <c:pt idx="0">
                  <c:v>金融仲介サービス</c:v>
                </c:pt>
              </c:strCache>
            </c:strRef>
          </c:tx>
          <c:cat>
            <c:numRef>
              <c:f>'2014主要経済指標'!$C$3:$P$3</c:f>
              <c:numCache>
                <c:formatCode>yyyy"年"m"月";@</c:formatCode>
                <c:ptCount val="14"/>
                <c:pt idx="0">
                  <c:v>41334</c:v>
                </c:pt>
                <c:pt idx="1">
                  <c:v>41365</c:v>
                </c:pt>
                <c:pt idx="2">
                  <c:v>41395</c:v>
                </c:pt>
                <c:pt idx="3">
                  <c:v>41426</c:v>
                </c:pt>
                <c:pt idx="4">
                  <c:v>41456</c:v>
                </c:pt>
                <c:pt idx="5">
                  <c:v>41487</c:v>
                </c:pt>
                <c:pt idx="6">
                  <c:v>41518</c:v>
                </c:pt>
                <c:pt idx="7">
                  <c:v>41548</c:v>
                </c:pt>
                <c:pt idx="8">
                  <c:v>41579</c:v>
                </c:pt>
                <c:pt idx="9">
                  <c:v>41609</c:v>
                </c:pt>
                <c:pt idx="10">
                  <c:v>41640</c:v>
                </c:pt>
                <c:pt idx="11">
                  <c:v>41671</c:v>
                </c:pt>
                <c:pt idx="12">
                  <c:v>41699</c:v>
                </c:pt>
                <c:pt idx="13">
                  <c:v>41730</c:v>
                </c:pt>
              </c:numCache>
            </c:numRef>
          </c:cat>
          <c:val>
            <c:numRef>
              <c:f>'2014主要経済指標'!$C$14:$P$14</c:f>
              <c:numCache>
                <c:formatCode>#,##0.00</c:formatCode>
                <c:ptCount val="14"/>
                <c:pt idx="0">
                  <c:v>8.8966158800000006</c:v>
                </c:pt>
                <c:pt idx="1">
                  <c:v>9.6784722900000002</c:v>
                </c:pt>
                <c:pt idx="2">
                  <c:v>10.887263129999999</c:v>
                </c:pt>
                <c:pt idx="3">
                  <c:v>11.00185982</c:v>
                </c:pt>
                <c:pt idx="4">
                  <c:v>10.282038180000001</c:v>
                </c:pt>
                <c:pt idx="5">
                  <c:v>10.01895069</c:v>
                </c:pt>
                <c:pt idx="6">
                  <c:v>10.003893509999999</c:v>
                </c:pt>
                <c:pt idx="7">
                  <c:v>10.69788921</c:v>
                </c:pt>
                <c:pt idx="8">
                  <c:v>11.671521889999999</c:v>
                </c:pt>
                <c:pt idx="9">
                  <c:v>11.48728768</c:v>
                </c:pt>
                <c:pt idx="10">
                  <c:v>11.59228367</c:v>
                </c:pt>
                <c:pt idx="11">
                  <c:v>12.54271894</c:v>
                </c:pt>
                <c:pt idx="12" formatCode="0.00;&quot;▲ &quot;0.00">
                  <c:v>12.637123409999999</c:v>
                </c:pt>
                <c:pt idx="13" formatCode="0.00;&quot;▲ &quot;0.00">
                  <c:v>11.90618937</c:v>
                </c:pt>
              </c:numCache>
            </c:numRef>
          </c:val>
          <c:smooth val="0"/>
        </c:ser>
        <c:ser>
          <c:idx val="11"/>
          <c:order val="11"/>
          <c:tx>
            <c:strRef>
              <c:f>'2014主要経済指標'!$B$15</c:f>
              <c:strCache>
                <c:ptCount val="1"/>
                <c:pt idx="0">
                  <c:v>その他</c:v>
                </c:pt>
              </c:strCache>
            </c:strRef>
          </c:tx>
          <c:cat>
            <c:numRef>
              <c:f>'2014主要経済指標'!$C$3:$P$3</c:f>
              <c:numCache>
                <c:formatCode>yyyy"年"m"月";@</c:formatCode>
                <c:ptCount val="14"/>
                <c:pt idx="0">
                  <c:v>41334</c:v>
                </c:pt>
                <c:pt idx="1">
                  <c:v>41365</c:v>
                </c:pt>
                <c:pt idx="2">
                  <c:v>41395</c:v>
                </c:pt>
                <c:pt idx="3">
                  <c:v>41426</c:v>
                </c:pt>
                <c:pt idx="4">
                  <c:v>41456</c:v>
                </c:pt>
                <c:pt idx="5">
                  <c:v>41487</c:v>
                </c:pt>
                <c:pt idx="6">
                  <c:v>41518</c:v>
                </c:pt>
                <c:pt idx="7">
                  <c:v>41548</c:v>
                </c:pt>
                <c:pt idx="8">
                  <c:v>41579</c:v>
                </c:pt>
                <c:pt idx="9">
                  <c:v>41609</c:v>
                </c:pt>
                <c:pt idx="10">
                  <c:v>41640</c:v>
                </c:pt>
                <c:pt idx="11">
                  <c:v>41671</c:v>
                </c:pt>
                <c:pt idx="12">
                  <c:v>41699</c:v>
                </c:pt>
                <c:pt idx="13">
                  <c:v>41730</c:v>
                </c:pt>
              </c:numCache>
            </c:numRef>
          </c:cat>
          <c:val>
            <c:numRef>
              <c:f>'2014主要経済指標'!$C$15:$P$15</c:f>
              <c:numCache>
                <c:formatCode>#,##0.00</c:formatCode>
                <c:ptCount val="14"/>
                <c:pt idx="0">
                  <c:v>3.2372128899999999</c:v>
                </c:pt>
                <c:pt idx="1">
                  <c:v>3.2727050100000001</c:v>
                </c:pt>
                <c:pt idx="2">
                  <c:v>3.3005556199999999</c:v>
                </c:pt>
                <c:pt idx="3">
                  <c:v>3.31612236</c:v>
                </c:pt>
                <c:pt idx="4">
                  <c:v>3.3260972099999999</c:v>
                </c:pt>
                <c:pt idx="5">
                  <c:v>3.3400378700000002</c:v>
                </c:pt>
                <c:pt idx="6">
                  <c:v>3.34902145</c:v>
                </c:pt>
                <c:pt idx="7">
                  <c:v>3.34376198</c:v>
                </c:pt>
                <c:pt idx="8">
                  <c:v>3.3414871700000002</c:v>
                </c:pt>
                <c:pt idx="9">
                  <c:v>3.3445228</c:v>
                </c:pt>
                <c:pt idx="10">
                  <c:v>3.38227681</c:v>
                </c:pt>
                <c:pt idx="11">
                  <c:v>3.3514635099999999</c:v>
                </c:pt>
                <c:pt idx="12" formatCode="0.00;&quot;▲ &quot;0.00">
                  <c:v>3.3194164800000001</c:v>
                </c:pt>
                <c:pt idx="13" formatCode="0.00;&quot;▲ &quot;0.00">
                  <c:v>3.2818544699999999</c:v>
                </c:pt>
              </c:numCache>
            </c:numRef>
          </c:val>
          <c:smooth val="0"/>
        </c:ser>
        <c:dLbls>
          <c:showLegendKey val="0"/>
          <c:showVal val="0"/>
          <c:showCatName val="0"/>
          <c:showSerName val="0"/>
          <c:showPercent val="0"/>
          <c:showBubbleSize val="0"/>
        </c:dLbls>
        <c:marker val="1"/>
        <c:smooth val="0"/>
        <c:axId val="85184896"/>
        <c:axId val="85186432"/>
      </c:lineChart>
      <c:dateAx>
        <c:axId val="85184896"/>
        <c:scaling>
          <c:orientation val="minMax"/>
        </c:scaling>
        <c:delete val="0"/>
        <c:axPos val="b"/>
        <c:numFmt formatCode="yyyy&quot;年&quot;m&quot;月&quot;;@" sourceLinked="1"/>
        <c:majorTickMark val="none"/>
        <c:minorTickMark val="none"/>
        <c:tickLblPos val="low"/>
        <c:txPr>
          <a:bodyPr/>
          <a:lstStyle/>
          <a:p>
            <a:pPr>
              <a:defRPr sz="800"/>
            </a:pPr>
            <a:endParaRPr lang="ja-JP"/>
          </a:p>
        </c:txPr>
        <c:crossAx val="85186432"/>
        <c:crosses val="autoZero"/>
        <c:auto val="1"/>
        <c:lblOffset val="100"/>
        <c:baseTimeUnit val="months"/>
      </c:dateAx>
      <c:valAx>
        <c:axId val="85186432"/>
        <c:scaling>
          <c:orientation val="minMax"/>
        </c:scaling>
        <c:delete val="0"/>
        <c:axPos val="l"/>
        <c:majorGridlines/>
        <c:title>
          <c:tx>
            <c:rich>
              <a:bodyPr rot="0" vert="horz"/>
              <a:lstStyle/>
              <a:p>
                <a:pPr>
                  <a:defRPr/>
                </a:pPr>
                <a:r>
                  <a:rPr lang="en-US" altLang="ja-JP"/>
                  <a:t>(</a:t>
                </a:r>
                <a:r>
                  <a:rPr lang="ja-JP" altLang="en-US"/>
                  <a:t>％</a:t>
                </a:r>
                <a:r>
                  <a:rPr lang="en-US" altLang="ja-JP"/>
                  <a:t>)</a:t>
                </a:r>
                <a:endParaRPr lang="ja-JP" altLang="en-US"/>
              </a:p>
            </c:rich>
          </c:tx>
          <c:layout>
            <c:manualLayout>
              <c:xMode val="edge"/>
              <c:yMode val="edge"/>
              <c:x val="7.3301207719405445E-2"/>
              <c:y val="1.6005702332893668E-2"/>
            </c:manualLayout>
          </c:layout>
          <c:overlay val="0"/>
        </c:title>
        <c:numFmt formatCode="#,##0.00" sourceLinked="1"/>
        <c:majorTickMark val="none"/>
        <c:minorTickMark val="none"/>
        <c:tickLblPos val="nextTo"/>
        <c:crossAx val="85184896"/>
        <c:crosses val="autoZero"/>
        <c:crossBetween val="between"/>
      </c:valAx>
    </c:plotArea>
    <c:legend>
      <c:legendPos val="r"/>
      <c:layout>
        <c:manualLayout>
          <c:xMode val="edge"/>
          <c:yMode val="edge"/>
          <c:x val="0.77233382864179012"/>
          <c:y val="9.942896731817151E-2"/>
          <c:w val="0.21590838182264255"/>
          <c:h val="0.7422758703385427"/>
        </c:manualLayout>
      </c:layout>
      <c:overlay val="0"/>
      <c:txPr>
        <a:bodyPr/>
        <a:lstStyle/>
        <a:p>
          <a:pPr>
            <a:defRPr sz="800"/>
          </a:pPr>
          <a:endParaRPr lang="ja-JP"/>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b="0"/>
            </a:pPr>
            <a:r>
              <a:rPr lang="ja-JP" altLang="en-US" sz="1050" b="0"/>
              <a:t>表</a:t>
            </a:r>
            <a:r>
              <a:rPr lang="en-US" altLang="ja-JP" sz="1050" b="0"/>
              <a:t>10</a:t>
            </a:r>
            <a:r>
              <a:rPr lang="ja-JP" altLang="en-US" sz="1050" b="0"/>
              <a:t>　為替</a:t>
            </a:r>
            <a:r>
              <a:rPr lang="en-US" altLang="ja-JP" sz="1050" b="0"/>
              <a:t>(</a:t>
            </a:r>
            <a:r>
              <a:rPr lang="ja-JP" altLang="en-US" sz="1050" b="0"/>
              <a:t>月末・銀行間買値・</a:t>
            </a:r>
            <a:r>
              <a:rPr lang="en-US" altLang="ja-JP" sz="1050" b="0"/>
              <a:t>1</a:t>
            </a:r>
            <a:r>
              <a:rPr lang="ja-JP" altLang="en-US" sz="1050" b="0"/>
              <a:t>ドル＝コロン</a:t>
            </a:r>
            <a:r>
              <a:rPr lang="en-US" altLang="ja-JP" sz="1050" b="0"/>
              <a:t>)</a:t>
            </a:r>
            <a:endParaRPr lang="ja-JP" altLang="en-US" sz="1050" b="0"/>
          </a:p>
        </c:rich>
      </c:tx>
      <c:layout>
        <c:manualLayout>
          <c:xMode val="edge"/>
          <c:yMode val="edge"/>
          <c:x val="0.27614418045900446"/>
          <c:y val="3.7037123127136785E-2"/>
        </c:manualLayout>
      </c:layout>
      <c:overlay val="0"/>
    </c:title>
    <c:autoTitleDeleted val="0"/>
    <c:plotArea>
      <c:layout/>
      <c:lineChart>
        <c:grouping val="standard"/>
        <c:varyColors val="0"/>
        <c:ser>
          <c:idx val="0"/>
          <c:order val="0"/>
          <c:dLbls>
            <c:dLbl>
              <c:idx val="12"/>
              <c:layout>
                <c:manualLayout>
                  <c:x val="-6.3629790310918297E-2"/>
                  <c:y val="6.3960639606396058E-2"/>
                </c:manualLayout>
              </c:layout>
              <c:showLegendKey val="0"/>
              <c:showVal val="1"/>
              <c:showCatName val="0"/>
              <c:showSerName val="0"/>
              <c:showPercent val="0"/>
              <c:showBubbleSize val="0"/>
            </c:dLbl>
            <c:dLbl>
              <c:idx val="13"/>
              <c:layout>
                <c:manualLayout>
                  <c:x val="0"/>
                  <c:y val="-4.9200492004920049E-2"/>
                </c:manualLayout>
              </c:layout>
              <c:showLegendKey val="0"/>
              <c:showVal val="1"/>
              <c:showCatName val="0"/>
              <c:showSerName val="0"/>
              <c:showPercent val="0"/>
              <c:showBubbleSize val="0"/>
            </c:dLbl>
            <c:showLegendKey val="0"/>
            <c:showVal val="0"/>
            <c:showCatName val="0"/>
            <c:showSerName val="0"/>
            <c:showPercent val="0"/>
            <c:showBubbleSize val="0"/>
          </c:dLbls>
          <c:cat>
            <c:numRef>
              <c:f>Hoja1!$L$21:$L$34</c:f>
              <c:numCache>
                <c:formatCode>yyyy"年"mm"月"</c:formatCode>
                <c:ptCount val="14"/>
                <c:pt idx="0">
                  <c:v>41334</c:v>
                </c:pt>
                <c:pt idx="1">
                  <c:v>41365</c:v>
                </c:pt>
                <c:pt idx="2">
                  <c:v>41395</c:v>
                </c:pt>
                <c:pt idx="3">
                  <c:v>41426</c:v>
                </c:pt>
                <c:pt idx="4">
                  <c:v>41456</c:v>
                </c:pt>
                <c:pt idx="5">
                  <c:v>41487</c:v>
                </c:pt>
                <c:pt idx="6">
                  <c:v>41518</c:v>
                </c:pt>
                <c:pt idx="7">
                  <c:v>41548</c:v>
                </c:pt>
                <c:pt idx="8">
                  <c:v>41579</c:v>
                </c:pt>
                <c:pt idx="9">
                  <c:v>41609</c:v>
                </c:pt>
                <c:pt idx="10">
                  <c:v>41640</c:v>
                </c:pt>
                <c:pt idx="11">
                  <c:v>41671</c:v>
                </c:pt>
                <c:pt idx="12">
                  <c:v>41699</c:v>
                </c:pt>
                <c:pt idx="13">
                  <c:v>41730</c:v>
                </c:pt>
              </c:numCache>
            </c:numRef>
          </c:cat>
          <c:val>
            <c:numRef>
              <c:f>Hoja1!$M$21:$M$34</c:f>
              <c:numCache>
                <c:formatCode>#,##0.00</c:formatCode>
                <c:ptCount val="14"/>
                <c:pt idx="0">
                  <c:v>500</c:v>
                </c:pt>
                <c:pt idx="1">
                  <c:v>501.38</c:v>
                </c:pt>
                <c:pt idx="2">
                  <c:v>500.14000000000038</c:v>
                </c:pt>
                <c:pt idx="3">
                  <c:v>500.14000000000038</c:v>
                </c:pt>
                <c:pt idx="4">
                  <c:v>500.01</c:v>
                </c:pt>
                <c:pt idx="5">
                  <c:v>506.47999999999956</c:v>
                </c:pt>
                <c:pt idx="6">
                  <c:v>501.36</c:v>
                </c:pt>
                <c:pt idx="7">
                  <c:v>501.40999999999963</c:v>
                </c:pt>
                <c:pt idx="8">
                  <c:v>500.01</c:v>
                </c:pt>
                <c:pt idx="9">
                  <c:v>501.4299999999995</c:v>
                </c:pt>
                <c:pt idx="10">
                  <c:v>515.99</c:v>
                </c:pt>
                <c:pt idx="11">
                  <c:v>550.34999999999911</c:v>
                </c:pt>
                <c:pt idx="12">
                  <c:v>549.70000000000005</c:v>
                </c:pt>
                <c:pt idx="13">
                  <c:v>554.91</c:v>
                </c:pt>
              </c:numCache>
            </c:numRef>
          </c:val>
          <c:smooth val="0"/>
        </c:ser>
        <c:dLbls>
          <c:showLegendKey val="0"/>
          <c:showVal val="0"/>
          <c:showCatName val="0"/>
          <c:showSerName val="0"/>
          <c:showPercent val="0"/>
          <c:showBubbleSize val="0"/>
        </c:dLbls>
        <c:marker val="1"/>
        <c:smooth val="0"/>
        <c:axId val="93834240"/>
        <c:axId val="93844224"/>
      </c:lineChart>
      <c:dateAx>
        <c:axId val="93834240"/>
        <c:scaling>
          <c:orientation val="minMax"/>
        </c:scaling>
        <c:delete val="0"/>
        <c:axPos val="b"/>
        <c:numFmt formatCode="yyyy&quot;年&quot;mm&quot;月&quot;" sourceLinked="1"/>
        <c:majorTickMark val="none"/>
        <c:minorTickMark val="none"/>
        <c:tickLblPos val="nextTo"/>
        <c:txPr>
          <a:bodyPr/>
          <a:lstStyle/>
          <a:p>
            <a:pPr>
              <a:defRPr sz="800"/>
            </a:pPr>
            <a:endParaRPr lang="ja-JP"/>
          </a:p>
        </c:txPr>
        <c:crossAx val="93844224"/>
        <c:crosses val="autoZero"/>
        <c:auto val="1"/>
        <c:lblOffset val="100"/>
        <c:baseTimeUnit val="months"/>
      </c:dateAx>
      <c:valAx>
        <c:axId val="93844224"/>
        <c:scaling>
          <c:orientation val="minMax"/>
        </c:scaling>
        <c:delete val="0"/>
        <c:axPos val="l"/>
        <c:majorGridlines/>
        <c:title>
          <c:tx>
            <c:rich>
              <a:bodyPr rot="0" vert="horz"/>
              <a:lstStyle/>
              <a:p>
                <a:pPr>
                  <a:defRPr sz="800" b="0"/>
                </a:pPr>
                <a:r>
                  <a:rPr lang="en-US" altLang="ja-JP" sz="800" b="0"/>
                  <a:t>(</a:t>
                </a:r>
                <a:r>
                  <a:rPr lang="ja-JP" altLang="en-US" sz="800" b="0"/>
                  <a:t>コロン</a:t>
                </a:r>
                <a:r>
                  <a:rPr lang="en-US" altLang="ja-JP" sz="800" b="0"/>
                  <a:t>)</a:t>
                </a:r>
                <a:endParaRPr lang="ja-JP" altLang="en-US" sz="800" b="0"/>
              </a:p>
            </c:rich>
          </c:tx>
          <c:layout>
            <c:manualLayout>
              <c:xMode val="edge"/>
              <c:yMode val="edge"/>
              <c:x val="0.13055555555555537"/>
              <c:y val="5.6507363662875371E-2"/>
            </c:manualLayout>
          </c:layout>
          <c:overlay val="0"/>
        </c:title>
        <c:numFmt formatCode="#,##0_);\(#,##0\)" sourceLinked="0"/>
        <c:majorTickMark val="none"/>
        <c:minorTickMark val="none"/>
        <c:tickLblPos val="nextTo"/>
        <c:crossAx val="93834240"/>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ja-JP" altLang="en-US" sz="1000"/>
              <a:t>表１１　貸付金利の推移</a:t>
            </a:r>
            <a:r>
              <a:rPr lang="en-US" altLang="ja-JP" sz="1000"/>
              <a:t>(</a:t>
            </a:r>
            <a:r>
              <a:rPr lang="ja-JP" altLang="en-US" sz="1000"/>
              <a:t>製造者向け</a:t>
            </a:r>
            <a:r>
              <a:rPr lang="en-US" altLang="ja-JP" sz="1000"/>
              <a:t>)</a:t>
            </a:r>
            <a:endParaRPr lang="ja-JP" altLang="en-US" sz="1000"/>
          </a:p>
        </c:rich>
      </c:tx>
      <c:layout>
        <c:manualLayout>
          <c:xMode val="edge"/>
          <c:yMode val="edge"/>
          <c:x val="0.27238803482897972"/>
          <c:y val="1.4414272982232362E-2"/>
        </c:manualLayout>
      </c:layout>
      <c:overlay val="0"/>
    </c:title>
    <c:autoTitleDeleted val="0"/>
    <c:plotArea>
      <c:layout>
        <c:manualLayout>
          <c:layoutTarget val="inner"/>
          <c:xMode val="edge"/>
          <c:yMode val="edge"/>
          <c:x val="0.1188954409237718"/>
          <c:y val="0.23152846634911378"/>
          <c:w val="0.78016530994655842"/>
          <c:h val="0.55648799455623477"/>
        </c:manualLayout>
      </c:layout>
      <c:lineChart>
        <c:grouping val="standard"/>
        <c:varyColors val="0"/>
        <c:ser>
          <c:idx val="0"/>
          <c:order val="0"/>
          <c:tx>
            <c:strRef>
              <c:f>Hoja1!$B$38</c:f>
              <c:strCache>
                <c:ptCount val="1"/>
                <c:pt idx="0">
                  <c:v>コロン建て　国立銀行</c:v>
                </c:pt>
              </c:strCache>
            </c:strRef>
          </c:tx>
          <c:dLbls>
            <c:dLbl>
              <c:idx val="12"/>
              <c:layout>
                <c:manualLayout>
                  <c:x val="-4.7059117610298712E-2"/>
                  <c:y val="2.1565481884857851E-2"/>
                </c:manualLayout>
              </c:layout>
              <c:showLegendKey val="0"/>
              <c:showVal val="1"/>
              <c:showCatName val="0"/>
              <c:showSerName val="0"/>
              <c:showPercent val="0"/>
              <c:showBubbleSize val="0"/>
            </c:dLbl>
            <c:dLbl>
              <c:idx val="13"/>
              <c:layout/>
              <c:showLegendKey val="0"/>
              <c:showVal val="1"/>
              <c:showCatName val="0"/>
              <c:showSerName val="0"/>
              <c:showPercent val="0"/>
              <c:showBubbleSize val="0"/>
            </c:dLbl>
            <c:txPr>
              <a:bodyPr/>
              <a:lstStyle/>
              <a:p>
                <a:pPr>
                  <a:defRPr sz="800"/>
                </a:pPr>
                <a:endParaRPr lang="ja-JP"/>
              </a:p>
            </c:txPr>
            <c:showLegendKey val="0"/>
            <c:showVal val="0"/>
            <c:showCatName val="0"/>
            <c:showSerName val="0"/>
            <c:showPercent val="0"/>
            <c:showBubbleSize val="0"/>
          </c:dLbls>
          <c:cat>
            <c:numRef>
              <c:f>Hoja1!$A$39:$A$52</c:f>
              <c:numCache>
                <c:formatCode>yyyy"年"mm"月"</c:formatCode>
                <c:ptCount val="14"/>
                <c:pt idx="0">
                  <c:v>41334</c:v>
                </c:pt>
                <c:pt idx="1">
                  <c:v>41365</c:v>
                </c:pt>
                <c:pt idx="2">
                  <c:v>41395</c:v>
                </c:pt>
                <c:pt idx="3">
                  <c:v>41426</c:v>
                </c:pt>
                <c:pt idx="4">
                  <c:v>41456</c:v>
                </c:pt>
                <c:pt idx="5">
                  <c:v>41487</c:v>
                </c:pt>
                <c:pt idx="6">
                  <c:v>41518</c:v>
                </c:pt>
                <c:pt idx="7">
                  <c:v>41548</c:v>
                </c:pt>
                <c:pt idx="8">
                  <c:v>41579</c:v>
                </c:pt>
                <c:pt idx="9">
                  <c:v>41609</c:v>
                </c:pt>
                <c:pt idx="10">
                  <c:v>41640</c:v>
                </c:pt>
                <c:pt idx="11">
                  <c:v>41671</c:v>
                </c:pt>
                <c:pt idx="12">
                  <c:v>41699</c:v>
                </c:pt>
                <c:pt idx="13">
                  <c:v>41730</c:v>
                </c:pt>
              </c:numCache>
            </c:numRef>
          </c:cat>
          <c:val>
            <c:numRef>
              <c:f>Hoja1!$B$39:$B$52</c:f>
              <c:numCache>
                <c:formatCode>#,##0.00</c:formatCode>
                <c:ptCount val="14"/>
                <c:pt idx="0">
                  <c:v>16.537252120000041</c:v>
                </c:pt>
                <c:pt idx="1">
                  <c:v>16.087421969999987</c:v>
                </c:pt>
                <c:pt idx="2">
                  <c:v>15.60051361</c:v>
                </c:pt>
                <c:pt idx="3" formatCode="General">
                  <c:v>14.99</c:v>
                </c:pt>
                <c:pt idx="4" formatCode="General">
                  <c:v>14.9</c:v>
                </c:pt>
                <c:pt idx="5" formatCode="General">
                  <c:v>13.450000000000006</c:v>
                </c:pt>
                <c:pt idx="6" formatCode="General">
                  <c:v>13.239999999999998</c:v>
                </c:pt>
                <c:pt idx="7" formatCode="General">
                  <c:v>13.68</c:v>
                </c:pt>
                <c:pt idx="8" formatCode="General">
                  <c:v>13.82</c:v>
                </c:pt>
                <c:pt idx="9" formatCode="General">
                  <c:v>14.39</c:v>
                </c:pt>
                <c:pt idx="10">
                  <c:v>14.846205169999999</c:v>
                </c:pt>
                <c:pt idx="11">
                  <c:v>14.81090873</c:v>
                </c:pt>
                <c:pt idx="12">
                  <c:v>15.036976179999998</c:v>
                </c:pt>
                <c:pt idx="13">
                  <c:v>15.57</c:v>
                </c:pt>
              </c:numCache>
            </c:numRef>
          </c:val>
          <c:smooth val="0"/>
        </c:ser>
        <c:ser>
          <c:idx val="1"/>
          <c:order val="1"/>
          <c:tx>
            <c:strRef>
              <c:f>Hoja1!$C$38</c:f>
              <c:strCache>
                <c:ptCount val="1"/>
                <c:pt idx="0">
                  <c:v>ドル建て　国立銀行</c:v>
                </c:pt>
              </c:strCache>
            </c:strRef>
          </c:tx>
          <c:dLbls>
            <c:dLbl>
              <c:idx val="12"/>
              <c:layout>
                <c:manualLayout>
                  <c:x val="-4.9673202614378985E-2"/>
                  <c:y val="-3.2432432432432441E-2"/>
                </c:manualLayout>
              </c:layout>
              <c:showLegendKey val="0"/>
              <c:showVal val="1"/>
              <c:showCatName val="0"/>
              <c:showSerName val="0"/>
              <c:showPercent val="0"/>
              <c:showBubbleSize val="0"/>
            </c:dLbl>
            <c:dLbl>
              <c:idx val="13"/>
              <c:layout>
                <c:manualLayout>
                  <c:x val="-2.9100529100529005E-2"/>
                  <c:y val="-3.5485891366382943E-2"/>
                </c:manualLayout>
              </c:layout>
              <c:showLegendKey val="0"/>
              <c:showVal val="1"/>
              <c:showCatName val="0"/>
              <c:showSerName val="0"/>
              <c:showPercent val="0"/>
              <c:showBubbleSize val="0"/>
            </c:dLbl>
            <c:txPr>
              <a:bodyPr/>
              <a:lstStyle/>
              <a:p>
                <a:pPr>
                  <a:defRPr sz="800"/>
                </a:pPr>
                <a:endParaRPr lang="ja-JP"/>
              </a:p>
            </c:txPr>
            <c:showLegendKey val="0"/>
            <c:showVal val="0"/>
            <c:showCatName val="0"/>
            <c:showSerName val="0"/>
            <c:showPercent val="0"/>
            <c:showBubbleSize val="0"/>
          </c:dLbls>
          <c:cat>
            <c:numRef>
              <c:f>Hoja1!$A$39:$A$52</c:f>
              <c:numCache>
                <c:formatCode>yyyy"年"mm"月"</c:formatCode>
                <c:ptCount val="14"/>
                <c:pt idx="0">
                  <c:v>41334</c:v>
                </c:pt>
                <c:pt idx="1">
                  <c:v>41365</c:v>
                </c:pt>
                <c:pt idx="2">
                  <c:v>41395</c:v>
                </c:pt>
                <c:pt idx="3">
                  <c:v>41426</c:v>
                </c:pt>
                <c:pt idx="4">
                  <c:v>41456</c:v>
                </c:pt>
                <c:pt idx="5">
                  <c:v>41487</c:v>
                </c:pt>
                <c:pt idx="6">
                  <c:v>41518</c:v>
                </c:pt>
                <c:pt idx="7">
                  <c:v>41548</c:v>
                </c:pt>
                <c:pt idx="8">
                  <c:v>41579</c:v>
                </c:pt>
                <c:pt idx="9">
                  <c:v>41609</c:v>
                </c:pt>
                <c:pt idx="10">
                  <c:v>41640</c:v>
                </c:pt>
                <c:pt idx="11">
                  <c:v>41671</c:v>
                </c:pt>
                <c:pt idx="12">
                  <c:v>41699</c:v>
                </c:pt>
                <c:pt idx="13">
                  <c:v>41730</c:v>
                </c:pt>
              </c:numCache>
            </c:numRef>
          </c:cat>
          <c:val>
            <c:numRef>
              <c:f>Hoja1!$C$39:$C$52</c:f>
              <c:numCache>
                <c:formatCode>General</c:formatCode>
                <c:ptCount val="14"/>
                <c:pt idx="0">
                  <c:v>10.860000000000012</c:v>
                </c:pt>
                <c:pt idx="1">
                  <c:v>10.75</c:v>
                </c:pt>
                <c:pt idx="2">
                  <c:v>10.52</c:v>
                </c:pt>
                <c:pt idx="3">
                  <c:v>10.5</c:v>
                </c:pt>
                <c:pt idx="4">
                  <c:v>10.33</c:v>
                </c:pt>
                <c:pt idx="5">
                  <c:v>9.41</c:v>
                </c:pt>
                <c:pt idx="6">
                  <c:v>9.4</c:v>
                </c:pt>
                <c:pt idx="7">
                  <c:v>10.07</c:v>
                </c:pt>
                <c:pt idx="8">
                  <c:v>10.200000000000001</c:v>
                </c:pt>
                <c:pt idx="9">
                  <c:v>10.360000000000012</c:v>
                </c:pt>
                <c:pt idx="10">
                  <c:v>10.53</c:v>
                </c:pt>
                <c:pt idx="11">
                  <c:v>10.89</c:v>
                </c:pt>
                <c:pt idx="12">
                  <c:v>11.03</c:v>
                </c:pt>
                <c:pt idx="13">
                  <c:v>10.98</c:v>
                </c:pt>
              </c:numCache>
            </c:numRef>
          </c:val>
          <c:smooth val="0"/>
        </c:ser>
        <c:ser>
          <c:idx val="2"/>
          <c:order val="2"/>
          <c:tx>
            <c:strRef>
              <c:f>Hoja1!$D$38</c:f>
              <c:strCache>
                <c:ptCount val="1"/>
                <c:pt idx="0">
                  <c:v>コロン建て　民間銀行</c:v>
                </c:pt>
              </c:strCache>
            </c:strRef>
          </c:tx>
          <c:dLbls>
            <c:dLbl>
              <c:idx val="12"/>
              <c:layout>
                <c:manualLayout>
                  <c:x val="-5.751633986928105E-2"/>
                  <c:y val="-4.3243243243243294E-2"/>
                </c:manualLayout>
              </c:layout>
              <c:showLegendKey val="0"/>
              <c:showVal val="1"/>
              <c:showCatName val="0"/>
              <c:showSerName val="0"/>
              <c:showPercent val="0"/>
              <c:showBubbleSize val="0"/>
            </c:dLbl>
            <c:dLbl>
              <c:idx val="13"/>
              <c:layout>
                <c:manualLayout>
                  <c:x val="-4.1830065359477017E-2"/>
                  <c:y val="-5.4054054054054092E-2"/>
                </c:manualLayout>
              </c:layout>
              <c:showLegendKey val="0"/>
              <c:showVal val="1"/>
              <c:showCatName val="0"/>
              <c:showSerName val="0"/>
              <c:showPercent val="0"/>
              <c:showBubbleSize val="0"/>
            </c:dLbl>
            <c:txPr>
              <a:bodyPr/>
              <a:lstStyle/>
              <a:p>
                <a:pPr>
                  <a:defRPr sz="800"/>
                </a:pPr>
                <a:endParaRPr lang="ja-JP"/>
              </a:p>
            </c:txPr>
            <c:showLegendKey val="0"/>
            <c:showVal val="0"/>
            <c:showCatName val="0"/>
            <c:showSerName val="0"/>
            <c:showPercent val="0"/>
            <c:showBubbleSize val="0"/>
          </c:dLbls>
          <c:cat>
            <c:numRef>
              <c:f>Hoja1!$A$39:$A$52</c:f>
              <c:numCache>
                <c:formatCode>yyyy"年"mm"月"</c:formatCode>
                <c:ptCount val="14"/>
                <c:pt idx="0">
                  <c:v>41334</c:v>
                </c:pt>
                <c:pt idx="1">
                  <c:v>41365</c:v>
                </c:pt>
                <c:pt idx="2">
                  <c:v>41395</c:v>
                </c:pt>
                <c:pt idx="3">
                  <c:v>41426</c:v>
                </c:pt>
                <c:pt idx="4">
                  <c:v>41456</c:v>
                </c:pt>
                <c:pt idx="5">
                  <c:v>41487</c:v>
                </c:pt>
                <c:pt idx="6">
                  <c:v>41518</c:v>
                </c:pt>
                <c:pt idx="7">
                  <c:v>41548</c:v>
                </c:pt>
                <c:pt idx="8">
                  <c:v>41579</c:v>
                </c:pt>
                <c:pt idx="9">
                  <c:v>41609</c:v>
                </c:pt>
                <c:pt idx="10">
                  <c:v>41640</c:v>
                </c:pt>
                <c:pt idx="11">
                  <c:v>41671</c:v>
                </c:pt>
                <c:pt idx="12">
                  <c:v>41699</c:v>
                </c:pt>
                <c:pt idx="13">
                  <c:v>41730</c:v>
                </c:pt>
              </c:numCache>
            </c:numRef>
          </c:cat>
          <c:val>
            <c:numRef>
              <c:f>Hoja1!$D$39:$D$52</c:f>
              <c:numCache>
                <c:formatCode>#,##0.00</c:formatCode>
                <c:ptCount val="14"/>
                <c:pt idx="0">
                  <c:v>15.987632540000014</c:v>
                </c:pt>
                <c:pt idx="1">
                  <c:v>16.332875940000037</c:v>
                </c:pt>
                <c:pt idx="2">
                  <c:v>15.56992545</c:v>
                </c:pt>
                <c:pt idx="3">
                  <c:v>15.618577979999998</c:v>
                </c:pt>
                <c:pt idx="4">
                  <c:v>15.541541449999999</c:v>
                </c:pt>
                <c:pt idx="5">
                  <c:v>15.798410159999998</c:v>
                </c:pt>
                <c:pt idx="6">
                  <c:v>15.959327530000012</c:v>
                </c:pt>
                <c:pt idx="7">
                  <c:v>16.52536239999997</c:v>
                </c:pt>
                <c:pt idx="8">
                  <c:v>16.553779029999987</c:v>
                </c:pt>
                <c:pt idx="9">
                  <c:v>16.631700899999988</c:v>
                </c:pt>
                <c:pt idx="10">
                  <c:v>17.47937947999997</c:v>
                </c:pt>
                <c:pt idx="11">
                  <c:v>17.40694736</c:v>
                </c:pt>
                <c:pt idx="12">
                  <c:v>18.48121533999997</c:v>
                </c:pt>
                <c:pt idx="13">
                  <c:v>16.8</c:v>
                </c:pt>
              </c:numCache>
            </c:numRef>
          </c:val>
          <c:smooth val="0"/>
        </c:ser>
        <c:ser>
          <c:idx val="3"/>
          <c:order val="3"/>
          <c:tx>
            <c:strRef>
              <c:f>Hoja1!$E$38</c:f>
              <c:strCache>
                <c:ptCount val="1"/>
                <c:pt idx="0">
                  <c:v>ドル建て　民間銀行</c:v>
                </c:pt>
              </c:strCache>
            </c:strRef>
          </c:tx>
          <c:dLbls>
            <c:dLbl>
              <c:idx val="12"/>
              <c:layout>
                <c:manualLayout>
                  <c:x val="-5.751633986928105E-2"/>
                  <c:y val="4.6846846846846917E-2"/>
                </c:manualLayout>
              </c:layout>
              <c:showLegendKey val="0"/>
              <c:showVal val="1"/>
              <c:showCatName val="0"/>
              <c:showSerName val="0"/>
              <c:showPercent val="0"/>
              <c:showBubbleSize val="0"/>
            </c:dLbl>
            <c:dLbl>
              <c:idx val="13"/>
              <c:layout>
                <c:manualLayout>
                  <c:x val="-3.1372549019607746E-2"/>
                  <c:y val="2.8828828828828829E-2"/>
                </c:manualLayout>
              </c:layout>
              <c:showLegendKey val="0"/>
              <c:showVal val="1"/>
              <c:showCatName val="0"/>
              <c:showSerName val="0"/>
              <c:showPercent val="0"/>
              <c:showBubbleSize val="0"/>
            </c:dLbl>
            <c:txPr>
              <a:bodyPr/>
              <a:lstStyle/>
              <a:p>
                <a:pPr>
                  <a:defRPr sz="800"/>
                </a:pPr>
                <a:endParaRPr lang="ja-JP"/>
              </a:p>
            </c:txPr>
            <c:showLegendKey val="0"/>
            <c:showVal val="0"/>
            <c:showCatName val="0"/>
            <c:showSerName val="0"/>
            <c:showPercent val="0"/>
            <c:showBubbleSize val="0"/>
          </c:dLbls>
          <c:cat>
            <c:numRef>
              <c:f>Hoja1!$A$39:$A$52</c:f>
              <c:numCache>
                <c:formatCode>yyyy"年"mm"月"</c:formatCode>
                <c:ptCount val="14"/>
                <c:pt idx="0">
                  <c:v>41334</c:v>
                </c:pt>
                <c:pt idx="1">
                  <c:v>41365</c:v>
                </c:pt>
                <c:pt idx="2">
                  <c:v>41395</c:v>
                </c:pt>
                <c:pt idx="3">
                  <c:v>41426</c:v>
                </c:pt>
                <c:pt idx="4">
                  <c:v>41456</c:v>
                </c:pt>
                <c:pt idx="5">
                  <c:v>41487</c:v>
                </c:pt>
                <c:pt idx="6">
                  <c:v>41518</c:v>
                </c:pt>
                <c:pt idx="7">
                  <c:v>41548</c:v>
                </c:pt>
                <c:pt idx="8">
                  <c:v>41579</c:v>
                </c:pt>
                <c:pt idx="9">
                  <c:v>41609</c:v>
                </c:pt>
                <c:pt idx="10">
                  <c:v>41640</c:v>
                </c:pt>
                <c:pt idx="11">
                  <c:v>41671</c:v>
                </c:pt>
                <c:pt idx="12">
                  <c:v>41699</c:v>
                </c:pt>
                <c:pt idx="13">
                  <c:v>41730</c:v>
                </c:pt>
              </c:numCache>
            </c:numRef>
          </c:cat>
          <c:val>
            <c:numRef>
              <c:f>Hoja1!$E$39:$E$52</c:f>
              <c:numCache>
                <c:formatCode>#,##0.00</c:formatCode>
                <c:ptCount val="14"/>
                <c:pt idx="0">
                  <c:v>8.8634005900000226</c:v>
                </c:pt>
                <c:pt idx="1">
                  <c:v>8.741776429999998</c:v>
                </c:pt>
                <c:pt idx="2">
                  <c:v>8.7434376500000006</c:v>
                </c:pt>
                <c:pt idx="3">
                  <c:v>8.6728081499999998</c:v>
                </c:pt>
                <c:pt idx="4">
                  <c:v>8.9016103200000014</c:v>
                </c:pt>
                <c:pt idx="5">
                  <c:v>8.85126363</c:v>
                </c:pt>
                <c:pt idx="6">
                  <c:v>8.8784769600000004</c:v>
                </c:pt>
                <c:pt idx="7">
                  <c:v>9.2223639799999972</c:v>
                </c:pt>
                <c:pt idx="8">
                  <c:v>9.3767110200000001</c:v>
                </c:pt>
                <c:pt idx="9">
                  <c:v>9.478106480000001</c:v>
                </c:pt>
                <c:pt idx="10">
                  <c:v>10.030506070000012</c:v>
                </c:pt>
                <c:pt idx="11">
                  <c:v>10.060305870000002</c:v>
                </c:pt>
                <c:pt idx="12">
                  <c:v>10.117023779999997</c:v>
                </c:pt>
                <c:pt idx="13">
                  <c:v>10</c:v>
                </c:pt>
              </c:numCache>
            </c:numRef>
          </c:val>
          <c:smooth val="0"/>
        </c:ser>
        <c:ser>
          <c:idx val="4"/>
          <c:order val="4"/>
          <c:tx>
            <c:strRef>
              <c:f>Hoja1!$F$38</c:f>
              <c:strCache>
                <c:ptCount val="1"/>
                <c:pt idx="0">
                  <c:v>基本預金金利(TBP)</c:v>
                </c:pt>
              </c:strCache>
            </c:strRef>
          </c:tx>
          <c:dLbls>
            <c:dLbl>
              <c:idx val="11"/>
              <c:layout>
                <c:manualLayout>
                  <c:x val="-5.4901960784313732E-2"/>
                  <c:y val="4.3243243243243294E-2"/>
                </c:manualLayout>
              </c:layout>
              <c:showLegendKey val="0"/>
              <c:showVal val="1"/>
              <c:showCatName val="0"/>
              <c:showSerName val="0"/>
              <c:showPercent val="0"/>
              <c:showBubbleSize val="0"/>
            </c:dLbl>
            <c:dLbl>
              <c:idx val="12"/>
              <c:layout>
                <c:manualLayout>
                  <c:x val="-4.7058823529411743E-2"/>
                  <c:y val="3.9639639639639651E-2"/>
                </c:manualLayout>
              </c:layout>
              <c:showLegendKey val="0"/>
              <c:showVal val="1"/>
              <c:showCatName val="0"/>
              <c:showSerName val="0"/>
              <c:showPercent val="0"/>
              <c:showBubbleSize val="0"/>
            </c:dLbl>
            <c:dLbl>
              <c:idx val="13"/>
              <c:layout>
                <c:manualLayout>
                  <c:x val="-1.5686274509803921E-2"/>
                  <c:y val="4.3243243243243294E-2"/>
                </c:manualLayout>
              </c:layout>
              <c:showLegendKey val="0"/>
              <c:showVal val="1"/>
              <c:showCatName val="0"/>
              <c:showSerName val="0"/>
              <c:showPercent val="0"/>
              <c:showBubbleSize val="0"/>
            </c:dLbl>
            <c:txPr>
              <a:bodyPr/>
              <a:lstStyle/>
              <a:p>
                <a:pPr>
                  <a:defRPr sz="800" b="1"/>
                </a:pPr>
                <a:endParaRPr lang="ja-JP"/>
              </a:p>
            </c:txPr>
            <c:showLegendKey val="0"/>
            <c:showVal val="0"/>
            <c:showCatName val="0"/>
            <c:showSerName val="0"/>
            <c:showPercent val="0"/>
            <c:showBubbleSize val="0"/>
          </c:dLbls>
          <c:cat>
            <c:numRef>
              <c:f>Hoja1!$A$39:$A$52</c:f>
              <c:numCache>
                <c:formatCode>yyyy"年"mm"月"</c:formatCode>
                <c:ptCount val="14"/>
                <c:pt idx="0">
                  <c:v>41334</c:v>
                </c:pt>
                <c:pt idx="1">
                  <c:v>41365</c:v>
                </c:pt>
                <c:pt idx="2">
                  <c:v>41395</c:v>
                </c:pt>
                <c:pt idx="3">
                  <c:v>41426</c:v>
                </c:pt>
                <c:pt idx="4">
                  <c:v>41456</c:v>
                </c:pt>
                <c:pt idx="5">
                  <c:v>41487</c:v>
                </c:pt>
                <c:pt idx="6">
                  <c:v>41518</c:v>
                </c:pt>
                <c:pt idx="7">
                  <c:v>41548</c:v>
                </c:pt>
                <c:pt idx="8">
                  <c:v>41579</c:v>
                </c:pt>
                <c:pt idx="9">
                  <c:v>41609</c:v>
                </c:pt>
                <c:pt idx="10">
                  <c:v>41640</c:v>
                </c:pt>
                <c:pt idx="11">
                  <c:v>41671</c:v>
                </c:pt>
                <c:pt idx="12">
                  <c:v>41699</c:v>
                </c:pt>
                <c:pt idx="13">
                  <c:v>41730</c:v>
                </c:pt>
              </c:numCache>
            </c:numRef>
          </c:cat>
          <c:val>
            <c:numRef>
              <c:f>Hoja1!$F$39:$F$52</c:f>
              <c:numCache>
                <c:formatCode>#,##0.00</c:formatCode>
                <c:ptCount val="14"/>
                <c:pt idx="0">
                  <c:v>6.95</c:v>
                </c:pt>
                <c:pt idx="1">
                  <c:v>6.75</c:v>
                </c:pt>
                <c:pt idx="2">
                  <c:v>6.6499999999999995</c:v>
                </c:pt>
                <c:pt idx="3">
                  <c:v>6.6</c:v>
                </c:pt>
                <c:pt idx="4">
                  <c:v>6.55</c:v>
                </c:pt>
                <c:pt idx="5">
                  <c:v>6.55</c:v>
                </c:pt>
                <c:pt idx="6">
                  <c:v>6.55</c:v>
                </c:pt>
                <c:pt idx="7">
                  <c:v>6.55</c:v>
                </c:pt>
                <c:pt idx="8">
                  <c:v>6.55</c:v>
                </c:pt>
                <c:pt idx="9">
                  <c:v>6.5</c:v>
                </c:pt>
                <c:pt idx="10">
                  <c:v>6.55</c:v>
                </c:pt>
                <c:pt idx="11">
                  <c:v>6.5</c:v>
                </c:pt>
                <c:pt idx="12">
                  <c:v>6.6</c:v>
                </c:pt>
                <c:pt idx="13">
                  <c:v>6.7</c:v>
                </c:pt>
              </c:numCache>
            </c:numRef>
          </c:val>
          <c:smooth val="0"/>
        </c:ser>
        <c:dLbls>
          <c:showLegendKey val="0"/>
          <c:showVal val="0"/>
          <c:showCatName val="0"/>
          <c:showSerName val="0"/>
          <c:showPercent val="0"/>
          <c:showBubbleSize val="0"/>
        </c:dLbls>
        <c:marker val="1"/>
        <c:smooth val="0"/>
        <c:axId val="60877056"/>
        <c:axId val="62308352"/>
      </c:lineChart>
      <c:dateAx>
        <c:axId val="60877056"/>
        <c:scaling>
          <c:orientation val="minMax"/>
        </c:scaling>
        <c:delete val="0"/>
        <c:axPos val="b"/>
        <c:numFmt formatCode="yyyy&quot;年&quot;mm&quot;月&quot;" sourceLinked="1"/>
        <c:majorTickMark val="none"/>
        <c:minorTickMark val="none"/>
        <c:tickLblPos val="nextTo"/>
        <c:txPr>
          <a:bodyPr/>
          <a:lstStyle/>
          <a:p>
            <a:pPr>
              <a:defRPr sz="800"/>
            </a:pPr>
            <a:endParaRPr lang="ja-JP"/>
          </a:p>
        </c:txPr>
        <c:crossAx val="62308352"/>
        <c:crosses val="autoZero"/>
        <c:auto val="1"/>
        <c:lblOffset val="100"/>
        <c:baseTimeUnit val="months"/>
      </c:dateAx>
      <c:valAx>
        <c:axId val="62308352"/>
        <c:scaling>
          <c:orientation val="minMax"/>
        </c:scaling>
        <c:delete val="0"/>
        <c:axPos val="l"/>
        <c:majorGridlines/>
        <c:title>
          <c:tx>
            <c:rich>
              <a:bodyPr rot="0" vert="horz"/>
              <a:lstStyle/>
              <a:p>
                <a:pPr>
                  <a:defRPr b="0"/>
                </a:pPr>
                <a:r>
                  <a:rPr lang="en-US" altLang="ja-JP" b="0"/>
                  <a:t>(%)</a:t>
                </a:r>
                <a:endParaRPr lang="ja-JP" altLang="en-US" b="0"/>
              </a:p>
            </c:rich>
          </c:tx>
          <c:layout>
            <c:manualLayout>
              <c:xMode val="edge"/>
              <c:yMode val="edge"/>
              <c:x val="5.8305685101087294E-2"/>
              <c:y val="0.15432526489744391"/>
            </c:manualLayout>
          </c:layout>
          <c:overlay val="0"/>
        </c:title>
        <c:numFmt formatCode="#,##0_ " sourceLinked="0"/>
        <c:majorTickMark val="none"/>
        <c:minorTickMark val="none"/>
        <c:tickLblPos val="nextTo"/>
        <c:crossAx val="60877056"/>
        <c:crosses val="autoZero"/>
        <c:crossBetween val="between"/>
      </c:valAx>
    </c:plotArea>
    <c:legend>
      <c:legendPos val="r"/>
      <c:layout>
        <c:manualLayout>
          <c:xMode val="edge"/>
          <c:yMode val="edge"/>
          <c:x val="0.16191018815065394"/>
          <c:y val="9.2354233498590468E-2"/>
          <c:w val="0.74640697484493657"/>
          <c:h val="0.11978147176047457"/>
        </c:manualLayout>
      </c:layout>
      <c:overlay val="0"/>
      <c:txPr>
        <a:bodyPr/>
        <a:lstStyle/>
        <a:p>
          <a:pPr>
            <a:defRPr sz="800"/>
          </a:pPr>
          <a:endParaRPr lang="ja-JP"/>
        </a:p>
      </c:txPr>
    </c:legend>
    <c:plotVisOnly val="1"/>
    <c:dispBlanksAs val="gap"/>
    <c:showDLblsOverMax val="0"/>
  </c:chart>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ja-JP" altLang="en-US" sz="1200"/>
              <a:t>米ドル準備高</a:t>
            </a:r>
            <a:r>
              <a:rPr lang="en-US" altLang="ja-JP" sz="1200"/>
              <a:t>(</a:t>
            </a:r>
            <a:r>
              <a:rPr lang="ja-JP" altLang="en-US" sz="1200"/>
              <a:t>月末値</a:t>
            </a:r>
            <a:r>
              <a:rPr lang="en-US" altLang="ja-JP" sz="1200"/>
              <a:t>)</a:t>
            </a:r>
            <a:endParaRPr lang="ja-JP" altLang="en-US" sz="1200"/>
          </a:p>
        </c:rich>
      </c:tx>
      <c:layout/>
      <c:overlay val="0"/>
    </c:title>
    <c:autoTitleDeleted val="0"/>
    <c:plotArea>
      <c:layout/>
      <c:barChart>
        <c:barDir val="col"/>
        <c:grouping val="clustered"/>
        <c:varyColors val="0"/>
        <c:ser>
          <c:idx val="0"/>
          <c:order val="0"/>
          <c:tx>
            <c:strRef>
              <c:f>Hoja1!$K$5</c:f>
              <c:strCache>
                <c:ptCount val="1"/>
                <c:pt idx="0">
                  <c:v>2013年</c:v>
                </c:pt>
              </c:strCache>
            </c:strRef>
          </c:tx>
          <c:invertIfNegative val="0"/>
          <c:dLbls>
            <c:dLbl>
              <c:idx val="2"/>
              <c:layout/>
              <c:showLegendKey val="0"/>
              <c:showVal val="1"/>
              <c:showCatName val="0"/>
              <c:showSerName val="0"/>
              <c:showPercent val="0"/>
              <c:showBubbleSize val="0"/>
            </c:dLbl>
            <c:dLbl>
              <c:idx val="3"/>
              <c:layout/>
              <c:showLegendKey val="0"/>
              <c:showVal val="1"/>
              <c:showCatName val="0"/>
              <c:showSerName val="0"/>
              <c:showPercent val="0"/>
              <c:showBubbleSize val="0"/>
            </c:dLbl>
            <c:txPr>
              <a:bodyPr/>
              <a:lstStyle/>
              <a:p>
                <a:pPr>
                  <a:defRPr sz="800" b="0" i="1"/>
                </a:pPr>
                <a:endParaRPr lang="ja-JP"/>
              </a:p>
            </c:txPr>
            <c:showLegendKey val="0"/>
            <c:showVal val="0"/>
            <c:showCatName val="0"/>
            <c:showSerName val="0"/>
            <c:showPercent val="0"/>
            <c:showBubbleSize val="0"/>
          </c:dLbls>
          <c:cat>
            <c:strRef>
              <c:f>Hoja1!$J$6:$J$17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Hoja1!$K$6:$K$17</c:f>
              <c:numCache>
                <c:formatCode>#,##0.0</c:formatCode>
                <c:ptCount val="12"/>
                <c:pt idx="0">
                  <c:v>6748.7871541199993</c:v>
                </c:pt>
                <c:pt idx="1">
                  <c:v>6816.2660269300004</c:v>
                </c:pt>
                <c:pt idx="2">
                  <c:v>6936.8452548100004</c:v>
                </c:pt>
                <c:pt idx="3">
                  <c:v>7960.4042082399992</c:v>
                </c:pt>
                <c:pt idx="4">
                  <c:v>7885.1966123700004</c:v>
                </c:pt>
                <c:pt idx="5">
                  <c:v>7877.8188838399992</c:v>
                </c:pt>
                <c:pt idx="6">
                  <c:v>7723.7136800399994</c:v>
                </c:pt>
                <c:pt idx="7">
                  <c:v>7719.4431214500073</c:v>
                </c:pt>
                <c:pt idx="8">
                  <c:v>7617.3580926499999</c:v>
                </c:pt>
                <c:pt idx="9">
                  <c:v>7441.1258433500034</c:v>
                </c:pt>
                <c:pt idx="10">
                  <c:v>7398.0345456199993</c:v>
                </c:pt>
                <c:pt idx="11">
                  <c:v>7330.8633171600004</c:v>
                </c:pt>
              </c:numCache>
            </c:numRef>
          </c:val>
        </c:ser>
        <c:ser>
          <c:idx val="1"/>
          <c:order val="1"/>
          <c:tx>
            <c:strRef>
              <c:f>Hoja1!$L$5</c:f>
              <c:strCache>
                <c:ptCount val="1"/>
                <c:pt idx="0">
                  <c:v>2014年</c:v>
                </c:pt>
              </c:strCache>
            </c:strRef>
          </c:tx>
          <c:invertIfNegative val="0"/>
          <c:dLbls>
            <c:dLbl>
              <c:idx val="2"/>
              <c:layout/>
              <c:showLegendKey val="0"/>
              <c:showVal val="1"/>
              <c:showCatName val="0"/>
              <c:showSerName val="0"/>
              <c:showPercent val="0"/>
              <c:showBubbleSize val="0"/>
            </c:dLbl>
            <c:dLbl>
              <c:idx val="3"/>
              <c:layout/>
              <c:showLegendKey val="0"/>
              <c:showVal val="1"/>
              <c:showCatName val="0"/>
              <c:showSerName val="0"/>
              <c:showPercent val="0"/>
              <c:showBubbleSize val="0"/>
            </c:dLbl>
            <c:txPr>
              <a:bodyPr/>
              <a:lstStyle/>
              <a:p>
                <a:pPr>
                  <a:defRPr sz="800" b="1" i="0"/>
                </a:pPr>
                <a:endParaRPr lang="ja-JP"/>
              </a:p>
            </c:txPr>
            <c:showLegendKey val="0"/>
            <c:showVal val="0"/>
            <c:showCatName val="0"/>
            <c:showSerName val="0"/>
            <c:showPercent val="0"/>
            <c:showBubbleSize val="0"/>
          </c:dLbls>
          <c:cat>
            <c:strRef>
              <c:f>Hoja1!$J$6:$J$17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Hoja1!$L$6:$L$17</c:f>
              <c:numCache>
                <c:formatCode>#,##0.0</c:formatCode>
                <c:ptCount val="12"/>
                <c:pt idx="0">
                  <c:v>7258.3436738600003</c:v>
                </c:pt>
                <c:pt idx="1">
                  <c:v>7275.1072810700034</c:v>
                </c:pt>
                <c:pt idx="2">
                  <c:v>6785.6</c:v>
                </c:pt>
                <c:pt idx="3">
                  <c:v>7766.8</c:v>
                </c:pt>
              </c:numCache>
            </c:numRef>
          </c:val>
        </c:ser>
        <c:dLbls>
          <c:showLegendKey val="0"/>
          <c:showVal val="0"/>
          <c:showCatName val="0"/>
          <c:showSerName val="0"/>
          <c:showPercent val="0"/>
          <c:showBubbleSize val="0"/>
        </c:dLbls>
        <c:gapWidth val="150"/>
        <c:axId val="93874048"/>
        <c:axId val="93875584"/>
      </c:barChart>
      <c:catAx>
        <c:axId val="93874048"/>
        <c:scaling>
          <c:orientation val="minMax"/>
        </c:scaling>
        <c:delete val="0"/>
        <c:axPos val="b"/>
        <c:majorTickMark val="none"/>
        <c:minorTickMark val="none"/>
        <c:tickLblPos val="nextTo"/>
        <c:txPr>
          <a:bodyPr/>
          <a:lstStyle/>
          <a:p>
            <a:pPr>
              <a:defRPr sz="800"/>
            </a:pPr>
            <a:endParaRPr lang="ja-JP"/>
          </a:p>
        </c:txPr>
        <c:crossAx val="93875584"/>
        <c:crosses val="autoZero"/>
        <c:auto val="1"/>
        <c:lblAlgn val="ctr"/>
        <c:lblOffset val="100"/>
        <c:noMultiLvlLbl val="0"/>
      </c:catAx>
      <c:valAx>
        <c:axId val="93875584"/>
        <c:scaling>
          <c:orientation val="minMax"/>
        </c:scaling>
        <c:delete val="0"/>
        <c:axPos val="l"/>
        <c:majorGridlines/>
        <c:numFmt formatCode="#,##0_ " sourceLinked="0"/>
        <c:majorTickMark val="none"/>
        <c:minorTickMark val="none"/>
        <c:tickLblPos val="nextTo"/>
        <c:crossAx val="93874048"/>
        <c:crosses val="autoZero"/>
        <c:crossBetween val="between"/>
      </c:valAx>
    </c:plotArea>
    <c:legend>
      <c:legendPos val="r"/>
      <c:legendEntry>
        <c:idx val="0"/>
        <c:txPr>
          <a:bodyPr/>
          <a:lstStyle/>
          <a:p>
            <a:pPr>
              <a:defRPr i="1"/>
            </a:pPr>
            <a:endParaRPr lang="ja-JP"/>
          </a:p>
        </c:txPr>
      </c:legendEntry>
      <c:legendEntry>
        <c:idx val="1"/>
        <c:txPr>
          <a:bodyPr/>
          <a:lstStyle/>
          <a:p>
            <a:pPr>
              <a:defRPr b="1"/>
            </a:pPr>
            <a:endParaRPr lang="ja-JP"/>
          </a:p>
        </c:txPr>
      </c:legendEntry>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ja-JP" altLang="en-US" sz="1200"/>
              <a:t>表</a:t>
            </a:r>
            <a:r>
              <a:rPr lang="en-US" altLang="ja-JP" sz="1200"/>
              <a:t>2</a:t>
            </a:r>
            <a:r>
              <a:rPr lang="ja-JP" altLang="en-US" sz="1200"/>
              <a:t>　貿易推移</a:t>
            </a:r>
          </a:p>
        </c:rich>
      </c:tx>
      <c:layout>
        <c:manualLayout>
          <c:xMode val="edge"/>
          <c:yMode val="edge"/>
          <c:x val="0.39081267818935367"/>
          <c:y val="2.3121387283236993E-2"/>
        </c:manualLayout>
      </c:layout>
      <c:overlay val="0"/>
    </c:title>
    <c:autoTitleDeleted val="0"/>
    <c:plotArea>
      <c:layout>
        <c:manualLayout>
          <c:layoutTarget val="inner"/>
          <c:xMode val="edge"/>
          <c:yMode val="edge"/>
          <c:x val="0.13036722261569156"/>
          <c:y val="0.12829379736675975"/>
          <c:w val="0.74314931000511109"/>
          <c:h val="0.63502465371019423"/>
        </c:manualLayout>
      </c:layout>
      <c:barChart>
        <c:barDir val="col"/>
        <c:grouping val="clustered"/>
        <c:varyColors val="0"/>
        <c:ser>
          <c:idx val="0"/>
          <c:order val="0"/>
          <c:tx>
            <c:strRef>
              <c:f>Hoja1!$Q$11</c:f>
              <c:strCache>
                <c:ptCount val="1"/>
                <c:pt idx="0">
                  <c:v>輸出</c:v>
                </c:pt>
              </c:strCache>
            </c:strRef>
          </c:tx>
          <c:invertIfNegative val="0"/>
          <c:dLbls>
            <c:dLbl>
              <c:idx val="0"/>
              <c:layout>
                <c:manualLayout>
                  <c:x val="0"/>
                  <c:y val="1.1560693641618497E-2"/>
                </c:manualLayout>
              </c:layout>
              <c:numFmt formatCode="#,##0.0_ " sourceLinked="0"/>
              <c:spPr/>
              <c:txPr>
                <a:bodyPr/>
                <a:lstStyle/>
                <a:p>
                  <a:pPr>
                    <a:defRPr sz="800" b="1" i="1"/>
                  </a:pPr>
                  <a:endParaRPr lang="ja-JP"/>
                </a:p>
              </c:txPr>
              <c:showLegendKey val="0"/>
              <c:showVal val="1"/>
              <c:showCatName val="0"/>
              <c:showSerName val="0"/>
              <c:showPercent val="0"/>
              <c:showBubbleSize val="0"/>
            </c:dLbl>
            <c:dLbl>
              <c:idx val="1"/>
              <c:layout>
                <c:manualLayout>
                  <c:x val="1.4111754549199869E-2"/>
                  <c:y val="-2.4874304006796837E-2"/>
                </c:manualLayout>
              </c:layout>
              <c:numFmt formatCode="#,##0.0_ " sourceLinked="0"/>
              <c:spPr/>
              <c:txPr>
                <a:bodyPr/>
                <a:lstStyle/>
                <a:p>
                  <a:pPr>
                    <a:defRPr sz="800" b="1" i="1"/>
                  </a:pPr>
                  <a:endParaRPr lang="ja-JP"/>
                </a:p>
              </c:txPr>
              <c:showLegendKey val="0"/>
              <c:showVal val="1"/>
              <c:showCatName val="0"/>
              <c:showSerName val="0"/>
              <c:showPercent val="0"/>
              <c:showBubbleSize val="0"/>
            </c:dLbl>
            <c:dLbl>
              <c:idx val="12"/>
              <c:layout>
                <c:manualLayout>
                  <c:x val="-4.7031158142269254E-3"/>
                  <c:y val="-2.3121387283236993E-2"/>
                </c:manualLayout>
              </c:layout>
              <c:tx>
                <c:rich>
                  <a:bodyPr/>
                  <a:lstStyle/>
                  <a:p>
                    <a:pPr>
                      <a:defRPr sz="800" b="1" i="1"/>
                    </a:pPr>
                    <a:r>
                      <a:rPr lang="en-US" altLang="en-US" b="1" i="1"/>
                      <a:t>1,021.7 </a:t>
                    </a:r>
                    <a:endParaRPr lang="en-US" altLang="en-US" i="1"/>
                  </a:p>
                </c:rich>
              </c:tx>
              <c:numFmt formatCode="#,##0.0_ " sourceLinked="0"/>
              <c:spPr/>
              <c:showLegendKey val="0"/>
              <c:showVal val="1"/>
              <c:showCatName val="0"/>
              <c:showSerName val="0"/>
              <c:showPercent val="0"/>
              <c:showBubbleSize val="0"/>
            </c:dLbl>
            <c:dLbl>
              <c:idx val="13"/>
              <c:layout/>
              <c:numFmt formatCode="#,##0.0_ " sourceLinked="0"/>
              <c:spPr/>
              <c:txPr>
                <a:bodyPr/>
                <a:lstStyle/>
                <a:p>
                  <a:pPr>
                    <a:defRPr sz="800" b="1" i="1"/>
                  </a:pPr>
                  <a:endParaRPr lang="ja-JP"/>
                </a:p>
              </c:txPr>
              <c:showLegendKey val="0"/>
              <c:showVal val="1"/>
              <c:showCatName val="0"/>
              <c:showSerName val="0"/>
              <c:showPercent val="0"/>
              <c:showBubbleSize val="0"/>
            </c:dLbl>
            <c:numFmt formatCode="#,##0.0_ " sourceLinked="0"/>
            <c:txPr>
              <a:bodyPr/>
              <a:lstStyle/>
              <a:p>
                <a:pPr>
                  <a:defRPr sz="800" b="1"/>
                </a:pPr>
                <a:endParaRPr lang="ja-JP"/>
              </a:p>
            </c:txPr>
            <c:showLegendKey val="0"/>
            <c:showVal val="0"/>
            <c:showCatName val="0"/>
            <c:showSerName val="0"/>
            <c:showPercent val="0"/>
            <c:showBubbleSize val="0"/>
          </c:dLbls>
          <c:cat>
            <c:numRef>
              <c:f>Hoja1!$P$12:$P$25</c:f>
              <c:numCache>
                <c:formatCode>yyyy"年"mm"月"</c:formatCode>
                <c:ptCount val="14"/>
                <c:pt idx="0">
                  <c:v>41334</c:v>
                </c:pt>
                <c:pt idx="1">
                  <c:v>41365</c:v>
                </c:pt>
                <c:pt idx="2">
                  <c:v>41395</c:v>
                </c:pt>
                <c:pt idx="3">
                  <c:v>41426</c:v>
                </c:pt>
                <c:pt idx="4">
                  <c:v>41456</c:v>
                </c:pt>
                <c:pt idx="5">
                  <c:v>41487</c:v>
                </c:pt>
                <c:pt idx="6">
                  <c:v>41518</c:v>
                </c:pt>
                <c:pt idx="7">
                  <c:v>41548</c:v>
                </c:pt>
                <c:pt idx="8">
                  <c:v>41579</c:v>
                </c:pt>
                <c:pt idx="9">
                  <c:v>41609</c:v>
                </c:pt>
                <c:pt idx="10">
                  <c:v>41640</c:v>
                </c:pt>
                <c:pt idx="11">
                  <c:v>41671</c:v>
                </c:pt>
                <c:pt idx="12">
                  <c:v>41699</c:v>
                </c:pt>
                <c:pt idx="13">
                  <c:v>41730</c:v>
                </c:pt>
              </c:numCache>
            </c:numRef>
          </c:cat>
          <c:val>
            <c:numRef>
              <c:f>Hoja1!$Q$12:$Q$25</c:f>
              <c:numCache>
                <c:formatCode>General</c:formatCode>
                <c:ptCount val="14"/>
                <c:pt idx="0">
                  <c:v>1015.6661849899994</c:v>
                </c:pt>
                <c:pt idx="1">
                  <c:v>1002.0899330500008</c:v>
                </c:pt>
                <c:pt idx="2">
                  <c:v>1034.1281167</c:v>
                </c:pt>
                <c:pt idx="3">
                  <c:v>956.44408743999998</c:v>
                </c:pt>
                <c:pt idx="4">
                  <c:v>949.23167957000055</c:v>
                </c:pt>
                <c:pt idx="5">
                  <c:v>938.56024420999938</c:v>
                </c:pt>
                <c:pt idx="6">
                  <c:v>972.54398724000055</c:v>
                </c:pt>
                <c:pt idx="7">
                  <c:v>1007.65641652</c:v>
                </c:pt>
                <c:pt idx="8">
                  <c:v>992.76068416999999</c:v>
                </c:pt>
                <c:pt idx="9">
                  <c:v>877.23699811999938</c:v>
                </c:pt>
                <c:pt idx="10" formatCode="#,##0.0">
                  <c:v>855.62473264000096</c:v>
                </c:pt>
                <c:pt idx="11" formatCode="#,##0.0">
                  <c:v>970.81653033999999</c:v>
                </c:pt>
                <c:pt idx="12" formatCode="#,##0.0">
                  <c:v>1021.6662025999993</c:v>
                </c:pt>
                <c:pt idx="13" formatCode="#,##0.0">
                  <c:v>986.3</c:v>
                </c:pt>
              </c:numCache>
            </c:numRef>
          </c:val>
        </c:ser>
        <c:ser>
          <c:idx val="1"/>
          <c:order val="1"/>
          <c:tx>
            <c:strRef>
              <c:f>Hoja1!$R$11</c:f>
              <c:strCache>
                <c:ptCount val="1"/>
                <c:pt idx="0">
                  <c:v>輸入</c:v>
                </c:pt>
              </c:strCache>
            </c:strRef>
          </c:tx>
          <c:invertIfNegative val="0"/>
          <c:dLbls>
            <c:dLbl>
              <c:idx val="0"/>
              <c:layout/>
              <c:showLegendKey val="0"/>
              <c:showVal val="1"/>
              <c:showCatName val="0"/>
              <c:showSerName val="0"/>
              <c:showPercent val="0"/>
              <c:showBubbleSize val="0"/>
            </c:dLbl>
            <c:dLbl>
              <c:idx val="1"/>
              <c:layout/>
              <c:showLegendKey val="0"/>
              <c:showVal val="1"/>
              <c:showCatName val="0"/>
              <c:showSerName val="0"/>
              <c:showPercent val="0"/>
              <c:showBubbleSize val="0"/>
            </c:dLbl>
            <c:dLbl>
              <c:idx val="12"/>
              <c:layout/>
              <c:showLegendKey val="0"/>
              <c:showVal val="1"/>
              <c:showCatName val="0"/>
              <c:showSerName val="0"/>
              <c:showPercent val="0"/>
              <c:showBubbleSize val="0"/>
            </c:dLbl>
            <c:dLbl>
              <c:idx val="13"/>
              <c:layout/>
              <c:showLegendKey val="0"/>
              <c:showVal val="1"/>
              <c:showCatName val="0"/>
              <c:showSerName val="0"/>
              <c:showPercent val="0"/>
              <c:showBubbleSize val="0"/>
            </c:dLbl>
            <c:numFmt formatCode="#,##0.0_ " sourceLinked="0"/>
            <c:txPr>
              <a:bodyPr/>
              <a:lstStyle/>
              <a:p>
                <a:pPr>
                  <a:defRPr sz="800" b="1"/>
                </a:pPr>
                <a:endParaRPr lang="ja-JP"/>
              </a:p>
            </c:txPr>
            <c:showLegendKey val="0"/>
            <c:showVal val="0"/>
            <c:showCatName val="0"/>
            <c:showSerName val="0"/>
            <c:showPercent val="0"/>
            <c:showBubbleSize val="0"/>
          </c:dLbls>
          <c:cat>
            <c:numRef>
              <c:f>Hoja1!$P$12:$P$25</c:f>
              <c:numCache>
                <c:formatCode>yyyy"年"mm"月"</c:formatCode>
                <c:ptCount val="14"/>
                <c:pt idx="0">
                  <c:v>41334</c:v>
                </c:pt>
                <c:pt idx="1">
                  <c:v>41365</c:v>
                </c:pt>
                <c:pt idx="2">
                  <c:v>41395</c:v>
                </c:pt>
                <c:pt idx="3">
                  <c:v>41426</c:v>
                </c:pt>
                <c:pt idx="4">
                  <c:v>41456</c:v>
                </c:pt>
                <c:pt idx="5">
                  <c:v>41487</c:v>
                </c:pt>
                <c:pt idx="6">
                  <c:v>41518</c:v>
                </c:pt>
                <c:pt idx="7">
                  <c:v>41548</c:v>
                </c:pt>
                <c:pt idx="8">
                  <c:v>41579</c:v>
                </c:pt>
                <c:pt idx="9">
                  <c:v>41609</c:v>
                </c:pt>
                <c:pt idx="10">
                  <c:v>41640</c:v>
                </c:pt>
                <c:pt idx="11">
                  <c:v>41671</c:v>
                </c:pt>
                <c:pt idx="12">
                  <c:v>41699</c:v>
                </c:pt>
                <c:pt idx="13">
                  <c:v>41730</c:v>
                </c:pt>
              </c:numCache>
            </c:numRef>
          </c:cat>
          <c:val>
            <c:numRef>
              <c:f>Hoja1!$R$12:$R$25</c:f>
              <c:numCache>
                <c:formatCode>General</c:formatCode>
                <c:ptCount val="14"/>
                <c:pt idx="0">
                  <c:v>1474.2016356500001</c:v>
                </c:pt>
                <c:pt idx="1">
                  <c:v>1606.0126181200001</c:v>
                </c:pt>
                <c:pt idx="2">
                  <c:v>1487.8650193999999</c:v>
                </c:pt>
                <c:pt idx="3">
                  <c:v>1391.9126913000011</c:v>
                </c:pt>
                <c:pt idx="4">
                  <c:v>1538.1103749299998</c:v>
                </c:pt>
                <c:pt idx="5">
                  <c:v>1525.1342924199985</c:v>
                </c:pt>
                <c:pt idx="6">
                  <c:v>1501.5970531800017</c:v>
                </c:pt>
                <c:pt idx="7">
                  <c:v>1609.13317362</c:v>
                </c:pt>
                <c:pt idx="8">
                  <c:v>1531.7667545000011</c:v>
                </c:pt>
                <c:pt idx="9">
                  <c:v>1425.2307668000001</c:v>
                </c:pt>
                <c:pt idx="10" formatCode="#,##0.0">
                  <c:v>1520.1084603499999</c:v>
                </c:pt>
                <c:pt idx="11" formatCode="#,##0.0">
                  <c:v>1374.1683591599999</c:v>
                </c:pt>
                <c:pt idx="12" formatCode="#,##0.0">
                  <c:v>1607.06503754</c:v>
                </c:pt>
                <c:pt idx="13" formatCode="#,##0.0">
                  <c:v>1485.4</c:v>
                </c:pt>
              </c:numCache>
            </c:numRef>
          </c:val>
        </c:ser>
        <c:dLbls>
          <c:showLegendKey val="0"/>
          <c:showVal val="0"/>
          <c:showCatName val="0"/>
          <c:showSerName val="0"/>
          <c:showPercent val="0"/>
          <c:showBubbleSize val="0"/>
        </c:dLbls>
        <c:gapWidth val="150"/>
        <c:axId val="85038976"/>
        <c:axId val="85040512"/>
      </c:barChart>
      <c:dateAx>
        <c:axId val="85038976"/>
        <c:scaling>
          <c:orientation val="minMax"/>
        </c:scaling>
        <c:delete val="0"/>
        <c:axPos val="b"/>
        <c:numFmt formatCode="yyyy&quot;年&quot;mm&quot;月&quot;" sourceLinked="1"/>
        <c:majorTickMark val="none"/>
        <c:minorTickMark val="none"/>
        <c:tickLblPos val="nextTo"/>
        <c:txPr>
          <a:bodyPr/>
          <a:lstStyle/>
          <a:p>
            <a:pPr>
              <a:defRPr sz="800"/>
            </a:pPr>
            <a:endParaRPr lang="ja-JP"/>
          </a:p>
        </c:txPr>
        <c:crossAx val="85040512"/>
        <c:crosses val="autoZero"/>
        <c:auto val="1"/>
        <c:lblOffset val="100"/>
        <c:baseTimeUnit val="months"/>
      </c:dateAx>
      <c:valAx>
        <c:axId val="85040512"/>
        <c:scaling>
          <c:orientation val="minMax"/>
        </c:scaling>
        <c:delete val="0"/>
        <c:axPos val="l"/>
        <c:majorGridlines/>
        <c:title>
          <c:tx>
            <c:rich>
              <a:bodyPr rot="0" vert="horz"/>
              <a:lstStyle/>
              <a:p>
                <a:pPr>
                  <a:defRPr sz="900"/>
                </a:pPr>
                <a:r>
                  <a:rPr lang="en-US" altLang="ja-JP" sz="900"/>
                  <a:t>(</a:t>
                </a:r>
                <a:r>
                  <a:rPr lang="ja-JP" altLang="en-US" sz="900"/>
                  <a:t>百万ドル</a:t>
                </a:r>
                <a:r>
                  <a:rPr lang="en-US" altLang="ja-JP" sz="900"/>
                  <a:t>)</a:t>
                </a:r>
                <a:endParaRPr lang="ja-JP" altLang="en-US" sz="900"/>
              </a:p>
            </c:rich>
          </c:tx>
          <c:layout>
            <c:manualLayout>
              <c:xMode val="edge"/>
              <c:yMode val="edge"/>
              <c:x val="0.11957132675676239"/>
              <c:y val="6.5597254720667783E-2"/>
            </c:manualLayout>
          </c:layout>
          <c:overlay val="0"/>
        </c:title>
        <c:numFmt formatCode="#,##0_);\(#,##0\)" sourceLinked="0"/>
        <c:majorTickMark val="out"/>
        <c:minorTickMark val="none"/>
        <c:tickLblPos val="nextTo"/>
        <c:crossAx val="8503897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ja-JP" altLang="en-US" sz="900"/>
              <a:t>表</a:t>
            </a:r>
            <a:r>
              <a:rPr lang="en-US" altLang="ja-JP" sz="900"/>
              <a:t>4</a:t>
            </a:r>
            <a:r>
              <a:rPr lang="ja-JP" altLang="en-US" sz="900"/>
              <a:t>　累積貿易額　前年比較</a:t>
            </a:r>
          </a:p>
        </c:rich>
      </c:tx>
      <c:layout>
        <c:manualLayout>
          <c:xMode val="edge"/>
          <c:yMode val="edge"/>
          <c:x val="0.30868345655266372"/>
          <c:y val="3.1614645291640701E-2"/>
        </c:manualLayout>
      </c:layout>
      <c:overlay val="0"/>
    </c:title>
    <c:autoTitleDeleted val="0"/>
    <c:plotArea>
      <c:layout>
        <c:manualLayout>
          <c:layoutTarget val="inner"/>
          <c:xMode val="edge"/>
          <c:yMode val="edge"/>
          <c:x val="0.29285488168940715"/>
          <c:y val="0.15203836930455636"/>
          <c:w val="0.65116547454468954"/>
          <c:h val="0.51834702316886649"/>
        </c:manualLayout>
      </c:layout>
      <c:barChart>
        <c:barDir val="col"/>
        <c:grouping val="clustered"/>
        <c:varyColors val="0"/>
        <c:ser>
          <c:idx val="0"/>
          <c:order val="0"/>
          <c:tx>
            <c:strRef>
              <c:f>Hoja1!$K$27</c:f>
              <c:strCache>
                <c:ptCount val="1"/>
                <c:pt idx="0">
                  <c:v>輸出</c:v>
                </c:pt>
              </c:strCache>
            </c:strRef>
          </c:tx>
          <c:invertIfNegative val="0"/>
          <c:dLbls>
            <c:numFmt formatCode="#,##0_ " sourceLinked="0"/>
            <c:txPr>
              <a:bodyPr/>
              <a:lstStyle/>
              <a:p>
                <a:pPr>
                  <a:defRPr sz="800" b="0"/>
                </a:pPr>
                <a:endParaRPr lang="ja-JP"/>
              </a:p>
            </c:txPr>
            <c:showLegendKey val="0"/>
            <c:showVal val="1"/>
            <c:showCatName val="0"/>
            <c:showSerName val="0"/>
            <c:showPercent val="0"/>
            <c:showBubbleSize val="0"/>
            <c:showLeaderLines val="0"/>
          </c:dLbls>
          <c:cat>
            <c:numRef>
              <c:f>Hoja1!$L$26:$M$26</c:f>
              <c:numCache>
                <c:formatCode>yyyy"年"mm"月"</c:formatCode>
                <c:ptCount val="2"/>
                <c:pt idx="0">
                  <c:v>41365</c:v>
                </c:pt>
                <c:pt idx="1">
                  <c:v>41730</c:v>
                </c:pt>
              </c:numCache>
            </c:numRef>
          </c:cat>
          <c:val>
            <c:numRef>
              <c:f>Hoja1!$L$27:$M$27</c:f>
              <c:numCache>
                <c:formatCode>0.0_);[Red]\(0.0\)</c:formatCode>
                <c:ptCount val="2"/>
                <c:pt idx="0">
                  <c:v>3861</c:v>
                </c:pt>
                <c:pt idx="1">
                  <c:v>3829.61</c:v>
                </c:pt>
              </c:numCache>
            </c:numRef>
          </c:val>
        </c:ser>
        <c:ser>
          <c:idx val="1"/>
          <c:order val="1"/>
          <c:tx>
            <c:strRef>
              <c:f>Hoja1!$K$28</c:f>
              <c:strCache>
                <c:ptCount val="1"/>
                <c:pt idx="0">
                  <c:v>輸入</c:v>
                </c:pt>
              </c:strCache>
            </c:strRef>
          </c:tx>
          <c:invertIfNegative val="0"/>
          <c:dLbls>
            <c:dLbl>
              <c:idx val="0"/>
              <c:layout>
                <c:manualLayout>
                  <c:x val="5.1880674448767832E-3"/>
                  <c:y val="1.4134275618374558E-2"/>
                </c:manualLayout>
              </c:layout>
              <c:showLegendKey val="0"/>
              <c:showVal val="1"/>
              <c:showCatName val="0"/>
              <c:showSerName val="0"/>
              <c:showPercent val="0"/>
              <c:showBubbleSize val="0"/>
            </c:dLbl>
            <c:dLbl>
              <c:idx val="1"/>
              <c:layout>
                <c:manualLayout>
                  <c:x val="0"/>
                  <c:y val="9.4228504122497048E-3"/>
                </c:manualLayout>
              </c:layout>
              <c:showLegendKey val="0"/>
              <c:showVal val="1"/>
              <c:showCatName val="0"/>
              <c:showSerName val="0"/>
              <c:showPercent val="0"/>
              <c:showBubbleSize val="0"/>
            </c:dLbl>
            <c:numFmt formatCode="#,##0.0_);\(#,##0.0\)" sourceLinked="0"/>
            <c:txPr>
              <a:bodyPr/>
              <a:lstStyle/>
              <a:p>
                <a:pPr>
                  <a:defRPr sz="800" b="0"/>
                </a:pPr>
                <a:endParaRPr lang="ja-JP"/>
              </a:p>
            </c:txPr>
            <c:showLegendKey val="0"/>
            <c:showVal val="1"/>
            <c:showCatName val="0"/>
            <c:showSerName val="0"/>
            <c:showPercent val="0"/>
            <c:showBubbleSize val="0"/>
            <c:showLeaderLines val="0"/>
          </c:dLbls>
          <c:cat>
            <c:numRef>
              <c:f>Hoja1!$L$26:$M$26</c:f>
              <c:numCache>
                <c:formatCode>yyyy"年"mm"月"</c:formatCode>
                <c:ptCount val="2"/>
                <c:pt idx="0">
                  <c:v>41365</c:v>
                </c:pt>
                <c:pt idx="1">
                  <c:v>41730</c:v>
                </c:pt>
              </c:numCache>
            </c:numRef>
          </c:cat>
          <c:val>
            <c:numRef>
              <c:f>Hoja1!$L$28:$M$28</c:f>
              <c:numCache>
                <c:formatCode>0.0_);[Red]\(0.0\)</c:formatCode>
                <c:ptCount val="2"/>
                <c:pt idx="0">
                  <c:v>5997.2</c:v>
                </c:pt>
                <c:pt idx="1">
                  <c:v>5980.54</c:v>
                </c:pt>
              </c:numCache>
            </c:numRef>
          </c:val>
        </c:ser>
        <c:ser>
          <c:idx val="2"/>
          <c:order val="2"/>
          <c:tx>
            <c:strRef>
              <c:f>Hoja1!$K$29</c:f>
              <c:strCache>
                <c:ptCount val="1"/>
                <c:pt idx="0">
                  <c:v>貿易収支</c:v>
                </c:pt>
              </c:strCache>
            </c:strRef>
          </c:tx>
          <c:invertIfNegative val="0"/>
          <c:dLbls>
            <c:dLbl>
              <c:idx val="0"/>
              <c:layout>
                <c:manualLayout>
                  <c:x val="0"/>
                  <c:y val="1.9184652278177457E-2"/>
                </c:manualLayout>
              </c:layout>
              <c:showLegendKey val="0"/>
              <c:showVal val="1"/>
              <c:showCatName val="0"/>
              <c:showSerName val="0"/>
              <c:showPercent val="0"/>
              <c:showBubbleSize val="0"/>
            </c:dLbl>
            <c:dLbl>
              <c:idx val="1"/>
              <c:layout>
                <c:manualLayout>
                  <c:x val="-1.007955717597557E-2"/>
                  <c:y val="1.9100933938028065E-2"/>
                </c:manualLayout>
              </c:layout>
              <c:showLegendKey val="0"/>
              <c:showVal val="1"/>
              <c:showCatName val="0"/>
              <c:showSerName val="0"/>
              <c:showPercent val="0"/>
              <c:showBubbleSize val="0"/>
            </c:dLbl>
            <c:txPr>
              <a:bodyPr/>
              <a:lstStyle/>
              <a:p>
                <a:pPr>
                  <a:defRPr sz="800" b="0"/>
                </a:pPr>
                <a:endParaRPr lang="ja-JP"/>
              </a:p>
            </c:txPr>
            <c:showLegendKey val="0"/>
            <c:showVal val="1"/>
            <c:showCatName val="0"/>
            <c:showSerName val="0"/>
            <c:showPercent val="0"/>
            <c:showBubbleSize val="0"/>
            <c:showLeaderLines val="0"/>
          </c:dLbls>
          <c:cat>
            <c:numRef>
              <c:f>Hoja1!$L$26:$M$26</c:f>
              <c:numCache>
                <c:formatCode>yyyy"年"mm"月"</c:formatCode>
                <c:ptCount val="2"/>
                <c:pt idx="0">
                  <c:v>41365</c:v>
                </c:pt>
                <c:pt idx="1">
                  <c:v>41730</c:v>
                </c:pt>
              </c:numCache>
            </c:numRef>
          </c:cat>
          <c:val>
            <c:numRef>
              <c:f>Hoja1!$L$29:$M$29</c:f>
              <c:numCache>
                <c:formatCode>#,##0.0_ </c:formatCode>
                <c:ptCount val="2"/>
                <c:pt idx="0">
                  <c:v>-2136.1999999999998</c:v>
                </c:pt>
                <c:pt idx="1">
                  <c:v>-2150.9</c:v>
                </c:pt>
              </c:numCache>
            </c:numRef>
          </c:val>
        </c:ser>
        <c:dLbls>
          <c:showLegendKey val="0"/>
          <c:showVal val="0"/>
          <c:showCatName val="0"/>
          <c:showSerName val="0"/>
          <c:showPercent val="0"/>
          <c:showBubbleSize val="0"/>
        </c:dLbls>
        <c:gapWidth val="150"/>
        <c:axId val="85109376"/>
        <c:axId val="91951488"/>
      </c:barChart>
      <c:dateAx>
        <c:axId val="85109376"/>
        <c:scaling>
          <c:orientation val="minMax"/>
        </c:scaling>
        <c:delete val="0"/>
        <c:axPos val="b"/>
        <c:numFmt formatCode="yyyy&quot;年&quot;mm&quot;月&quot;" sourceLinked="1"/>
        <c:majorTickMark val="none"/>
        <c:minorTickMark val="none"/>
        <c:tickLblPos val="none"/>
        <c:crossAx val="91951488"/>
        <c:crosses val="autoZero"/>
        <c:auto val="1"/>
        <c:lblOffset val="100"/>
        <c:baseTimeUnit val="years"/>
      </c:dateAx>
      <c:valAx>
        <c:axId val="91951488"/>
        <c:scaling>
          <c:orientation val="minMax"/>
        </c:scaling>
        <c:delete val="0"/>
        <c:axPos val="l"/>
        <c:majorGridlines/>
        <c:title>
          <c:tx>
            <c:rich>
              <a:bodyPr rot="0" vert="horz"/>
              <a:lstStyle/>
              <a:p>
                <a:pPr>
                  <a:defRPr sz="800" b="0"/>
                </a:pPr>
                <a:r>
                  <a:rPr lang="en-US" altLang="ja-JP" sz="800" b="0"/>
                  <a:t>(</a:t>
                </a:r>
                <a:r>
                  <a:rPr lang="ja-JP" altLang="en-US" sz="800" b="0"/>
                  <a:t>百万ドル</a:t>
                </a:r>
                <a:r>
                  <a:rPr lang="en-US" altLang="ja-JP" sz="800" b="0"/>
                  <a:t>)</a:t>
                </a:r>
                <a:endParaRPr lang="ja-JP" altLang="en-US" sz="800" b="0"/>
              </a:p>
            </c:rich>
          </c:tx>
          <c:layout>
            <c:manualLayout>
              <c:xMode val="edge"/>
              <c:yMode val="edge"/>
              <c:x val="7.8350664182244401E-2"/>
              <c:y val="3.0854056911950754E-3"/>
            </c:manualLayout>
          </c:layout>
          <c:overlay val="0"/>
        </c:title>
        <c:numFmt formatCode="#,##0_ " sourceLinked="0"/>
        <c:majorTickMark val="none"/>
        <c:minorTickMark val="none"/>
        <c:tickLblPos val="nextTo"/>
        <c:txPr>
          <a:bodyPr/>
          <a:lstStyle/>
          <a:p>
            <a:pPr>
              <a:defRPr sz="900"/>
            </a:pPr>
            <a:endParaRPr lang="ja-JP"/>
          </a:p>
        </c:txPr>
        <c:crossAx val="85109376"/>
        <c:crosses val="autoZero"/>
        <c:crossBetween val="between"/>
      </c:valAx>
      <c:dTable>
        <c:showHorzBorder val="1"/>
        <c:showVertBorder val="1"/>
        <c:showOutline val="1"/>
        <c:showKeys val="1"/>
        <c:txPr>
          <a:bodyPr/>
          <a:lstStyle/>
          <a:p>
            <a:pPr rtl="0">
              <a:defRPr sz="800"/>
            </a:pPr>
            <a:endParaRPr lang="ja-JP"/>
          </a:p>
        </c:txPr>
      </c:dTable>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ja-JP" altLang="en-US" sz="900"/>
              <a:t>表</a:t>
            </a:r>
            <a:r>
              <a:rPr lang="en-US" altLang="ja-JP" sz="900"/>
              <a:t>3</a:t>
            </a:r>
            <a:r>
              <a:rPr lang="ja-JP" altLang="en-US" sz="900"/>
              <a:t>　累積貿易額　前年比較</a:t>
            </a:r>
          </a:p>
        </c:rich>
      </c:tx>
      <c:layout>
        <c:manualLayout>
          <c:xMode val="edge"/>
          <c:yMode val="edge"/>
          <c:x val="0.34233490044513665"/>
          <c:y val="2.8060952812553108E-2"/>
        </c:manualLayout>
      </c:layout>
      <c:overlay val="0"/>
    </c:title>
    <c:autoTitleDeleted val="0"/>
    <c:plotArea>
      <c:layout>
        <c:manualLayout>
          <c:layoutTarget val="inner"/>
          <c:xMode val="edge"/>
          <c:yMode val="edge"/>
          <c:x val="0.3201272917808351"/>
          <c:y val="0.15203836930455636"/>
          <c:w val="0.62614865449511115"/>
          <c:h val="0.51834702316886649"/>
        </c:manualLayout>
      </c:layout>
      <c:barChart>
        <c:barDir val="col"/>
        <c:grouping val="clustered"/>
        <c:varyColors val="0"/>
        <c:ser>
          <c:idx val="0"/>
          <c:order val="0"/>
          <c:tx>
            <c:strRef>
              <c:f>Hoja1!$P$27</c:f>
              <c:strCache>
                <c:ptCount val="1"/>
                <c:pt idx="0">
                  <c:v>輸出</c:v>
                </c:pt>
              </c:strCache>
            </c:strRef>
          </c:tx>
          <c:invertIfNegative val="0"/>
          <c:dLbls>
            <c:txPr>
              <a:bodyPr/>
              <a:lstStyle/>
              <a:p>
                <a:pPr>
                  <a:defRPr sz="800" b="0"/>
                </a:pPr>
                <a:endParaRPr lang="ja-JP"/>
              </a:p>
            </c:txPr>
            <c:showLegendKey val="0"/>
            <c:showVal val="1"/>
            <c:showCatName val="0"/>
            <c:showSerName val="0"/>
            <c:showPercent val="0"/>
            <c:showBubbleSize val="0"/>
            <c:showLeaderLines val="0"/>
          </c:dLbls>
          <c:cat>
            <c:numRef>
              <c:f>Hoja1!$Q$26:$R$26</c:f>
              <c:numCache>
                <c:formatCode>yyyy"年"mm"月"</c:formatCode>
                <c:ptCount val="2"/>
                <c:pt idx="0">
                  <c:v>41334</c:v>
                </c:pt>
                <c:pt idx="1">
                  <c:v>41699</c:v>
                </c:pt>
              </c:numCache>
            </c:numRef>
          </c:cat>
          <c:val>
            <c:numRef>
              <c:f>Hoja1!$Q$27:$R$27</c:f>
              <c:numCache>
                <c:formatCode>#,##0.0</c:formatCode>
                <c:ptCount val="2"/>
                <c:pt idx="0">
                  <c:v>2858.9</c:v>
                </c:pt>
                <c:pt idx="1">
                  <c:v>2848.1</c:v>
                </c:pt>
              </c:numCache>
            </c:numRef>
          </c:val>
        </c:ser>
        <c:ser>
          <c:idx val="1"/>
          <c:order val="1"/>
          <c:tx>
            <c:strRef>
              <c:f>Hoja1!$P$28</c:f>
              <c:strCache>
                <c:ptCount val="1"/>
                <c:pt idx="0">
                  <c:v>輸入</c:v>
                </c:pt>
              </c:strCache>
            </c:strRef>
          </c:tx>
          <c:invertIfNegative val="0"/>
          <c:dLbls>
            <c:dLbl>
              <c:idx val="0"/>
              <c:layout>
                <c:manualLayout>
                  <c:x val="0"/>
                  <c:y val="1.4388489208633094E-2"/>
                </c:manualLayout>
              </c:layout>
              <c:showLegendKey val="0"/>
              <c:showVal val="1"/>
              <c:showCatName val="0"/>
              <c:showSerName val="0"/>
              <c:showPercent val="0"/>
              <c:showBubbleSize val="0"/>
            </c:dLbl>
            <c:dLbl>
              <c:idx val="1"/>
              <c:layout>
                <c:manualLayout>
                  <c:x val="4.884004884004884E-3"/>
                  <c:y val="1.9184775047995324E-2"/>
                </c:manualLayout>
              </c:layout>
              <c:showLegendKey val="0"/>
              <c:showVal val="1"/>
              <c:showCatName val="0"/>
              <c:showSerName val="0"/>
              <c:showPercent val="0"/>
              <c:showBubbleSize val="0"/>
            </c:dLbl>
            <c:txPr>
              <a:bodyPr/>
              <a:lstStyle/>
              <a:p>
                <a:pPr>
                  <a:defRPr sz="800" b="0"/>
                </a:pPr>
                <a:endParaRPr lang="ja-JP"/>
              </a:p>
            </c:txPr>
            <c:showLegendKey val="0"/>
            <c:showVal val="1"/>
            <c:showCatName val="0"/>
            <c:showSerName val="0"/>
            <c:showPercent val="0"/>
            <c:showBubbleSize val="0"/>
            <c:showLeaderLines val="0"/>
          </c:dLbls>
          <c:cat>
            <c:numRef>
              <c:f>Hoja1!$Q$26:$R$26</c:f>
              <c:numCache>
                <c:formatCode>yyyy"年"mm"月"</c:formatCode>
                <c:ptCount val="2"/>
                <c:pt idx="0">
                  <c:v>41334</c:v>
                </c:pt>
                <c:pt idx="1">
                  <c:v>41699</c:v>
                </c:pt>
              </c:numCache>
            </c:numRef>
          </c:cat>
          <c:val>
            <c:numRef>
              <c:f>Hoja1!$Q$28:$R$28</c:f>
              <c:numCache>
                <c:formatCode>#,##0.0</c:formatCode>
                <c:ptCount val="2"/>
                <c:pt idx="0">
                  <c:v>4391.2</c:v>
                </c:pt>
                <c:pt idx="1">
                  <c:v>4501.3</c:v>
                </c:pt>
              </c:numCache>
            </c:numRef>
          </c:val>
        </c:ser>
        <c:ser>
          <c:idx val="2"/>
          <c:order val="2"/>
          <c:tx>
            <c:strRef>
              <c:f>Hoja1!$P$29</c:f>
              <c:strCache>
                <c:ptCount val="1"/>
                <c:pt idx="0">
                  <c:v>貿易収支</c:v>
                </c:pt>
              </c:strCache>
            </c:strRef>
          </c:tx>
          <c:invertIfNegative val="0"/>
          <c:dLbls>
            <c:dLbl>
              <c:idx val="0"/>
              <c:layout>
                <c:manualLayout>
                  <c:x val="0"/>
                  <c:y val="2.3980815347721909E-2"/>
                </c:manualLayout>
              </c:layout>
              <c:showLegendKey val="0"/>
              <c:showVal val="1"/>
              <c:showCatName val="0"/>
              <c:showSerName val="0"/>
              <c:showPercent val="0"/>
              <c:showBubbleSize val="0"/>
            </c:dLbl>
            <c:dLbl>
              <c:idx val="1"/>
              <c:layout>
                <c:manualLayout>
                  <c:x val="1.465124551738725E-2"/>
                  <c:y val="3.3489329734843129E-2"/>
                </c:manualLayout>
              </c:layout>
              <c:showLegendKey val="0"/>
              <c:showVal val="1"/>
              <c:showCatName val="0"/>
              <c:showSerName val="0"/>
              <c:showPercent val="0"/>
              <c:showBubbleSize val="0"/>
            </c:dLbl>
            <c:txPr>
              <a:bodyPr/>
              <a:lstStyle/>
              <a:p>
                <a:pPr>
                  <a:defRPr sz="800" b="0"/>
                </a:pPr>
                <a:endParaRPr lang="ja-JP"/>
              </a:p>
            </c:txPr>
            <c:showLegendKey val="0"/>
            <c:showVal val="1"/>
            <c:showCatName val="0"/>
            <c:showSerName val="0"/>
            <c:showPercent val="0"/>
            <c:showBubbleSize val="0"/>
            <c:showLeaderLines val="0"/>
          </c:dLbls>
          <c:cat>
            <c:numRef>
              <c:f>Hoja1!$Q$26:$R$26</c:f>
              <c:numCache>
                <c:formatCode>yyyy"年"mm"月"</c:formatCode>
                <c:ptCount val="2"/>
                <c:pt idx="0">
                  <c:v>41334</c:v>
                </c:pt>
                <c:pt idx="1">
                  <c:v>41699</c:v>
                </c:pt>
              </c:numCache>
            </c:numRef>
          </c:cat>
          <c:val>
            <c:numRef>
              <c:f>Hoja1!$Q$29:$R$29</c:f>
              <c:numCache>
                <c:formatCode>#,##0.0</c:formatCode>
                <c:ptCount val="2"/>
                <c:pt idx="0">
                  <c:v>-1532.3</c:v>
                </c:pt>
                <c:pt idx="1">
                  <c:v>-1653.2</c:v>
                </c:pt>
              </c:numCache>
            </c:numRef>
          </c:val>
        </c:ser>
        <c:dLbls>
          <c:showLegendKey val="0"/>
          <c:showVal val="0"/>
          <c:showCatName val="0"/>
          <c:showSerName val="0"/>
          <c:showPercent val="0"/>
          <c:showBubbleSize val="0"/>
        </c:dLbls>
        <c:gapWidth val="150"/>
        <c:axId val="91992832"/>
        <c:axId val="91994368"/>
      </c:barChart>
      <c:dateAx>
        <c:axId val="91992832"/>
        <c:scaling>
          <c:orientation val="minMax"/>
        </c:scaling>
        <c:delete val="1"/>
        <c:axPos val="b"/>
        <c:numFmt formatCode="yyyy&quot;年&quot;mm&quot;月&quot;" sourceLinked="1"/>
        <c:majorTickMark val="none"/>
        <c:minorTickMark val="none"/>
        <c:tickLblPos val="none"/>
        <c:crossAx val="91994368"/>
        <c:crosses val="autoZero"/>
        <c:auto val="1"/>
        <c:lblOffset val="100"/>
        <c:baseTimeUnit val="years"/>
      </c:dateAx>
      <c:valAx>
        <c:axId val="91994368"/>
        <c:scaling>
          <c:orientation val="minMax"/>
        </c:scaling>
        <c:delete val="0"/>
        <c:axPos val="l"/>
        <c:majorGridlines/>
        <c:title>
          <c:tx>
            <c:rich>
              <a:bodyPr rot="0" vert="horz"/>
              <a:lstStyle/>
              <a:p>
                <a:pPr>
                  <a:defRPr sz="800" b="0"/>
                </a:pPr>
                <a:r>
                  <a:rPr lang="en-US" altLang="ja-JP" sz="800" b="0"/>
                  <a:t>(</a:t>
                </a:r>
                <a:r>
                  <a:rPr lang="ja-JP" altLang="en-US" sz="800" b="0"/>
                  <a:t>百万ドル</a:t>
                </a:r>
                <a:r>
                  <a:rPr lang="en-US" altLang="ja-JP" sz="800" b="0"/>
                  <a:t>)</a:t>
                </a:r>
                <a:endParaRPr lang="ja-JP" altLang="en-US" sz="800" b="0"/>
              </a:p>
            </c:rich>
          </c:tx>
          <c:layout>
            <c:manualLayout>
              <c:xMode val="edge"/>
              <c:yMode val="edge"/>
              <c:x val="0.10738696124522897"/>
              <c:y val="4.1469816272965863E-3"/>
            </c:manualLayout>
          </c:layout>
          <c:overlay val="0"/>
        </c:title>
        <c:numFmt formatCode="#,##0_ " sourceLinked="0"/>
        <c:majorTickMark val="none"/>
        <c:minorTickMark val="none"/>
        <c:tickLblPos val="nextTo"/>
        <c:txPr>
          <a:bodyPr/>
          <a:lstStyle/>
          <a:p>
            <a:pPr>
              <a:defRPr sz="900"/>
            </a:pPr>
            <a:endParaRPr lang="ja-JP"/>
          </a:p>
        </c:txPr>
        <c:crossAx val="91992832"/>
        <c:crosses val="autoZero"/>
        <c:crossBetween val="between"/>
      </c:valAx>
      <c:dTable>
        <c:showHorzBorder val="1"/>
        <c:showVertBorder val="1"/>
        <c:showOutline val="1"/>
        <c:showKeys val="1"/>
        <c:txPr>
          <a:bodyPr/>
          <a:lstStyle/>
          <a:p>
            <a:pPr rtl="0">
              <a:defRPr sz="800"/>
            </a:pPr>
            <a:endParaRPr lang="ja-JP"/>
          </a:p>
        </c:txPr>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ja-JP" altLang="en-US" sz="1200"/>
              <a:t>表</a:t>
            </a:r>
            <a:r>
              <a:rPr lang="en-US" altLang="ja-JP" sz="1200"/>
              <a:t>5</a:t>
            </a:r>
            <a:r>
              <a:rPr lang="ja-JP" altLang="en-US" sz="1200"/>
              <a:t>　貿易推移</a:t>
            </a:r>
            <a:r>
              <a:rPr lang="en-US" altLang="ja-JP" sz="1200"/>
              <a:t>(</a:t>
            </a:r>
            <a:r>
              <a:rPr lang="ja-JP" altLang="en-US" sz="1200"/>
              <a:t>成長率</a:t>
            </a:r>
            <a:r>
              <a:rPr lang="en-US" altLang="ja-JP" sz="1200"/>
              <a:t>)</a:t>
            </a:r>
            <a:endParaRPr lang="ja-JP" altLang="en-US" sz="1200"/>
          </a:p>
        </c:rich>
      </c:tx>
      <c:layout>
        <c:manualLayout>
          <c:xMode val="edge"/>
          <c:yMode val="edge"/>
          <c:x val="0.37060128429655581"/>
          <c:y val="2.3703703703703737E-2"/>
        </c:manualLayout>
      </c:layout>
      <c:overlay val="0"/>
    </c:title>
    <c:autoTitleDeleted val="0"/>
    <c:plotArea>
      <c:layout/>
      <c:lineChart>
        <c:grouping val="standard"/>
        <c:varyColors val="0"/>
        <c:ser>
          <c:idx val="0"/>
          <c:order val="0"/>
          <c:tx>
            <c:strRef>
              <c:f>Sheet1!$O$8</c:f>
              <c:strCache>
                <c:ptCount val="1"/>
                <c:pt idx="0">
                  <c:v>輸出</c:v>
                </c:pt>
              </c:strCache>
            </c:strRef>
          </c:tx>
          <c:cat>
            <c:numRef>
              <c:f>Sheet1!$N$9:$N$22</c:f>
              <c:numCache>
                <c:formatCode>yyyy"年"mm"月"</c:formatCode>
                <c:ptCount val="14"/>
                <c:pt idx="0">
                  <c:v>41334</c:v>
                </c:pt>
                <c:pt idx="1">
                  <c:v>41365</c:v>
                </c:pt>
                <c:pt idx="2">
                  <c:v>41395</c:v>
                </c:pt>
                <c:pt idx="3">
                  <c:v>41426</c:v>
                </c:pt>
                <c:pt idx="4">
                  <c:v>41456</c:v>
                </c:pt>
                <c:pt idx="5">
                  <c:v>41487</c:v>
                </c:pt>
                <c:pt idx="6">
                  <c:v>41518</c:v>
                </c:pt>
                <c:pt idx="7">
                  <c:v>41548</c:v>
                </c:pt>
                <c:pt idx="8">
                  <c:v>41579</c:v>
                </c:pt>
                <c:pt idx="9">
                  <c:v>41609</c:v>
                </c:pt>
                <c:pt idx="10">
                  <c:v>41640</c:v>
                </c:pt>
                <c:pt idx="11">
                  <c:v>41671</c:v>
                </c:pt>
                <c:pt idx="12">
                  <c:v>41699</c:v>
                </c:pt>
                <c:pt idx="13">
                  <c:v>41730</c:v>
                </c:pt>
              </c:numCache>
            </c:numRef>
          </c:cat>
          <c:val>
            <c:numRef>
              <c:f>Sheet1!$O$9:$O$22</c:f>
              <c:numCache>
                <c:formatCode>#,##0.0</c:formatCode>
                <c:ptCount val="14"/>
                <c:pt idx="0">
                  <c:v>-2.8952855799999995</c:v>
                </c:pt>
                <c:pt idx="1">
                  <c:v>-0.99295372999999987</c:v>
                </c:pt>
                <c:pt idx="2">
                  <c:v>-1.7186240899999996</c:v>
                </c:pt>
                <c:pt idx="3">
                  <c:v>-1.4212211399999997</c:v>
                </c:pt>
                <c:pt idx="4">
                  <c:v>-0.67039316000000004</c:v>
                </c:pt>
                <c:pt idx="5">
                  <c:v>-0.32338822000000012</c:v>
                </c:pt>
                <c:pt idx="6">
                  <c:v>0.52306443999999996</c:v>
                </c:pt>
                <c:pt idx="7">
                  <c:v>1.4034948999999997</c:v>
                </c:pt>
                <c:pt idx="8">
                  <c:v>1.3547575400000003</c:v>
                </c:pt>
                <c:pt idx="9">
                  <c:v>1.1538703699999999</c:v>
                </c:pt>
                <c:pt idx="10" formatCode="General">
                  <c:v>-6.1</c:v>
                </c:pt>
                <c:pt idx="11" formatCode="General">
                  <c:v>-0.9</c:v>
                </c:pt>
                <c:pt idx="12" formatCode="General">
                  <c:v>-0.4</c:v>
                </c:pt>
                <c:pt idx="13" formatCode="General">
                  <c:v>-0.70000000000000007</c:v>
                </c:pt>
              </c:numCache>
            </c:numRef>
          </c:val>
          <c:smooth val="0"/>
        </c:ser>
        <c:ser>
          <c:idx val="1"/>
          <c:order val="1"/>
          <c:tx>
            <c:strRef>
              <c:f>Sheet1!$P$8</c:f>
              <c:strCache>
                <c:ptCount val="1"/>
                <c:pt idx="0">
                  <c:v>輸入</c:v>
                </c:pt>
              </c:strCache>
            </c:strRef>
          </c:tx>
          <c:cat>
            <c:numRef>
              <c:f>Sheet1!$N$9:$N$22</c:f>
              <c:numCache>
                <c:formatCode>yyyy"年"mm"月"</c:formatCode>
                <c:ptCount val="14"/>
                <c:pt idx="0">
                  <c:v>41334</c:v>
                </c:pt>
                <c:pt idx="1">
                  <c:v>41365</c:v>
                </c:pt>
                <c:pt idx="2">
                  <c:v>41395</c:v>
                </c:pt>
                <c:pt idx="3">
                  <c:v>41426</c:v>
                </c:pt>
                <c:pt idx="4">
                  <c:v>41456</c:v>
                </c:pt>
                <c:pt idx="5">
                  <c:v>41487</c:v>
                </c:pt>
                <c:pt idx="6">
                  <c:v>41518</c:v>
                </c:pt>
                <c:pt idx="7">
                  <c:v>41548</c:v>
                </c:pt>
                <c:pt idx="8">
                  <c:v>41579</c:v>
                </c:pt>
                <c:pt idx="9">
                  <c:v>41609</c:v>
                </c:pt>
                <c:pt idx="10">
                  <c:v>41640</c:v>
                </c:pt>
                <c:pt idx="11">
                  <c:v>41671</c:v>
                </c:pt>
                <c:pt idx="12">
                  <c:v>41699</c:v>
                </c:pt>
                <c:pt idx="13">
                  <c:v>41730</c:v>
                </c:pt>
              </c:numCache>
            </c:numRef>
          </c:cat>
          <c:val>
            <c:numRef>
              <c:f>Sheet1!$P$9:$P$22</c:f>
              <c:numCache>
                <c:formatCode>#,##0.0</c:formatCode>
                <c:ptCount val="14"/>
                <c:pt idx="0">
                  <c:v>0.26245217000000004</c:v>
                </c:pt>
                <c:pt idx="1">
                  <c:v>5.258295669999999</c:v>
                </c:pt>
                <c:pt idx="2">
                  <c:v>3.7397308000000002</c:v>
                </c:pt>
                <c:pt idx="3">
                  <c:v>2.9028601899999993</c:v>
                </c:pt>
                <c:pt idx="4">
                  <c:v>3.58573393</c:v>
                </c:pt>
                <c:pt idx="5">
                  <c:v>2.5209328800000002</c:v>
                </c:pt>
                <c:pt idx="6">
                  <c:v>3.7878732800000003</c:v>
                </c:pt>
                <c:pt idx="7">
                  <c:v>3.3226005299999994</c:v>
                </c:pt>
                <c:pt idx="8">
                  <c:v>2.88796629</c:v>
                </c:pt>
                <c:pt idx="9">
                  <c:v>2.4074474899999996</c:v>
                </c:pt>
                <c:pt idx="10">
                  <c:v>-2.7371999100000002</c:v>
                </c:pt>
                <c:pt idx="11">
                  <c:v>-0.77927199000000014</c:v>
                </c:pt>
                <c:pt idx="12">
                  <c:v>2.5077787500000004</c:v>
                </c:pt>
                <c:pt idx="13">
                  <c:v>-0.2</c:v>
                </c:pt>
              </c:numCache>
            </c:numRef>
          </c:val>
          <c:smooth val="0"/>
        </c:ser>
        <c:dLbls>
          <c:showLegendKey val="0"/>
          <c:showVal val="0"/>
          <c:showCatName val="0"/>
          <c:showSerName val="0"/>
          <c:showPercent val="0"/>
          <c:showBubbleSize val="0"/>
        </c:dLbls>
        <c:marker val="1"/>
        <c:smooth val="0"/>
        <c:axId val="92361472"/>
        <c:axId val="92363008"/>
      </c:lineChart>
      <c:dateAx>
        <c:axId val="92361472"/>
        <c:scaling>
          <c:orientation val="minMax"/>
        </c:scaling>
        <c:delete val="1"/>
        <c:axPos val="b"/>
        <c:numFmt formatCode="yyyy&quot;年&quot;mm&quot;月&quot;" sourceLinked="1"/>
        <c:majorTickMark val="none"/>
        <c:minorTickMark val="none"/>
        <c:tickLblPos val="none"/>
        <c:crossAx val="92363008"/>
        <c:crosses val="autoZero"/>
        <c:auto val="1"/>
        <c:lblOffset val="100"/>
        <c:baseTimeUnit val="months"/>
      </c:dateAx>
      <c:valAx>
        <c:axId val="92363008"/>
        <c:scaling>
          <c:orientation val="minMax"/>
        </c:scaling>
        <c:delete val="0"/>
        <c:axPos val="l"/>
        <c:majorGridlines/>
        <c:title>
          <c:tx>
            <c:rich>
              <a:bodyPr rot="0" vert="horz"/>
              <a:lstStyle/>
              <a:p>
                <a:pPr>
                  <a:defRPr b="0"/>
                </a:pPr>
                <a:r>
                  <a:rPr lang="en-US" altLang="ja-JP" b="0"/>
                  <a:t>(%)</a:t>
                </a:r>
                <a:endParaRPr lang="ja-JP" altLang="en-US" b="0"/>
              </a:p>
            </c:rich>
          </c:tx>
          <c:layout>
            <c:manualLayout>
              <c:xMode val="edge"/>
              <c:yMode val="edge"/>
              <c:x val="7.7057793345008868E-2"/>
              <c:y val="6.1989151356080449E-2"/>
            </c:manualLayout>
          </c:layout>
          <c:overlay val="0"/>
        </c:title>
        <c:numFmt formatCode="#,##0.0" sourceLinked="1"/>
        <c:majorTickMark val="none"/>
        <c:minorTickMark val="none"/>
        <c:tickLblPos val="nextTo"/>
        <c:crossAx val="92361472"/>
        <c:crosses val="autoZero"/>
        <c:crossBetween val="between"/>
      </c:valAx>
      <c:dTable>
        <c:showHorzBorder val="1"/>
        <c:showVertBorder val="1"/>
        <c:showOutline val="1"/>
        <c:showKeys val="1"/>
        <c:txPr>
          <a:bodyPr/>
          <a:lstStyle/>
          <a:p>
            <a:pPr rtl="0">
              <a:defRPr sz="900"/>
            </a:pPr>
            <a:endParaRPr lang="ja-JP"/>
          </a:p>
        </c:txPr>
      </c:dTable>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900" b="0" i="0" u="none" strike="noStrike" baseline="0">
                <a:solidFill>
                  <a:srgbClr val="000000"/>
                </a:solidFill>
                <a:latin typeface="ＭＳ Ｐゴシック"/>
                <a:ea typeface="ＭＳ Ｐゴシック"/>
                <a:cs typeface="ＭＳ Ｐゴシック"/>
              </a:defRPr>
            </a:pPr>
            <a:r>
              <a:rPr lang="ja-JP" altLang="en-US" sz="900" b="1" i="0" u="none" strike="noStrike" baseline="0">
                <a:solidFill>
                  <a:srgbClr val="000000"/>
                </a:solidFill>
                <a:latin typeface="ＭＳ Ｐゴシック"/>
                <a:ea typeface="ＭＳ Ｐゴシック"/>
              </a:rPr>
              <a:t>表</a:t>
            </a:r>
            <a:r>
              <a:rPr lang="en-US" altLang="ja-JP" sz="900" b="1" i="0" u="none" strike="noStrike" baseline="0">
                <a:solidFill>
                  <a:srgbClr val="000000"/>
                </a:solidFill>
                <a:latin typeface="ＭＳ Ｐゴシック"/>
                <a:ea typeface="ＭＳ Ｐゴシック"/>
              </a:rPr>
              <a:t>7</a:t>
            </a:r>
            <a:r>
              <a:rPr lang="ja-JP" altLang="en-US" sz="900" b="1" i="0" u="none" strike="noStrike" baseline="0">
                <a:solidFill>
                  <a:srgbClr val="000000"/>
                </a:solidFill>
                <a:latin typeface="ＭＳ Ｐゴシック"/>
                <a:ea typeface="ＭＳ Ｐゴシック"/>
              </a:rPr>
              <a:t>　財政収支</a:t>
            </a:r>
            <a:r>
              <a:rPr lang="en-US" altLang="ja-JP" sz="900" b="1" i="0" u="none" strike="noStrike" baseline="0">
                <a:solidFill>
                  <a:srgbClr val="000000"/>
                </a:solidFill>
                <a:latin typeface="ＭＳ Ｐゴシック"/>
                <a:ea typeface="ＭＳ Ｐゴシック"/>
              </a:rPr>
              <a:t>(</a:t>
            </a:r>
            <a:r>
              <a:rPr lang="ja-JP" altLang="en-US" sz="900" b="1" i="0" u="none" strike="noStrike" baseline="0">
                <a:solidFill>
                  <a:srgbClr val="000000"/>
                </a:solidFill>
                <a:latin typeface="ＭＳ Ｐゴシック"/>
                <a:ea typeface="ＭＳ Ｐゴシック"/>
              </a:rPr>
              <a:t>中央政府）</a:t>
            </a:r>
            <a:endParaRPr lang="en-US" altLang="ja-JP" sz="900" b="1" i="0" u="none" strike="noStrike" baseline="0">
              <a:solidFill>
                <a:srgbClr val="000000"/>
              </a:solidFill>
              <a:latin typeface="ＭＳ Ｐゴシック"/>
              <a:ea typeface="ＭＳ Ｐゴシック"/>
            </a:endParaRPr>
          </a:p>
          <a:p>
            <a:pPr algn="l">
              <a:defRPr sz="900" b="0" i="0" u="none" strike="noStrike" baseline="0">
                <a:solidFill>
                  <a:srgbClr val="000000"/>
                </a:solidFill>
                <a:latin typeface="ＭＳ Ｐゴシック"/>
                <a:ea typeface="ＭＳ Ｐゴシック"/>
                <a:cs typeface="ＭＳ Ｐゴシック"/>
              </a:defRPr>
            </a:pPr>
            <a:r>
              <a:rPr lang="ja-JP" altLang="en-US" sz="900" b="1" i="0" u="none" strike="noStrike" baseline="0">
                <a:solidFill>
                  <a:srgbClr val="000000"/>
                </a:solidFill>
                <a:latin typeface="ＭＳ Ｐゴシック"/>
                <a:ea typeface="ＭＳ Ｐゴシック"/>
              </a:rPr>
              <a:t>累計比較</a:t>
            </a:r>
          </a:p>
        </c:rich>
      </c:tx>
      <c:layout>
        <c:manualLayout>
          <c:xMode val="edge"/>
          <c:yMode val="edge"/>
          <c:x val="0.28223546201211541"/>
          <c:y val="2.9434502505368645E-4"/>
        </c:manualLayout>
      </c:layout>
      <c:overlay val="0"/>
      <c:spPr>
        <a:noFill/>
        <a:ln w="25400">
          <a:noFill/>
        </a:ln>
      </c:spPr>
    </c:title>
    <c:autoTitleDeleted val="0"/>
    <c:plotArea>
      <c:layout>
        <c:manualLayout>
          <c:layoutTarget val="inner"/>
          <c:xMode val="edge"/>
          <c:yMode val="edge"/>
          <c:x val="0.19134886692431866"/>
          <c:y val="0.13020090933195888"/>
          <c:w val="0.60472919972455919"/>
          <c:h val="0.60765330470054879"/>
        </c:manualLayout>
      </c:layout>
      <c:barChart>
        <c:barDir val="col"/>
        <c:grouping val="clustered"/>
        <c:varyColors val="0"/>
        <c:ser>
          <c:idx val="0"/>
          <c:order val="0"/>
          <c:tx>
            <c:strRef>
              <c:f>'2014主要経済指標'!$L$203</c:f>
              <c:strCache>
                <c:ptCount val="1"/>
                <c:pt idx="0">
                  <c:v>歳入</c:v>
                </c:pt>
              </c:strCache>
            </c:strRef>
          </c:tx>
          <c:spPr>
            <a:solidFill>
              <a:srgbClr val="99CCFF"/>
            </a:solidFill>
            <a:ln w="25400">
              <a:noFill/>
            </a:ln>
          </c:spPr>
          <c:invertIfNegative val="0"/>
          <c:cat>
            <c:numRef>
              <c:f>'2014主要経済指標'!$M$202:$N$202</c:f>
              <c:numCache>
                <c:formatCode>yyyy"年"m"月";@</c:formatCode>
                <c:ptCount val="2"/>
                <c:pt idx="0">
                  <c:v>41365</c:v>
                </c:pt>
                <c:pt idx="1">
                  <c:v>41730</c:v>
                </c:pt>
              </c:numCache>
            </c:numRef>
          </c:cat>
          <c:val>
            <c:numRef>
              <c:f>'2014主要経済指標'!$M$203:$N$203</c:f>
              <c:numCache>
                <c:formatCode>#,##0.0;[Red]\-#,##0.0</c:formatCode>
                <c:ptCount val="2"/>
                <c:pt idx="0">
                  <c:v>1105872</c:v>
                </c:pt>
                <c:pt idx="1">
                  <c:v>1197944</c:v>
                </c:pt>
              </c:numCache>
            </c:numRef>
          </c:val>
        </c:ser>
        <c:ser>
          <c:idx val="1"/>
          <c:order val="1"/>
          <c:tx>
            <c:strRef>
              <c:f>'2014主要経済指標'!$L$204</c:f>
              <c:strCache>
                <c:ptCount val="1"/>
                <c:pt idx="0">
                  <c:v>歳出</c:v>
                </c:pt>
              </c:strCache>
            </c:strRef>
          </c:tx>
          <c:spPr>
            <a:solidFill>
              <a:srgbClr val="CC99FF"/>
            </a:solidFill>
            <a:ln w="25400">
              <a:noFill/>
            </a:ln>
          </c:spPr>
          <c:invertIfNegative val="0"/>
          <c:cat>
            <c:numRef>
              <c:f>'2014主要経済指標'!$M$202:$N$202</c:f>
              <c:numCache>
                <c:formatCode>yyyy"年"m"月";@</c:formatCode>
                <c:ptCount val="2"/>
                <c:pt idx="0">
                  <c:v>41365</c:v>
                </c:pt>
                <c:pt idx="1">
                  <c:v>41730</c:v>
                </c:pt>
              </c:numCache>
            </c:numRef>
          </c:cat>
          <c:val>
            <c:numRef>
              <c:f>'2014主要経済指標'!$M$204:$N$204</c:f>
              <c:numCache>
                <c:formatCode>#,##0.0;[Red]\-#,##0.0</c:formatCode>
                <c:ptCount val="2"/>
                <c:pt idx="0">
                  <c:v>1545178</c:v>
                </c:pt>
                <c:pt idx="1">
                  <c:v>1659461</c:v>
                </c:pt>
              </c:numCache>
            </c:numRef>
          </c:val>
        </c:ser>
        <c:ser>
          <c:idx val="2"/>
          <c:order val="2"/>
          <c:tx>
            <c:strRef>
              <c:f>'2014主要経済指標'!$L$205</c:f>
              <c:strCache>
                <c:ptCount val="1"/>
                <c:pt idx="0">
                  <c:v>財政収支</c:v>
                </c:pt>
              </c:strCache>
            </c:strRef>
          </c:tx>
          <c:spPr>
            <a:solidFill>
              <a:srgbClr val="800000"/>
            </a:solidFill>
            <a:ln w="25400">
              <a:noFill/>
            </a:ln>
          </c:spPr>
          <c:invertIfNegative val="0"/>
          <c:cat>
            <c:numRef>
              <c:f>'2014主要経済指標'!$M$202:$N$202</c:f>
              <c:numCache>
                <c:formatCode>yyyy"年"m"月";@</c:formatCode>
                <c:ptCount val="2"/>
                <c:pt idx="0">
                  <c:v>41365</c:v>
                </c:pt>
                <c:pt idx="1">
                  <c:v>41730</c:v>
                </c:pt>
              </c:numCache>
            </c:numRef>
          </c:cat>
          <c:val>
            <c:numRef>
              <c:f>'2014主要経済指標'!$M$205:$N$205</c:f>
              <c:numCache>
                <c:formatCode>#,##0.0;[Red]\-#,##0.0</c:formatCode>
                <c:ptCount val="2"/>
                <c:pt idx="0">
                  <c:v>-439306</c:v>
                </c:pt>
                <c:pt idx="1">
                  <c:v>-461517</c:v>
                </c:pt>
              </c:numCache>
            </c:numRef>
          </c:val>
        </c:ser>
        <c:dLbls>
          <c:showLegendKey val="0"/>
          <c:showVal val="0"/>
          <c:showCatName val="0"/>
          <c:showSerName val="0"/>
          <c:showPercent val="0"/>
          <c:showBubbleSize val="0"/>
        </c:dLbls>
        <c:gapWidth val="150"/>
        <c:axId val="92463104"/>
        <c:axId val="92464640"/>
      </c:barChart>
      <c:lineChart>
        <c:grouping val="standard"/>
        <c:varyColors val="0"/>
        <c:ser>
          <c:idx val="3"/>
          <c:order val="3"/>
          <c:tx>
            <c:strRef>
              <c:f>'2014主要経済指標'!$L$206</c:f>
              <c:strCache>
                <c:ptCount val="1"/>
                <c:pt idx="0">
                  <c:v>対GDP比</c:v>
                </c:pt>
              </c:strCache>
            </c:strRef>
          </c:tx>
          <c:spPr>
            <a:ln w="25400">
              <a:solidFill>
                <a:srgbClr val="333399"/>
              </a:solidFill>
              <a:prstDash val="solid"/>
            </a:ln>
          </c:spPr>
          <c:marker>
            <c:symbol val="circle"/>
            <c:size val="7"/>
            <c:spPr>
              <a:solidFill>
                <a:srgbClr val="333399"/>
              </a:solidFill>
              <a:ln>
                <a:solidFill>
                  <a:srgbClr val="333399"/>
                </a:solidFill>
                <a:prstDash val="solid"/>
              </a:ln>
            </c:spPr>
          </c:marker>
          <c:dLbls>
            <c:dLbl>
              <c:idx val="0"/>
              <c:layout>
                <c:manualLayout>
                  <c:x val="-6.2639695754205624E-2"/>
                  <c:y val="-5.8150642397918263E-2"/>
                </c:manualLayout>
              </c:layout>
              <c:dLblPos val="r"/>
              <c:showLegendKey val="0"/>
              <c:showVal val="1"/>
              <c:showCatName val="0"/>
              <c:showSerName val="0"/>
              <c:showPercent val="0"/>
              <c:showBubbleSize val="0"/>
            </c:dLbl>
            <c:dLbl>
              <c:idx val="1"/>
              <c:layout>
                <c:manualLayout>
                  <c:x val="-4.3024897330595391E-2"/>
                  <c:y val="-5.5395786677747333E-2"/>
                </c:manualLayout>
              </c:layout>
              <c:showLegendKey val="0"/>
              <c:showVal val="1"/>
              <c:showCatName val="0"/>
              <c:showSerName val="0"/>
              <c:showPercent val="0"/>
              <c:showBubbleSize val="0"/>
            </c:dLbl>
            <c:spPr>
              <a:noFill/>
              <a:ln w="25400">
                <a:noFill/>
              </a:ln>
            </c:spPr>
            <c:txPr>
              <a:bodyPr/>
              <a:lstStyle/>
              <a:p>
                <a:pPr>
                  <a:defRPr sz="1000" b="1" i="0" u="none" strike="noStrike" baseline="0">
                    <a:solidFill>
                      <a:srgbClr val="000000"/>
                    </a:solidFill>
                    <a:latin typeface="Calibri"/>
                    <a:ea typeface="Calibri"/>
                    <a:cs typeface="Calibri"/>
                  </a:defRPr>
                </a:pPr>
                <a:endParaRPr lang="ja-JP"/>
              </a:p>
            </c:txPr>
            <c:showLegendKey val="0"/>
            <c:showVal val="1"/>
            <c:showCatName val="0"/>
            <c:showSerName val="0"/>
            <c:showPercent val="0"/>
            <c:showBubbleSize val="0"/>
            <c:showLeaderLines val="0"/>
          </c:dLbls>
          <c:cat>
            <c:numRef>
              <c:f>'2014主要経済指標'!$M$202:$N$202</c:f>
              <c:numCache>
                <c:formatCode>yyyy"年"m"月";@</c:formatCode>
                <c:ptCount val="2"/>
                <c:pt idx="0">
                  <c:v>41365</c:v>
                </c:pt>
                <c:pt idx="1">
                  <c:v>41730</c:v>
                </c:pt>
              </c:numCache>
            </c:numRef>
          </c:cat>
          <c:val>
            <c:numRef>
              <c:f>'2014主要経済指標'!$M$206:$N$206</c:f>
              <c:numCache>
                <c:formatCode>0.0%</c:formatCode>
                <c:ptCount val="2"/>
                <c:pt idx="0">
                  <c:v>-1.7500000000000005E-2</c:v>
                </c:pt>
                <c:pt idx="1">
                  <c:v>-1.8700000000000033E-2</c:v>
                </c:pt>
              </c:numCache>
            </c:numRef>
          </c:val>
          <c:smooth val="0"/>
        </c:ser>
        <c:dLbls>
          <c:showLegendKey val="0"/>
          <c:showVal val="0"/>
          <c:showCatName val="0"/>
          <c:showSerName val="0"/>
          <c:showPercent val="0"/>
          <c:showBubbleSize val="0"/>
        </c:dLbls>
        <c:marker val="1"/>
        <c:smooth val="0"/>
        <c:axId val="92466560"/>
        <c:axId val="92275840"/>
      </c:lineChart>
      <c:catAx>
        <c:axId val="92463104"/>
        <c:scaling>
          <c:orientation val="minMax"/>
        </c:scaling>
        <c:delete val="0"/>
        <c:axPos val="b"/>
        <c:numFmt formatCode="yyyy&quot;年&quot;m&quot;月&quot;;@" sourceLinked="1"/>
        <c:majorTickMark val="in"/>
        <c:minorTickMark val="none"/>
        <c:tickLblPos val="none"/>
        <c:spPr>
          <a:ln w="3175">
            <a:solidFill>
              <a:srgbClr val="000000"/>
            </a:solidFill>
            <a:prstDash val="solid"/>
          </a:ln>
        </c:spPr>
        <c:txPr>
          <a:bodyPr rot="0" vert="horz"/>
          <a:lstStyle/>
          <a:p>
            <a:pPr>
              <a:defRPr sz="1200" b="1" i="0" u="none" strike="noStrike" baseline="0">
                <a:solidFill>
                  <a:srgbClr val="000000"/>
                </a:solidFill>
                <a:latin typeface="ＭＳ Ｐゴシック"/>
                <a:ea typeface="ＭＳ Ｐゴシック"/>
                <a:cs typeface="ＭＳ Ｐゴシック"/>
              </a:defRPr>
            </a:pPr>
            <a:endParaRPr lang="ja-JP"/>
          </a:p>
        </c:txPr>
        <c:crossAx val="92464640"/>
        <c:crosses val="autoZero"/>
        <c:auto val="0"/>
        <c:lblAlgn val="ctr"/>
        <c:lblOffset val="100"/>
        <c:tickMarkSkip val="1"/>
        <c:noMultiLvlLbl val="0"/>
      </c:catAx>
      <c:valAx>
        <c:axId val="92464640"/>
        <c:scaling>
          <c:orientation val="minMax"/>
          <c:min val="-1000000"/>
        </c:scaling>
        <c:delete val="0"/>
        <c:axPos val="l"/>
        <c:majorGridlines>
          <c:spPr>
            <a:ln w="3175">
              <a:solidFill>
                <a:srgbClr val="000000"/>
              </a:solidFill>
              <a:prstDash val="sysDash"/>
            </a:ln>
          </c:spPr>
        </c:majorGridlines>
        <c:title>
          <c:tx>
            <c:rich>
              <a:bodyPr rot="0" vert="horz"/>
              <a:lstStyle/>
              <a:p>
                <a:pPr algn="ctr">
                  <a:defRPr sz="800" b="0" i="0" u="none" strike="noStrike" baseline="0">
                    <a:solidFill>
                      <a:srgbClr val="000000"/>
                    </a:solidFill>
                    <a:latin typeface="ＭＳ Ｐゴシック"/>
                    <a:ea typeface="ＭＳ Ｐゴシック"/>
                    <a:cs typeface="ＭＳ Ｐゴシック"/>
                  </a:defRPr>
                </a:pPr>
                <a:r>
                  <a:rPr lang="en-US" altLang="ja-JP" sz="800" b="0" i="0" u="none" strike="noStrike" baseline="0">
                    <a:solidFill>
                      <a:srgbClr val="000000"/>
                    </a:solidFill>
                    <a:latin typeface="ＭＳ Ｐゴシック"/>
                    <a:ea typeface="ＭＳ Ｐゴシック"/>
                  </a:rPr>
                  <a:t>(</a:t>
                </a:r>
                <a:r>
                  <a:rPr lang="ja-JP" altLang="en-US" sz="800" b="0" i="0" u="none" strike="noStrike" baseline="0">
                    <a:solidFill>
                      <a:srgbClr val="000000"/>
                    </a:solidFill>
                    <a:latin typeface="ＭＳ Ｐゴシック"/>
                    <a:ea typeface="ＭＳ Ｐゴシック"/>
                  </a:rPr>
                  <a:t>百万コロン）</a:t>
                </a:r>
              </a:p>
            </c:rich>
          </c:tx>
          <c:layout>
            <c:manualLayout>
              <c:xMode val="edge"/>
              <c:yMode val="edge"/>
              <c:x val="2.308872987834696E-2"/>
              <c:y val="1.8737294201861131E-3"/>
            </c:manualLayout>
          </c:layout>
          <c:overlay val="0"/>
          <c:spPr>
            <a:noFill/>
            <a:ln w="25400">
              <a:noFill/>
            </a:ln>
          </c:spPr>
        </c:title>
        <c:numFmt formatCode="#,##0"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Calibri"/>
                <a:ea typeface="Calibri"/>
                <a:cs typeface="Calibri"/>
              </a:defRPr>
            </a:pPr>
            <a:endParaRPr lang="ja-JP"/>
          </a:p>
        </c:txPr>
        <c:crossAx val="92463104"/>
        <c:crosses val="autoZero"/>
        <c:crossBetween val="between"/>
        <c:majorUnit val="500000"/>
      </c:valAx>
      <c:dateAx>
        <c:axId val="92466560"/>
        <c:scaling>
          <c:orientation val="minMax"/>
        </c:scaling>
        <c:delete val="1"/>
        <c:axPos val="t"/>
        <c:numFmt formatCode="yyyy&quot;年&quot;m&quot;月&quot;;@" sourceLinked="1"/>
        <c:majorTickMark val="out"/>
        <c:minorTickMark val="none"/>
        <c:tickLblPos val="none"/>
        <c:crossAx val="92275840"/>
        <c:crosses val="autoZero"/>
        <c:auto val="1"/>
        <c:lblOffset val="100"/>
        <c:baseTimeUnit val="years"/>
      </c:dateAx>
      <c:valAx>
        <c:axId val="92275840"/>
        <c:scaling>
          <c:orientation val="maxMin"/>
          <c:max val="5.0000000000000114E-3"/>
          <c:min val="-0.05"/>
        </c:scaling>
        <c:delete val="0"/>
        <c:axPos val="r"/>
        <c:title>
          <c:tx>
            <c:rich>
              <a:bodyPr rot="0" vert="horz"/>
              <a:lstStyle/>
              <a:p>
                <a:pPr>
                  <a:defRPr sz="800"/>
                </a:pPr>
                <a:r>
                  <a:rPr lang="ja-JP" altLang="en-US" sz="800"/>
                  <a:t>対</a:t>
                </a:r>
                <a:r>
                  <a:rPr lang="en-US" altLang="ja-JP" sz="800"/>
                  <a:t>GDP</a:t>
                </a:r>
                <a:r>
                  <a:rPr lang="ja-JP" altLang="en-US" sz="800"/>
                  <a:t>比</a:t>
                </a:r>
              </a:p>
            </c:rich>
          </c:tx>
          <c:layout>
            <c:manualLayout>
              <c:xMode val="edge"/>
              <c:yMode val="edge"/>
              <c:x val="0.82900253629912479"/>
              <c:y val="5.567262296547297E-2"/>
            </c:manualLayout>
          </c:layout>
          <c:overlay val="0"/>
        </c:title>
        <c:numFmt formatCode="0.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Calibri"/>
                <a:ea typeface="Calibri"/>
                <a:cs typeface="Calibri"/>
              </a:defRPr>
            </a:pPr>
            <a:endParaRPr lang="ja-JP"/>
          </a:p>
        </c:txPr>
        <c:crossAx val="92466560"/>
        <c:crosses val="max"/>
        <c:crossBetween val="between"/>
        <c:majorUnit val="1.0000000000000005E-2"/>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ja-JP"/>
          </a:p>
        </c:txPr>
      </c:dTable>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900" b="0" i="0" u="none" strike="noStrike" baseline="0">
                <a:solidFill>
                  <a:srgbClr val="000000"/>
                </a:solidFill>
                <a:latin typeface="ＭＳ Ｐゴシック"/>
                <a:ea typeface="ＭＳ Ｐゴシック"/>
                <a:cs typeface="ＭＳ Ｐゴシック"/>
              </a:defRPr>
            </a:pPr>
            <a:r>
              <a:rPr lang="ja-JP" altLang="en-US" sz="900" b="1" i="0" u="none" strike="noStrike" baseline="0">
                <a:solidFill>
                  <a:srgbClr val="000000"/>
                </a:solidFill>
                <a:latin typeface="ＭＳ Ｐゴシック"/>
                <a:ea typeface="ＭＳ Ｐゴシック"/>
              </a:rPr>
              <a:t>表</a:t>
            </a:r>
            <a:r>
              <a:rPr lang="en-US" altLang="ja-JP" sz="900" b="1" i="0" u="none" strike="noStrike" baseline="0">
                <a:solidFill>
                  <a:srgbClr val="000000"/>
                </a:solidFill>
                <a:latin typeface="ＭＳ Ｐゴシック"/>
                <a:ea typeface="ＭＳ Ｐゴシック"/>
              </a:rPr>
              <a:t>6</a:t>
            </a:r>
            <a:r>
              <a:rPr lang="ja-JP" altLang="en-US" sz="900" b="1" i="0" u="none" strike="noStrike" baseline="0">
                <a:solidFill>
                  <a:srgbClr val="000000"/>
                </a:solidFill>
                <a:latin typeface="ＭＳ Ｐゴシック"/>
                <a:ea typeface="ＭＳ Ｐゴシック"/>
              </a:rPr>
              <a:t>　財政収支</a:t>
            </a:r>
            <a:r>
              <a:rPr lang="en-US" altLang="ja-JP" sz="900" b="1" i="0" u="none" strike="noStrike" baseline="0">
                <a:solidFill>
                  <a:srgbClr val="000000"/>
                </a:solidFill>
                <a:latin typeface="ＭＳ Ｐゴシック"/>
                <a:ea typeface="ＭＳ Ｐゴシック"/>
              </a:rPr>
              <a:t>(</a:t>
            </a:r>
            <a:r>
              <a:rPr lang="ja-JP" altLang="en-US" sz="900" b="1" i="0" u="none" strike="noStrike" baseline="0">
                <a:solidFill>
                  <a:srgbClr val="000000"/>
                </a:solidFill>
                <a:latin typeface="ＭＳ Ｐゴシック"/>
                <a:ea typeface="ＭＳ Ｐゴシック"/>
              </a:rPr>
              <a:t>中央政府）</a:t>
            </a:r>
            <a:endParaRPr lang="en-US" altLang="ja-JP" sz="900" b="1" i="0" u="none" strike="noStrike" baseline="0">
              <a:solidFill>
                <a:srgbClr val="000000"/>
              </a:solidFill>
              <a:latin typeface="ＭＳ Ｐゴシック"/>
              <a:ea typeface="ＭＳ Ｐゴシック"/>
            </a:endParaRPr>
          </a:p>
          <a:p>
            <a:pPr algn="l">
              <a:defRPr sz="900" b="0" i="0" u="none" strike="noStrike" baseline="0">
                <a:solidFill>
                  <a:srgbClr val="000000"/>
                </a:solidFill>
                <a:latin typeface="ＭＳ Ｐゴシック"/>
                <a:ea typeface="ＭＳ Ｐゴシック"/>
                <a:cs typeface="ＭＳ Ｐゴシック"/>
              </a:defRPr>
            </a:pPr>
            <a:r>
              <a:rPr lang="ja-JP" altLang="en-US" sz="900" b="1" i="0" u="none" strike="noStrike" baseline="0">
                <a:solidFill>
                  <a:srgbClr val="000000"/>
                </a:solidFill>
                <a:latin typeface="ＭＳ Ｐゴシック"/>
                <a:ea typeface="ＭＳ Ｐゴシック"/>
              </a:rPr>
              <a:t>累計比較</a:t>
            </a:r>
          </a:p>
        </c:rich>
      </c:tx>
      <c:layout>
        <c:manualLayout>
          <c:xMode val="edge"/>
          <c:yMode val="edge"/>
          <c:x val="0.28360467809170914"/>
          <c:y val="3.6389267595967464E-3"/>
        </c:manualLayout>
      </c:layout>
      <c:overlay val="0"/>
      <c:spPr>
        <a:noFill/>
        <a:ln w="25400">
          <a:noFill/>
        </a:ln>
      </c:spPr>
    </c:title>
    <c:autoTitleDeleted val="0"/>
    <c:plotArea>
      <c:layout>
        <c:manualLayout>
          <c:layoutTarget val="inner"/>
          <c:xMode val="edge"/>
          <c:yMode val="edge"/>
          <c:x val="0.19134886692431866"/>
          <c:y val="0.13020090933195888"/>
          <c:w val="0.61178908950102973"/>
          <c:h val="0.40498366964579602"/>
        </c:manualLayout>
      </c:layout>
      <c:barChart>
        <c:barDir val="col"/>
        <c:grouping val="clustered"/>
        <c:varyColors val="0"/>
        <c:ser>
          <c:idx val="0"/>
          <c:order val="0"/>
          <c:tx>
            <c:strRef>
              <c:f>'2014主要経済指標'!$L$203</c:f>
              <c:strCache>
                <c:ptCount val="1"/>
                <c:pt idx="0">
                  <c:v>歳入</c:v>
                </c:pt>
              </c:strCache>
            </c:strRef>
          </c:tx>
          <c:spPr>
            <a:solidFill>
              <a:srgbClr val="99CCFF"/>
            </a:solidFill>
            <a:ln w="25400">
              <a:noFill/>
            </a:ln>
          </c:spPr>
          <c:invertIfNegative val="0"/>
          <c:cat>
            <c:numRef>
              <c:f>'2014主要経済指標'!$M$202:$N$202</c:f>
              <c:numCache>
                <c:formatCode>yyyy"年"m"月";@</c:formatCode>
                <c:ptCount val="2"/>
                <c:pt idx="0">
                  <c:v>41334</c:v>
                </c:pt>
                <c:pt idx="1">
                  <c:v>41699</c:v>
                </c:pt>
              </c:numCache>
            </c:numRef>
          </c:cat>
          <c:val>
            <c:numRef>
              <c:f>'2014主要経済指標'!$M$203:$N$203</c:f>
              <c:numCache>
                <c:formatCode>#,##0.0;[Red]\-#,##0.0</c:formatCode>
                <c:ptCount val="2"/>
                <c:pt idx="0">
                  <c:v>840183</c:v>
                </c:pt>
                <c:pt idx="1">
                  <c:v>886765</c:v>
                </c:pt>
              </c:numCache>
            </c:numRef>
          </c:val>
        </c:ser>
        <c:ser>
          <c:idx val="1"/>
          <c:order val="1"/>
          <c:tx>
            <c:strRef>
              <c:f>'2014主要経済指標'!$L$204</c:f>
              <c:strCache>
                <c:ptCount val="1"/>
                <c:pt idx="0">
                  <c:v>歳出</c:v>
                </c:pt>
              </c:strCache>
            </c:strRef>
          </c:tx>
          <c:spPr>
            <a:solidFill>
              <a:srgbClr val="CC99FF"/>
            </a:solidFill>
            <a:ln w="25400">
              <a:noFill/>
            </a:ln>
          </c:spPr>
          <c:invertIfNegative val="0"/>
          <c:cat>
            <c:numRef>
              <c:f>'2014主要経済指標'!$M$202:$N$202</c:f>
              <c:numCache>
                <c:formatCode>yyyy"年"m"月";@</c:formatCode>
                <c:ptCount val="2"/>
                <c:pt idx="0">
                  <c:v>41334</c:v>
                </c:pt>
                <c:pt idx="1">
                  <c:v>41699</c:v>
                </c:pt>
              </c:numCache>
            </c:numRef>
          </c:cat>
          <c:val>
            <c:numRef>
              <c:f>'2014主要経済指標'!$M$204:$N$204</c:f>
              <c:numCache>
                <c:formatCode>#,##0.0;[Red]\-#,##0.0</c:formatCode>
                <c:ptCount val="2"/>
                <c:pt idx="0">
                  <c:v>1191110</c:v>
                </c:pt>
                <c:pt idx="1">
                  <c:v>1292374</c:v>
                </c:pt>
              </c:numCache>
            </c:numRef>
          </c:val>
        </c:ser>
        <c:ser>
          <c:idx val="2"/>
          <c:order val="2"/>
          <c:tx>
            <c:strRef>
              <c:f>'2014主要経済指標'!$L$205</c:f>
              <c:strCache>
                <c:ptCount val="1"/>
                <c:pt idx="0">
                  <c:v>財政収支</c:v>
                </c:pt>
              </c:strCache>
            </c:strRef>
          </c:tx>
          <c:spPr>
            <a:solidFill>
              <a:srgbClr val="800000"/>
            </a:solidFill>
            <a:ln w="25400">
              <a:noFill/>
            </a:ln>
          </c:spPr>
          <c:invertIfNegative val="0"/>
          <c:cat>
            <c:numRef>
              <c:f>'2014主要経済指標'!$M$202:$N$202</c:f>
              <c:numCache>
                <c:formatCode>yyyy"年"m"月";@</c:formatCode>
                <c:ptCount val="2"/>
                <c:pt idx="0">
                  <c:v>41334</c:v>
                </c:pt>
                <c:pt idx="1">
                  <c:v>41699</c:v>
                </c:pt>
              </c:numCache>
            </c:numRef>
          </c:cat>
          <c:val>
            <c:numRef>
              <c:f>'2014主要経済指標'!$M$205:$N$205</c:f>
              <c:numCache>
                <c:formatCode>#,##0.0;[Red]\-#,##0.0</c:formatCode>
                <c:ptCount val="2"/>
                <c:pt idx="0">
                  <c:v>-350927</c:v>
                </c:pt>
                <c:pt idx="1">
                  <c:v>-405609</c:v>
                </c:pt>
              </c:numCache>
            </c:numRef>
          </c:val>
        </c:ser>
        <c:dLbls>
          <c:showLegendKey val="0"/>
          <c:showVal val="0"/>
          <c:showCatName val="0"/>
          <c:showSerName val="0"/>
          <c:showPercent val="0"/>
          <c:showBubbleSize val="0"/>
        </c:dLbls>
        <c:gapWidth val="150"/>
        <c:axId val="85076608"/>
        <c:axId val="93434240"/>
      </c:barChart>
      <c:lineChart>
        <c:grouping val="standard"/>
        <c:varyColors val="0"/>
        <c:ser>
          <c:idx val="3"/>
          <c:order val="3"/>
          <c:tx>
            <c:strRef>
              <c:f>'2014主要経済指標'!$L$206</c:f>
              <c:strCache>
                <c:ptCount val="1"/>
                <c:pt idx="0">
                  <c:v>対GDP比</c:v>
                </c:pt>
              </c:strCache>
            </c:strRef>
          </c:tx>
          <c:spPr>
            <a:ln w="25400">
              <a:solidFill>
                <a:srgbClr val="333399"/>
              </a:solidFill>
              <a:prstDash val="solid"/>
            </a:ln>
          </c:spPr>
          <c:marker>
            <c:symbol val="circle"/>
            <c:size val="7"/>
            <c:spPr>
              <a:solidFill>
                <a:srgbClr val="333399"/>
              </a:solidFill>
              <a:ln>
                <a:solidFill>
                  <a:srgbClr val="333399"/>
                </a:solidFill>
                <a:prstDash val="solid"/>
              </a:ln>
            </c:spPr>
          </c:marker>
          <c:dLbls>
            <c:dLbl>
              <c:idx val="0"/>
              <c:layout>
                <c:manualLayout>
                  <c:x val="-6.2639695754205624E-2"/>
                  <c:y val="-5.8150642397918263E-2"/>
                </c:manualLayout>
              </c:layout>
              <c:dLblPos val="r"/>
              <c:showLegendKey val="0"/>
              <c:showVal val="1"/>
              <c:showCatName val="0"/>
              <c:showSerName val="0"/>
              <c:showPercent val="0"/>
              <c:showBubbleSize val="0"/>
            </c:dLbl>
            <c:dLbl>
              <c:idx val="1"/>
              <c:layout>
                <c:manualLayout>
                  <c:x val="-4.3024897330595391E-2"/>
                  <c:y val="-5.5395786677747333E-2"/>
                </c:manualLayout>
              </c:layout>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Calibri"/>
                    <a:ea typeface="Calibri"/>
                    <a:cs typeface="Calibri"/>
                  </a:defRPr>
                </a:pPr>
                <a:endParaRPr lang="ja-JP"/>
              </a:p>
            </c:txPr>
            <c:showLegendKey val="0"/>
            <c:showVal val="1"/>
            <c:showCatName val="0"/>
            <c:showSerName val="0"/>
            <c:showPercent val="0"/>
            <c:showBubbleSize val="0"/>
            <c:showLeaderLines val="0"/>
          </c:dLbls>
          <c:cat>
            <c:numRef>
              <c:f>'2014主要経済指標'!$M$202:$N$202</c:f>
              <c:numCache>
                <c:formatCode>yyyy"年"m"月";@</c:formatCode>
                <c:ptCount val="2"/>
                <c:pt idx="0">
                  <c:v>41334</c:v>
                </c:pt>
                <c:pt idx="1">
                  <c:v>41699</c:v>
                </c:pt>
              </c:numCache>
            </c:numRef>
          </c:cat>
          <c:val>
            <c:numRef>
              <c:f>'2014主要経済指標'!$M$206:$N$206</c:f>
              <c:numCache>
                <c:formatCode>0.0%</c:formatCode>
                <c:ptCount val="2"/>
                <c:pt idx="0">
                  <c:v>-1.4E-2</c:v>
                </c:pt>
                <c:pt idx="1">
                  <c:v>-1.6000000000000011E-2</c:v>
                </c:pt>
              </c:numCache>
            </c:numRef>
          </c:val>
          <c:smooth val="0"/>
        </c:ser>
        <c:dLbls>
          <c:showLegendKey val="0"/>
          <c:showVal val="0"/>
          <c:showCatName val="0"/>
          <c:showSerName val="0"/>
          <c:showPercent val="0"/>
          <c:showBubbleSize val="0"/>
        </c:dLbls>
        <c:marker val="1"/>
        <c:smooth val="0"/>
        <c:axId val="93436160"/>
        <c:axId val="93442048"/>
      </c:lineChart>
      <c:catAx>
        <c:axId val="85076608"/>
        <c:scaling>
          <c:orientation val="minMax"/>
        </c:scaling>
        <c:delete val="0"/>
        <c:axPos val="b"/>
        <c:numFmt formatCode="yyyy&quot;年&quot;m&quot;月&quot;;@" sourceLinked="1"/>
        <c:majorTickMark val="in"/>
        <c:minorTickMark val="none"/>
        <c:tickLblPos val="none"/>
        <c:spPr>
          <a:ln w="3175">
            <a:solidFill>
              <a:srgbClr val="000000"/>
            </a:solidFill>
            <a:prstDash val="solid"/>
          </a:ln>
        </c:spPr>
        <c:txPr>
          <a:bodyPr rot="0" vert="horz"/>
          <a:lstStyle/>
          <a:p>
            <a:pPr>
              <a:defRPr sz="1200" b="1" i="0" u="none" strike="noStrike" baseline="0">
                <a:solidFill>
                  <a:srgbClr val="000000"/>
                </a:solidFill>
                <a:latin typeface="ＭＳ Ｐゴシック"/>
                <a:ea typeface="ＭＳ Ｐゴシック"/>
                <a:cs typeface="ＭＳ Ｐゴシック"/>
              </a:defRPr>
            </a:pPr>
            <a:endParaRPr lang="ja-JP"/>
          </a:p>
        </c:txPr>
        <c:crossAx val="93434240"/>
        <c:crosses val="autoZero"/>
        <c:auto val="0"/>
        <c:lblAlgn val="ctr"/>
        <c:lblOffset val="100"/>
        <c:tickMarkSkip val="1"/>
        <c:noMultiLvlLbl val="0"/>
      </c:catAx>
      <c:valAx>
        <c:axId val="93434240"/>
        <c:scaling>
          <c:orientation val="minMax"/>
          <c:min val="-1000000"/>
        </c:scaling>
        <c:delete val="0"/>
        <c:axPos val="l"/>
        <c:majorGridlines>
          <c:spPr>
            <a:ln w="3175">
              <a:solidFill>
                <a:srgbClr val="000000"/>
              </a:solidFill>
              <a:prstDash val="sysDash"/>
            </a:ln>
          </c:spPr>
        </c:majorGridlines>
        <c:title>
          <c:tx>
            <c:rich>
              <a:bodyPr rot="0" vert="horz"/>
              <a:lstStyle/>
              <a:p>
                <a:pPr algn="ctr">
                  <a:defRPr sz="800" b="0" i="0" u="none" strike="noStrike" baseline="0">
                    <a:solidFill>
                      <a:srgbClr val="000000"/>
                    </a:solidFill>
                    <a:latin typeface="ＭＳ Ｐゴシック"/>
                    <a:ea typeface="ＭＳ Ｐゴシック"/>
                    <a:cs typeface="ＭＳ Ｐゴシック"/>
                  </a:defRPr>
                </a:pPr>
                <a:r>
                  <a:rPr lang="en-US" altLang="ja-JP" sz="800" b="0" i="0" u="none" strike="noStrike" baseline="0">
                    <a:solidFill>
                      <a:srgbClr val="000000"/>
                    </a:solidFill>
                    <a:latin typeface="ＭＳ Ｐゴシック"/>
                    <a:ea typeface="ＭＳ Ｐゴシック"/>
                  </a:rPr>
                  <a:t>(</a:t>
                </a:r>
                <a:r>
                  <a:rPr lang="ja-JP" altLang="en-US" sz="800" b="0" i="0" u="none" strike="noStrike" baseline="0">
                    <a:solidFill>
                      <a:srgbClr val="000000"/>
                    </a:solidFill>
                    <a:latin typeface="ＭＳ Ｐゴシック"/>
                    <a:ea typeface="ＭＳ Ｐゴシック"/>
                  </a:rPr>
                  <a:t>百万コロン）</a:t>
                </a:r>
              </a:p>
            </c:rich>
          </c:tx>
          <c:layout>
            <c:manualLayout>
              <c:xMode val="edge"/>
              <c:yMode val="edge"/>
              <c:x val="2.5684456109652962E-2"/>
              <c:y val="4.1428889185461983E-3"/>
            </c:manualLayout>
          </c:layout>
          <c:overlay val="0"/>
          <c:spPr>
            <a:noFill/>
            <a:ln w="25400">
              <a:noFill/>
            </a:ln>
          </c:spPr>
        </c:title>
        <c:numFmt formatCode="#,##0"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Calibri"/>
                <a:ea typeface="Calibri"/>
                <a:cs typeface="Calibri"/>
              </a:defRPr>
            </a:pPr>
            <a:endParaRPr lang="ja-JP"/>
          </a:p>
        </c:txPr>
        <c:crossAx val="85076608"/>
        <c:crosses val="autoZero"/>
        <c:crossBetween val="between"/>
        <c:majorUnit val="500000"/>
      </c:valAx>
      <c:dateAx>
        <c:axId val="93436160"/>
        <c:scaling>
          <c:orientation val="minMax"/>
        </c:scaling>
        <c:delete val="1"/>
        <c:axPos val="t"/>
        <c:numFmt formatCode="yyyy&quot;年&quot;m&quot;月&quot;;@" sourceLinked="1"/>
        <c:majorTickMark val="out"/>
        <c:minorTickMark val="none"/>
        <c:tickLblPos val="none"/>
        <c:crossAx val="93442048"/>
        <c:crosses val="autoZero"/>
        <c:auto val="1"/>
        <c:lblOffset val="100"/>
        <c:baseTimeUnit val="years"/>
      </c:dateAx>
      <c:valAx>
        <c:axId val="93442048"/>
        <c:scaling>
          <c:orientation val="maxMin"/>
          <c:max val="5.0000000000000114E-3"/>
          <c:min val="-0.05"/>
        </c:scaling>
        <c:delete val="0"/>
        <c:axPos val="r"/>
        <c:title>
          <c:tx>
            <c:rich>
              <a:bodyPr rot="0" vert="horz"/>
              <a:lstStyle/>
              <a:p>
                <a:pPr>
                  <a:defRPr sz="800"/>
                </a:pPr>
                <a:r>
                  <a:rPr lang="ja-JP" altLang="en-US" sz="800"/>
                  <a:t>対</a:t>
                </a:r>
                <a:r>
                  <a:rPr lang="en-US" altLang="ja-JP" sz="800"/>
                  <a:t>GDP</a:t>
                </a:r>
                <a:r>
                  <a:rPr lang="ja-JP" altLang="en-US" sz="800"/>
                  <a:t>比</a:t>
                </a:r>
              </a:p>
            </c:rich>
          </c:tx>
          <c:layout>
            <c:manualLayout>
              <c:xMode val="edge"/>
              <c:yMode val="edge"/>
              <c:x val="0.80508430609597925"/>
              <c:y val="4.6919524889897236E-2"/>
            </c:manualLayout>
          </c:layout>
          <c:overlay val="0"/>
        </c:title>
        <c:numFmt formatCode="0.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Calibri"/>
                <a:ea typeface="Calibri"/>
                <a:cs typeface="Calibri"/>
              </a:defRPr>
            </a:pPr>
            <a:endParaRPr lang="ja-JP"/>
          </a:p>
        </c:txPr>
        <c:crossAx val="93436160"/>
        <c:crosses val="max"/>
        <c:crossBetween val="between"/>
        <c:majorUnit val="1.0000000000000005E-2"/>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ja-JP"/>
          </a:p>
        </c:txPr>
      </c:dTable>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ja-JP" altLang="en-US" sz="1050"/>
              <a:t>表</a:t>
            </a:r>
            <a:r>
              <a:rPr lang="en-US" altLang="ja-JP" sz="1050"/>
              <a:t>8</a:t>
            </a:r>
            <a:r>
              <a:rPr lang="ja-JP" altLang="en-US" sz="1050"/>
              <a:t>　消費者物価指数</a:t>
            </a:r>
            <a:r>
              <a:rPr lang="en-US" altLang="ja-JP" sz="1050"/>
              <a:t>(</a:t>
            </a:r>
            <a:r>
              <a:rPr lang="ja-JP" altLang="en-US" sz="1050"/>
              <a:t>月間累計</a:t>
            </a:r>
            <a:r>
              <a:rPr lang="en-US" altLang="ja-JP" sz="1050"/>
              <a:t>)</a:t>
            </a:r>
            <a:endParaRPr lang="ja-JP" altLang="en-US" sz="1050"/>
          </a:p>
        </c:rich>
      </c:tx>
      <c:layout/>
      <c:overlay val="0"/>
    </c:title>
    <c:autoTitleDeleted val="0"/>
    <c:plotArea>
      <c:layout/>
      <c:lineChart>
        <c:grouping val="standard"/>
        <c:varyColors val="0"/>
        <c:ser>
          <c:idx val="0"/>
          <c:order val="0"/>
          <c:tx>
            <c:strRef>
              <c:f>Hoja1!$G$23</c:f>
              <c:strCache>
                <c:ptCount val="1"/>
                <c:pt idx="0">
                  <c:v>2013年</c:v>
                </c:pt>
              </c:strCache>
            </c:strRef>
          </c:tx>
          <c:dLbls>
            <c:dLbl>
              <c:idx val="0"/>
              <c:layout>
                <c:manualLayout>
                  <c:x val="-4.8780487804878175E-2"/>
                  <c:y val="-9.6385542168674954E-2"/>
                </c:manualLayout>
              </c:layout>
              <c:showLegendKey val="0"/>
              <c:showVal val="1"/>
              <c:showCatName val="0"/>
              <c:showSerName val="0"/>
              <c:showPercent val="0"/>
              <c:showBubbleSize val="0"/>
            </c:dLbl>
            <c:dLbl>
              <c:idx val="1"/>
              <c:layout>
                <c:manualLayout>
                  <c:x val="-6.5040650406504086E-2"/>
                  <c:y val="-4.8192771084337442E-2"/>
                </c:manualLayout>
              </c:layout>
              <c:showLegendKey val="0"/>
              <c:showVal val="1"/>
              <c:showCatName val="0"/>
              <c:showSerName val="0"/>
              <c:showPercent val="0"/>
              <c:showBubbleSize val="0"/>
            </c:dLbl>
            <c:dLbl>
              <c:idx val="2"/>
              <c:layout>
                <c:manualLayout>
                  <c:x val="-6.23306233062332E-2"/>
                  <c:y val="-6.8273092369477886E-2"/>
                </c:manualLayout>
              </c:layout>
              <c:showLegendKey val="0"/>
              <c:showVal val="1"/>
              <c:showCatName val="0"/>
              <c:showSerName val="0"/>
              <c:showPercent val="0"/>
              <c:showBubbleSize val="0"/>
            </c:dLbl>
            <c:dLbl>
              <c:idx val="3"/>
              <c:layout>
                <c:manualLayout>
                  <c:x val="-4.6070460704607095E-2"/>
                  <c:y val="-6.024096385542177E-2"/>
                </c:manualLayout>
              </c:layout>
              <c:showLegendKey val="0"/>
              <c:showVal val="1"/>
              <c:showCatName val="0"/>
              <c:showSerName val="0"/>
              <c:showPercent val="0"/>
              <c:showBubbleSize val="0"/>
            </c:dLbl>
            <c:dLbl>
              <c:idx val="4"/>
              <c:layout>
                <c:manualLayout>
                  <c:x val="-4.0650406504064922E-2"/>
                  <c:y val="-4.8192771084337442E-2"/>
                </c:manualLayout>
              </c:layout>
              <c:showLegendKey val="0"/>
              <c:showVal val="1"/>
              <c:showCatName val="0"/>
              <c:showSerName val="0"/>
              <c:showPercent val="0"/>
              <c:showBubbleSize val="0"/>
            </c:dLbl>
            <c:dLbl>
              <c:idx val="5"/>
              <c:layout>
                <c:manualLayout>
                  <c:x val="-3.252032520325198E-2"/>
                  <c:y val="4.8192771084337442E-2"/>
                </c:manualLayout>
              </c:layout>
              <c:showLegendKey val="0"/>
              <c:showVal val="1"/>
              <c:showCatName val="0"/>
              <c:showSerName val="0"/>
              <c:showPercent val="0"/>
              <c:showBubbleSize val="0"/>
            </c:dLbl>
            <c:dLbl>
              <c:idx val="6"/>
              <c:layout>
                <c:manualLayout>
                  <c:x val="-5.1490514905149137E-2"/>
                  <c:y val="-4.4176706827309314E-2"/>
                </c:manualLayout>
              </c:layout>
              <c:showLegendKey val="0"/>
              <c:showVal val="1"/>
              <c:showCatName val="0"/>
              <c:showSerName val="0"/>
              <c:showPercent val="0"/>
              <c:showBubbleSize val="0"/>
            </c:dLbl>
            <c:dLbl>
              <c:idx val="7"/>
              <c:layout>
                <c:manualLayout>
                  <c:x val="-4.065040650406504E-2"/>
                  <c:y val="4.8192771084337442E-2"/>
                </c:manualLayout>
              </c:layout>
              <c:showLegendKey val="0"/>
              <c:showVal val="1"/>
              <c:showCatName val="0"/>
              <c:showSerName val="0"/>
              <c:showPercent val="0"/>
              <c:showBubbleSize val="0"/>
            </c:dLbl>
            <c:dLbl>
              <c:idx val="8"/>
              <c:layout>
                <c:manualLayout>
                  <c:x val="-2.7100271002710062E-3"/>
                  <c:y val="-8.0321285140562242E-3"/>
                </c:manualLayout>
              </c:layout>
              <c:showLegendKey val="0"/>
              <c:showVal val="1"/>
              <c:showCatName val="0"/>
              <c:showSerName val="0"/>
              <c:showPercent val="0"/>
              <c:showBubbleSize val="0"/>
            </c:dLbl>
            <c:dLbl>
              <c:idx val="9"/>
              <c:layout>
                <c:manualLayout>
                  <c:x val="-5.4200542005420072E-2"/>
                  <c:y val="5.6224899598393545E-2"/>
                </c:manualLayout>
              </c:layout>
              <c:showLegendKey val="0"/>
              <c:showVal val="1"/>
              <c:showCatName val="0"/>
              <c:showSerName val="0"/>
              <c:showPercent val="0"/>
              <c:showBubbleSize val="0"/>
            </c:dLbl>
            <c:txPr>
              <a:bodyPr/>
              <a:lstStyle/>
              <a:p>
                <a:pPr>
                  <a:defRPr sz="800" b="0" i="1"/>
                </a:pPr>
                <a:endParaRPr lang="ja-JP"/>
              </a:p>
            </c:txPr>
            <c:showLegendKey val="0"/>
            <c:showVal val="1"/>
            <c:showCatName val="0"/>
            <c:showSerName val="0"/>
            <c:showPercent val="0"/>
            <c:showBubbleSize val="0"/>
            <c:showLeaderLines val="0"/>
          </c:dLbls>
          <c:cat>
            <c:strRef>
              <c:f>Hoja1!$F$24:$F$35</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Hoja1!$G$24:$G$35</c:f>
              <c:numCache>
                <c:formatCode>General</c:formatCode>
                <c:ptCount val="12"/>
                <c:pt idx="0">
                  <c:v>1.31</c:v>
                </c:pt>
                <c:pt idx="1">
                  <c:v>2.34</c:v>
                </c:pt>
                <c:pt idx="2">
                  <c:v>2.46</c:v>
                </c:pt>
                <c:pt idx="3">
                  <c:v>3.2</c:v>
                </c:pt>
                <c:pt idx="4">
                  <c:v>3.22</c:v>
                </c:pt>
                <c:pt idx="5">
                  <c:v>3.24</c:v>
                </c:pt>
                <c:pt idx="6">
                  <c:v>3.59</c:v>
                </c:pt>
                <c:pt idx="7">
                  <c:v>3.64</c:v>
                </c:pt>
                <c:pt idx="8">
                  <c:v>3.77</c:v>
                </c:pt>
                <c:pt idx="9">
                  <c:v>2.98</c:v>
                </c:pt>
                <c:pt idx="10">
                  <c:v>3.16</c:v>
                </c:pt>
                <c:pt idx="11">
                  <c:v>3.68</c:v>
                </c:pt>
              </c:numCache>
            </c:numRef>
          </c:val>
          <c:smooth val="0"/>
        </c:ser>
        <c:ser>
          <c:idx val="1"/>
          <c:order val="1"/>
          <c:tx>
            <c:strRef>
              <c:f>Hoja1!$H$23</c:f>
              <c:strCache>
                <c:ptCount val="1"/>
                <c:pt idx="0">
                  <c:v>2014年</c:v>
                </c:pt>
              </c:strCache>
            </c:strRef>
          </c:tx>
          <c:dLbls>
            <c:dLbl>
              <c:idx val="3"/>
              <c:layout>
                <c:manualLayout>
                  <c:x val="-3.2520325203252036E-2"/>
                  <c:y val="8.8353413654618476E-2"/>
                </c:manualLayout>
              </c:layout>
              <c:showLegendKey val="0"/>
              <c:showVal val="1"/>
              <c:showCatName val="0"/>
              <c:showSerName val="0"/>
              <c:showPercent val="0"/>
              <c:showBubbleSize val="0"/>
            </c:dLbl>
            <c:txPr>
              <a:bodyPr/>
              <a:lstStyle/>
              <a:p>
                <a:pPr>
                  <a:defRPr sz="800" b="1"/>
                </a:pPr>
                <a:endParaRPr lang="ja-JP"/>
              </a:p>
            </c:txPr>
            <c:showLegendKey val="0"/>
            <c:showVal val="1"/>
            <c:showCatName val="0"/>
            <c:showSerName val="0"/>
            <c:showPercent val="0"/>
            <c:showBubbleSize val="0"/>
            <c:showLeaderLines val="0"/>
          </c:dLbls>
          <c:cat>
            <c:strRef>
              <c:f>Hoja1!$F$24:$F$35</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Hoja1!$H$24:$H$35</c:f>
              <c:numCache>
                <c:formatCode>General</c:formatCode>
                <c:ptCount val="12"/>
                <c:pt idx="0">
                  <c:v>0.750000000000001</c:v>
                </c:pt>
                <c:pt idx="1">
                  <c:v>1.42</c:v>
                </c:pt>
                <c:pt idx="2">
                  <c:v>2.04</c:v>
                </c:pt>
                <c:pt idx="3">
                  <c:v>3.18</c:v>
                </c:pt>
              </c:numCache>
            </c:numRef>
          </c:val>
          <c:smooth val="0"/>
        </c:ser>
        <c:dLbls>
          <c:showLegendKey val="0"/>
          <c:showVal val="0"/>
          <c:showCatName val="0"/>
          <c:showSerName val="0"/>
          <c:showPercent val="0"/>
          <c:showBubbleSize val="0"/>
        </c:dLbls>
        <c:marker val="1"/>
        <c:smooth val="0"/>
        <c:axId val="93453312"/>
        <c:axId val="93467392"/>
      </c:lineChart>
      <c:catAx>
        <c:axId val="93453312"/>
        <c:scaling>
          <c:orientation val="minMax"/>
        </c:scaling>
        <c:delete val="0"/>
        <c:axPos val="b"/>
        <c:majorTickMark val="none"/>
        <c:minorTickMark val="none"/>
        <c:tickLblPos val="nextTo"/>
        <c:txPr>
          <a:bodyPr/>
          <a:lstStyle/>
          <a:p>
            <a:pPr>
              <a:defRPr sz="800"/>
            </a:pPr>
            <a:endParaRPr lang="ja-JP"/>
          </a:p>
        </c:txPr>
        <c:crossAx val="93467392"/>
        <c:crosses val="autoZero"/>
        <c:auto val="1"/>
        <c:lblAlgn val="ctr"/>
        <c:lblOffset val="100"/>
        <c:noMultiLvlLbl val="0"/>
      </c:catAx>
      <c:valAx>
        <c:axId val="93467392"/>
        <c:scaling>
          <c:orientation val="minMax"/>
        </c:scaling>
        <c:delete val="0"/>
        <c:axPos val="l"/>
        <c:majorGridlines/>
        <c:title>
          <c:tx>
            <c:rich>
              <a:bodyPr rot="0" vert="horz"/>
              <a:lstStyle/>
              <a:p>
                <a:pPr>
                  <a:defRPr/>
                </a:pPr>
                <a:r>
                  <a:rPr lang="en-US" altLang="ja-JP"/>
                  <a:t>(</a:t>
                </a:r>
                <a:r>
                  <a:rPr lang="ja-JP" altLang="en-US"/>
                  <a:t>％</a:t>
                </a:r>
                <a:r>
                  <a:rPr lang="en-US" altLang="ja-JP"/>
                  <a:t>)</a:t>
                </a:r>
                <a:endParaRPr lang="ja-JP" altLang="en-US"/>
              </a:p>
            </c:rich>
          </c:tx>
          <c:layout>
            <c:manualLayout>
              <c:xMode val="edge"/>
              <c:yMode val="edge"/>
              <c:x val="0.11018512685914261"/>
              <c:y val="6.8119052685981826E-2"/>
            </c:manualLayout>
          </c:layout>
          <c:overlay val="0"/>
        </c:title>
        <c:numFmt formatCode="General" sourceLinked="1"/>
        <c:majorTickMark val="none"/>
        <c:minorTickMark val="none"/>
        <c:tickLblPos val="nextTo"/>
        <c:crossAx val="93453312"/>
        <c:crosses val="autoZero"/>
        <c:crossBetween val="between"/>
      </c:valAx>
    </c:plotArea>
    <c:legend>
      <c:legendPos val="r"/>
      <c:legendEntry>
        <c:idx val="0"/>
        <c:txPr>
          <a:bodyPr/>
          <a:lstStyle/>
          <a:p>
            <a:pPr>
              <a:defRPr b="0" i="1"/>
            </a:pPr>
            <a:endParaRPr lang="ja-JP"/>
          </a:p>
        </c:txPr>
      </c:legendEntry>
      <c:layout/>
      <c:overlay val="0"/>
      <c:txPr>
        <a:bodyPr/>
        <a:lstStyle/>
        <a:p>
          <a:pPr>
            <a:defRPr b="1"/>
          </a:pPr>
          <a:endParaRPr lang="ja-JP"/>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ja-JP" altLang="en-US" sz="1050"/>
              <a:t>表</a:t>
            </a:r>
            <a:r>
              <a:rPr lang="en-US" altLang="ja-JP" sz="1050"/>
              <a:t>9</a:t>
            </a:r>
            <a:r>
              <a:rPr lang="ja-JP" altLang="en-US" sz="1050"/>
              <a:t>　消費者物価指数</a:t>
            </a:r>
            <a:r>
              <a:rPr lang="en-US" altLang="ja-JP" sz="1050"/>
              <a:t>(</a:t>
            </a:r>
            <a:r>
              <a:rPr lang="ja-JP" altLang="en-US" sz="1050"/>
              <a:t>年率換算</a:t>
            </a:r>
            <a:r>
              <a:rPr lang="en-US" altLang="ja-JP" sz="1050"/>
              <a:t>)</a:t>
            </a:r>
            <a:endParaRPr lang="ja-JP" altLang="en-US" sz="1050"/>
          </a:p>
        </c:rich>
      </c:tx>
      <c:layout/>
      <c:overlay val="0"/>
    </c:title>
    <c:autoTitleDeleted val="0"/>
    <c:plotArea>
      <c:layout>
        <c:manualLayout>
          <c:layoutTarget val="inner"/>
          <c:xMode val="edge"/>
          <c:yMode val="edge"/>
          <c:x val="0.18341681483362968"/>
          <c:y val="0.18153439153439155"/>
          <c:w val="0.64958676939576099"/>
          <c:h val="0.637549056367954"/>
        </c:manualLayout>
      </c:layout>
      <c:lineChart>
        <c:grouping val="standard"/>
        <c:varyColors val="0"/>
        <c:ser>
          <c:idx val="0"/>
          <c:order val="0"/>
          <c:tx>
            <c:strRef>
              <c:f>Hoja1!$G$5</c:f>
              <c:strCache>
                <c:ptCount val="1"/>
                <c:pt idx="0">
                  <c:v>2013年</c:v>
                </c:pt>
              </c:strCache>
            </c:strRef>
          </c:tx>
          <c:dLbls>
            <c:dLbl>
              <c:idx val="0"/>
              <c:layout>
                <c:manualLayout>
                  <c:x val="-5.2916828019448588E-2"/>
                  <c:y val="-4.9886621315193024E-2"/>
                </c:manualLayout>
              </c:layout>
              <c:dLblPos val="r"/>
              <c:showLegendKey val="0"/>
              <c:showVal val="1"/>
              <c:showCatName val="0"/>
              <c:showSerName val="0"/>
              <c:showPercent val="0"/>
              <c:showBubbleSize val="0"/>
            </c:dLbl>
            <c:dLbl>
              <c:idx val="1"/>
              <c:layout>
                <c:manualLayout>
                  <c:x val="-5.0184587582289886E-2"/>
                  <c:y val="-4.0816326530612408E-2"/>
                </c:manualLayout>
              </c:layout>
              <c:dLblPos val="r"/>
              <c:showLegendKey val="0"/>
              <c:showVal val="1"/>
              <c:showCatName val="0"/>
              <c:showSerName val="0"/>
              <c:showPercent val="0"/>
              <c:showBubbleSize val="0"/>
            </c:dLbl>
            <c:dLbl>
              <c:idx val="2"/>
              <c:layout>
                <c:manualLayout>
                  <c:x val="-4.1987866270814446E-2"/>
                  <c:y val="-3.1746031746031744E-2"/>
                </c:manualLayout>
              </c:layout>
              <c:dLblPos val="r"/>
              <c:showLegendKey val="0"/>
              <c:showVal val="1"/>
              <c:showCatName val="0"/>
              <c:showSerName val="0"/>
              <c:showPercent val="0"/>
              <c:showBubbleSize val="0"/>
            </c:dLbl>
            <c:dLbl>
              <c:idx val="3"/>
              <c:layout>
                <c:manualLayout>
                  <c:x val="-4.1987866270814446E-2"/>
                  <c:y val="-2.7210884353741478E-2"/>
                </c:manualLayout>
              </c:layout>
              <c:dLblPos val="r"/>
              <c:showLegendKey val="0"/>
              <c:showVal val="1"/>
              <c:showCatName val="0"/>
              <c:showSerName val="0"/>
              <c:showPercent val="0"/>
              <c:showBubbleSize val="0"/>
            </c:dLbl>
            <c:dLbl>
              <c:idx val="4"/>
              <c:layout>
                <c:manualLayout>
                  <c:x val="-5.2916828019448588E-2"/>
                  <c:y val="3.6281179138322052E-2"/>
                </c:manualLayout>
              </c:layout>
              <c:dLblPos val="r"/>
              <c:showLegendKey val="0"/>
              <c:showVal val="1"/>
              <c:showCatName val="0"/>
              <c:showSerName val="0"/>
              <c:showPercent val="0"/>
              <c:showBubbleSize val="0"/>
            </c:dLbl>
            <c:dLbl>
              <c:idx val="5"/>
              <c:layout>
                <c:manualLayout>
                  <c:x val="-4.7452347145131656E-2"/>
                  <c:y val="-4.5351473922902605E-2"/>
                </c:manualLayout>
              </c:layout>
              <c:dLblPos val="r"/>
              <c:showLegendKey val="0"/>
              <c:showVal val="1"/>
              <c:showCatName val="0"/>
              <c:showSerName val="0"/>
              <c:showPercent val="0"/>
              <c:showBubbleSize val="0"/>
            </c:dLbl>
            <c:dLbl>
              <c:idx val="6"/>
              <c:layout>
                <c:manualLayout>
                  <c:x val="-5.0184587582289886E-2"/>
                  <c:y val="-4.0816326530612408E-2"/>
                </c:manualLayout>
              </c:layout>
              <c:dLblPos val="r"/>
              <c:showLegendKey val="0"/>
              <c:showVal val="1"/>
              <c:showCatName val="0"/>
              <c:showSerName val="0"/>
              <c:showPercent val="0"/>
              <c:showBubbleSize val="0"/>
            </c:dLbl>
            <c:dLbl>
              <c:idx val="7"/>
              <c:layout>
                <c:manualLayout>
                  <c:x val="-5.0184587582289886E-2"/>
                  <c:y val="-4.0816326530612408E-2"/>
                </c:manualLayout>
              </c:layout>
              <c:dLblPos val="r"/>
              <c:showLegendKey val="0"/>
              <c:showVal val="1"/>
              <c:showCatName val="0"/>
              <c:showSerName val="0"/>
              <c:showPercent val="0"/>
              <c:showBubbleSize val="0"/>
            </c:dLbl>
            <c:dLbl>
              <c:idx val="8"/>
              <c:layout>
                <c:manualLayout>
                  <c:x val="-5.5649068456606859E-2"/>
                  <c:y val="4.9886621315193024E-2"/>
                </c:manualLayout>
              </c:layout>
              <c:dLblPos val="r"/>
              <c:showLegendKey val="0"/>
              <c:showVal val="1"/>
              <c:showCatName val="0"/>
              <c:showSerName val="0"/>
              <c:showPercent val="0"/>
              <c:showBubbleSize val="0"/>
            </c:dLbl>
            <c:dLbl>
              <c:idx val="9"/>
              <c:layout>
                <c:manualLayout>
                  <c:x val="-4.1987866270814446E-2"/>
                  <c:y val="-4.9886621315193024E-2"/>
                </c:manualLayout>
              </c:layout>
              <c:dLblPos val="r"/>
              <c:showLegendKey val="0"/>
              <c:showVal val="1"/>
              <c:showCatName val="0"/>
              <c:showSerName val="0"/>
              <c:showPercent val="0"/>
              <c:showBubbleSize val="0"/>
            </c:dLbl>
            <c:dLbl>
              <c:idx val="10"/>
              <c:layout>
                <c:manualLayout>
                  <c:x val="-5.0184587582289886E-2"/>
                  <c:y val="2.7210884353741478E-2"/>
                </c:manualLayout>
              </c:layout>
              <c:dLblPos val="r"/>
              <c:showLegendKey val="0"/>
              <c:showVal val="1"/>
              <c:showCatName val="0"/>
              <c:showSerName val="0"/>
              <c:showPercent val="0"/>
              <c:showBubbleSize val="0"/>
            </c:dLbl>
            <c:dLbl>
              <c:idx val="11"/>
              <c:layout>
                <c:manualLayout>
                  <c:x val="-5.0184587582289886E-2"/>
                  <c:y val="-4.9886621315193024E-2"/>
                </c:manualLayout>
              </c:layout>
              <c:dLblPos val="r"/>
              <c:showLegendKey val="0"/>
              <c:showVal val="1"/>
              <c:showCatName val="0"/>
              <c:showSerName val="0"/>
              <c:showPercent val="0"/>
              <c:showBubbleSize val="0"/>
            </c:dLbl>
            <c:txPr>
              <a:bodyPr/>
              <a:lstStyle/>
              <a:p>
                <a:pPr>
                  <a:defRPr sz="800" b="0" i="1"/>
                </a:pPr>
                <a:endParaRPr lang="ja-JP"/>
              </a:p>
            </c:txPr>
            <c:dLblPos val="ctr"/>
            <c:showLegendKey val="0"/>
            <c:showVal val="1"/>
            <c:showCatName val="0"/>
            <c:showSerName val="0"/>
            <c:showPercent val="0"/>
            <c:showBubbleSize val="0"/>
            <c:showLeaderLines val="0"/>
          </c:dLbls>
          <c:cat>
            <c:strRef>
              <c:f>Hoja1!$F$6:$F$17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Hoja1!$G$6:$G$17</c:f>
              <c:numCache>
                <c:formatCode>#,##0.00</c:formatCode>
                <c:ptCount val="12"/>
                <c:pt idx="0">
                  <c:v>5.7367026399999999</c:v>
                </c:pt>
                <c:pt idx="1">
                  <c:v>6.5157852999999886</c:v>
                </c:pt>
                <c:pt idx="2">
                  <c:v>6.2058775199999916</c:v>
                </c:pt>
                <c:pt idx="3">
                  <c:v>6.3072692300000002</c:v>
                </c:pt>
                <c:pt idx="4">
                  <c:v>5.2840368699999853</c:v>
                </c:pt>
                <c:pt idx="5">
                  <c:v>5.1379035799999855</c:v>
                </c:pt>
                <c:pt idx="6">
                  <c:v>5.8141562899999855</c:v>
                </c:pt>
                <c:pt idx="7">
                  <c:v>5.3070005399999856</c:v>
                </c:pt>
                <c:pt idx="8">
                  <c:v>5.3718385399999926</c:v>
                </c:pt>
                <c:pt idx="9">
                  <c:v>4.1061599199999916</c:v>
                </c:pt>
                <c:pt idx="10">
                  <c:v>3.4431410600000012</c:v>
                </c:pt>
                <c:pt idx="11">
                  <c:v>3.6795406699999997</c:v>
                </c:pt>
              </c:numCache>
            </c:numRef>
          </c:val>
          <c:smooth val="0"/>
        </c:ser>
        <c:ser>
          <c:idx val="1"/>
          <c:order val="1"/>
          <c:tx>
            <c:strRef>
              <c:f>Hoja1!$H$5</c:f>
              <c:strCache>
                <c:ptCount val="1"/>
                <c:pt idx="0">
                  <c:v>2014年</c:v>
                </c:pt>
              </c:strCache>
            </c:strRef>
          </c:tx>
          <c:dLbls>
            <c:dLbl>
              <c:idx val="0"/>
              <c:layout>
                <c:manualLayout>
                  <c:x val="-5.0184587582289886E-2"/>
                  <c:y val="4.0816326530612408E-2"/>
                </c:manualLayout>
              </c:layout>
              <c:dLblPos val="r"/>
              <c:showLegendKey val="0"/>
              <c:showVal val="1"/>
              <c:showCatName val="0"/>
              <c:showSerName val="0"/>
              <c:showPercent val="0"/>
              <c:showBubbleSize val="0"/>
            </c:dLbl>
            <c:dLbl>
              <c:idx val="1"/>
              <c:layout>
                <c:manualLayout>
                  <c:x val="-5.0184587582289886E-2"/>
                  <c:y val="5.4421768707482956E-2"/>
                </c:manualLayout>
              </c:layout>
              <c:dLblPos val="r"/>
              <c:showLegendKey val="0"/>
              <c:showVal val="1"/>
              <c:showCatName val="0"/>
              <c:showSerName val="0"/>
              <c:showPercent val="0"/>
              <c:showBubbleSize val="0"/>
            </c:dLbl>
            <c:dLbl>
              <c:idx val="2"/>
              <c:layout>
                <c:manualLayout>
                  <c:x val="-3.6325244180543052E-2"/>
                  <c:y val="6.3492063492063502E-2"/>
                </c:manualLayout>
              </c:layout>
              <c:dLblPos val="r"/>
              <c:showLegendKey val="0"/>
              <c:showVal val="1"/>
              <c:showCatName val="0"/>
              <c:showSerName val="0"/>
              <c:showPercent val="0"/>
              <c:showBubbleSize val="0"/>
            </c:dLbl>
            <c:dLbl>
              <c:idx val="3"/>
              <c:layout>
                <c:manualLayout>
                  <c:x val="-3.0860763306226072E-2"/>
                  <c:y val="2.7210884353741478E-2"/>
                </c:manualLayout>
              </c:layout>
              <c:dLblPos val="r"/>
              <c:showLegendKey val="0"/>
              <c:showVal val="1"/>
              <c:showCatName val="0"/>
              <c:showSerName val="0"/>
              <c:showPercent val="0"/>
              <c:showBubbleSize val="0"/>
            </c:dLbl>
            <c:txPr>
              <a:bodyPr/>
              <a:lstStyle/>
              <a:p>
                <a:pPr>
                  <a:defRPr sz="800" b="1"/>
                </a:pPr>
                <a:endParaRPr lang="ja-JP"/>
              </a:p>
            </c:txPr>
            <c:dLblPos val="ctr"/>
            <c:showLegendKey val="0"/>
            <c:showVal val="1"/>
            <c:showCatName val="0"/>
            <c:showSerName val="0"/>
            <c:showPercent val="0"/>
            <c:showBubbleSize val="0"/>
            <c:showLeaderLines val="0"/>
          </c:dLbls>
          <c:cat>
            <c:strRef>
              <c:f>Hoja1!$F$6:$F$17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Hoja1!$H$6:$H$17</c:f>
              <c:numCache>
                <c:formatCode>#,##0.00</c:formatCode>
                <c:ptCount val="12"/>
                <c:pt idx="0">
                  <c:v>3.1040330900000002</c:v>
                </c:pt>
                <c:pt idx="1">
                  <c:v>2.7396626699999977</c:v>
                </c:pt>
                <c:pt idx="2">
                  <c:v>3.2600000000000002</c:v>
                </c:pt>
                <c:pt idx="3">
                  <c:v>3.68</c:v>
                </c:pt>
              </c:numCache>
            </c:numRef>
          </c:val>
          <c:smooth val="0"/>
        </c:ser>
        <c:dLbls>
          <c:showLegendKey val="0"/>
          <c:showVal val="0"/>
          <c:showCatName val="0"/>
          <c:showSerName val="0"/>
          <c:showPercent val="0"/>
          <c:showBubbleSize val="0"/>
        </c:dLbls>
        <c:hiLowLines/>
        <c:marker val="1"/>
        <c:smooth val="0"/>
        <c:axId val="93511040"/>
        <c:axId val="93516928"/>
      </c:lineChart>
      <c:catAx>
        <c:axId val="93511040"/>
        <c:scaling>
          <c:orientation val="minMax"/>
        </c:scaling>
        <c:delete val="0"/>
        <c:axPos val="b"/>
        <c:majorTickMark val="none"/>
        <c:minorTickMark val="none"/>
        <c:tickLblPos val="nextTo"/>
        <c:crossAx val="93516928"/>
        <c:crosses val="autoZero"/>
        <c:auto val="1"/>
        <c:lblAlgn val="ctr"/>
        <c:lblOffset val="100"/>
        <c:noMultiLvlLbl val="0"/>
      </c:catAx>
      <c:valAx>
        <c:axId val="93516928"/>
        <c:scaling>
          <c:orientation val="minMax"/>
        </c:scaling>
        <c:delete val="0"/>
        <c:axPos val="l"/>
        <c:majorGridlines/>
        <c:title>
          <c:tx>
            <c:rich>
              <a:bodyPr rot="0" vert="horz"/>
              <a:lstStyle/>
              <a:p>
                <a:pPr>
                  <a:defRPr/>
                </a:pPr>
                <a:r>
                  <a:rPr lang="en-US" altLang="ja-JP"/>
                  <a:t>(</a:t>
                </a:r>
                <a:r>
                  <a:rPr lang="ja-JP" altLang="en-US"/>
                  <a:t>％</a:t>
                </a:r>
                <a:r>
                  <a:rPr lang="en-US" altLang="ja-JP"/>
                  <a:t>)</a:t>
                </a:r>
                <a:endParaRPr lang="ja-JP" altLang="en-US"/>
              </a:p>
            </c:rich>
          </c:tx>
          <c:layout>
            <c:manualLayout>
              <c:xMode val="edge"/>
              <c:yMode val="edge"/>
              <c:x val="9.562841530054679E-2"/>
              <c:y val="5.5833020872390934E-2"/>
            </c:manualLayout>
          </c:layout>
          <c:overlay val="0"/>
        </c:title>
        <c:numFmt formatCode="#,##0.00" sourceLinked="1"/>
        <c:majorTickMark val="out"/>
        <c:minorTickMark val="none"/>
        <c:tickLblPos val="nextTo"/>
        <c:crossAx val="93511040"/>
        <c:crosses val="autoZero"/>
        <c:crossBetween val="between"/>
      </c:valAx>
    </c:plotArea>
    <c:legend>
      <c:legendPos val="r"/>
      <c:legendEntry>
        <c:idx val="0"/>
        <c:txPr>
          <a:bodyPr/>
          <a:lstStyle/>
          <a:p>
            <a:pPr>
              <a:defRPr i="1"/>
            </a:pPr>
            <a:endParaRPr lang="ja-JP"/>
          </a:p>
        </c:txPr>
      </c:legendEntry>
      <c:legendEntry>
        <c:idx val="1"/>
        <c:txPr>
          <a:bodyPr/>
          <a:lstStyle/>
          <a:p>
            <a:pPr>
              <a:defRPr b="1"/>
            </a:pPr>
            <a:endParaRPr lang="ja-JP"/>
          </a:p>
        </c:txPr>
      </c:legendEntry>
      <c:layout>
        <c:manualLayout>
          <c:xMode val="edge"/>
          <c:yMode val="edge"/>
          <c:x val="0.84734050179211473"/>
          <c:y val="0.35053076698745989"/>
          <c:w val="0.14979211469534051"/>
          <c:h val="0.25290671999333414"/>
        </c:manualLayout>
      </c:layout>
      <c:overlay val="0"/>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0.16346</cdr:x>
      <cdr:y>0.4</cdr:y>
    </cdr:from>
    <cdr:to>
      <cdr:x>0.34808</cdr:x>
      <cdr:y>0.63704</cdr:y>
    </cdr:to>
    <cdr:sp macro="" textlink="">
      <cdr:nvSpPr>
        <cdr:cNvPr id="2" name="テキスト ボックス 1"/>
        <cdr:cNvSpPr txBox="1"/>
      </cdr:nvSpPr>
      <cdr:spPr>
        <a:xfrm xmlns:a="http://schemas.openxmlformats.org/drawingml/2006/main">
          <a:off x="809625" y="15430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0.1619</cdr:x>
      <cdr:y>0.22822</cdr:y>
    </cdr:from>
    <cdr:to>
      <cdr:x>0.30228</cdr:x>
      <cdr:y>0.28254</cdr:y>
    </cdr:to>
    <cdr:sp macro="" textlink="">
      <cdr:nvSpPr>
        <cdr:cNvPr id="3" name="テキスト ボックス 2"/>
        <cdr:cNvSpPr txBox="1"/>
      </cdr:nvSpPr>
      <cdr:spPr>
        <a:xfrm xmlns:a="http://schemas.openxmlformats.org/drawingml/2006/main">
          <a:off x="777240" y="697783"/>
          <a:ext cx="673908" cy="16608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b="1"/>
            <a:t>コロン建て</a:t>
          </a:r>
        </a:p>
      </cdr:txBody>
    </cdr:sp>
  </cdr:relSizeAnchor>
  <cdr:relSizeAnchor xmlns:cdr="http://schemas.openxmlformats.org/drawingml/2006/chartDrawing">
    <cdr:from>
      <cdr:x>0.05769</cdr:x>
      <cdr:y>0.00988</cdr:y>
    </cdr:from>
    <cdr:to>
      <cdr:x>0.24231</cdr:x>
      <cdr:y>0.24691</cdr:y>
    </cdr:to>
    <cdr:sp macro="" textlink="">
      <cdr:nvSpPr>
        <cdr:cNvPr id="4" name="テキスト ボックス 3"/>
        <cdr:cNvSpPr txBox="1"/>
      </cdr:nvSpPr>
      <cdr:spPr>
        <a:xfrm xmlns:a="http://schemas.openxmlformats.org/drawingml/2006/main">
          <a:off x="285750" y="381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0.13462</cdr:x>
      <cdr:y>0.38519</cdr:y>
    </cdr:from>
    <cdr:to>
      <cdr:x>0.24808</cdr:x>
      <cdr:y>0.44938</cdr:y>
    </cdr:to>
    <cdr:sp macro="" textlink="">
      <cdr:nvSpPr>
        <cdr:cNvPr id="5" name="テキスト ボックス 4"/>
        <cdr:cNvSpPr txBox="1"/>
      </cdr:nvSpPr>
      <cdr:spPr>
        <a:xfrm xmlns:a="http://schemas.openxmlformats.org/drawingml/2006/main">
          <a:off x="666750" y="1485900"/>
          <a:ext cx="561975" cy="247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b="1"/>
            <a:t>ドル建て</a:t>
          </a:r>
        </a:p>
      </cdr:txBody>
    </cdr:sp>
  </cdr:relSizeAnchor>
  <cdr:relSizeAnchor xmlns:cdr="http://schemas.openxmlformats.org/drawingml/2006/chartDrawing">
    <cdr:from>
      <cdr:x>0.225</cdr:x>
      <cdr:y>0.2963</cdr:y>
    </cdr:from>
    <cdr:to>
      <cdr:x>0.23654</cdr:x>
      <cdr:y>0.32346</cdr:y>
    </cdr:to>
    <cdr:sp macro="" textlink="">
      <cdr:nvSpPr>
        <cdr:cNvPr id="6" name="下矢印 5"/>
        <cdr:cNvSpPr/>
      </cdr:nvSpPr>
      <cdr:spPr>
        <a:xfrm xmlns:a="http://schemas.openxmlformats.org/drawingml/2006/main">
          <a:off x="1114425" y="1143000"/>
          <a:ext cx="57150" cy="104775"/>
        </a:xfrm>
        <a:prstGeom xmlns:a="http://schemas.openxmlformats.org/drawingml/2006/main" prst="down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0.17692</cdr:x>
      <cdr:y>0.43951</cdr:y>
    </cdr:from>
    <cdr:to>
      <cdr:x>0.19038</cdr:x>
      <cdr:y>0.47407</cdr:y>
    </cdr:to>
    <cdr:sp macro="" textlink="">
      <cdr:nvSpPr>
        <cdr:cNvPr id="7" name="下矢印 6"/>
        <cdr:cNvSpPr/>
      </cdr:nvSpPr>
      <cdr:spPr>
        <a:xfrm xmlns:a="http://schemas.openxmlformats.org/drawingml/2006/main">
          <a:off x="876300" y="1695450"/>
          <a:ext cx="66675" cy="133350"/>
        </a:xfrm>
        <a:prstGeom xmlns:a="http://schemas.openxmlformats.org/drawingml/2006/main" prst="down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D9DA5-F442-4F72-AF74-295529B70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855</Words>
  <Characters>4878</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外務省</Company>
  <LinksUpToDate>false</LinksUpToDate>
  <CharactersWithSpaces>5722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情報通信課</cp:lastModifiedBy>
  <cp:revision>2</cp:revision>
  <cp:lastPrinted>2014-06-19T17:44:00Z</cp:lastPrinted>
  <dcterms:created xsi:type="dcterms:W3CDTF">2014-06-27T14:10:00Z</dcterms:created>
  <dcterms:modified xsi:type="dcterms:W3CDTF">2014-06-27T14:10:00Z</dcterms:modified>
</cp:coreProperties>
</file>