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C" w:rsidRPr="00BE63A5" w:rsidRDefault="00D67D19" w:rsidP="00D67D19">
      <w:pPr>
        <w:jc w:val="center"/>
      </w:pPr>
      <w:bookmarkStart w:id="0" w:name="_GoBack"/>
      <w:bookmarkEnd w:id="0"/>
      <w:r w:rsidRPr="00BE63A5">
        <w:rPr>
          <w:rFonts w:hint="eastAsia"/>
        </w:rPr>
        <w:t>グアテマラ</w:t>
      </w:r>
      <w:r w:rsidR="00BE63A5" w:rsidRPr="00BE63A5">
        <w:rPr>
          <w:rFonts w:hint="eastAsia"/>
        </w:rPr>
        <w:t>内政・外交</w:t>
      </w:r>
      <w:r w:rsidRPr="00BE63A5">
        <w:rPr>
          <w:rFonts w:hint="eastAsia"/>
        </w:rPr>
        <w:t>（</w:t>
      </w:r>
      <w:r w:rsidRPr="00BE63A5">
        <w:rPr>
          <w:rFonts w:hint="eastAsia"/>
        </w:rPr>
        <w:t>2014</w:t>
      </w:r>
      <w:r w:rsidRPr="00BE63A5">
        <w:rPr>
          <w:rFonts w:hint="eastAsia"/>
        </w:rPr>
        <w:t>年</w:t>
      </w:r>
      <w:r w:rsidR="004652FB" w:rsidRPr="00BE63A5">
        <w:rPr>
          <w:rFonts w:hint="eastAsia"/>
        </w:rPr>
        <w:t>6</w:t>
      </w:r>
      <w:r w:rsidRPr="00BE63A5">
        <w:rPr>
          <w:rFonts w:hint="eastAsia"/>
        </w:rPr>
        <w:t>月）</w:t>
      </w:r>
    </w:p>
    <w:p w:rsidR="00BE63A5" w:rsidRDefault="00BE63A5" w:rsidP="004652FB">
      <w:pPr>
        <w:rPr>
          <w:rFonts w:hint="eastAsia"/>
          <w:shd w:val="pct15" w:color="auto" w:fill="FFFFFF"/>
        </w:rPr>
      </w:pPr>
    </w:p>
    <w:p w:rsidR="00E802CF" w:rsidRPr="00974D03" w:rsidRDefault="00D67D19" w:rsidP="004652FB">
      <w:pPr>
        <w:rPr>
          <w:shd w:val="pct15" w:color="auto" w:fill="FFFFFF"/>
        </w:rPr>
      </w:pPr>
      <w:r w:rsidRPr="004E5764">
        <w:rPr>
          <w:rFonts w:hint="eastAsia"/>
          <w:shd w:val="pct15" w:color="auto" w:fill="FFFFFF"/>
        </w:rPr>
        <w:t>１．内政</w:t>
      </w:r>
    </w:p>
    <w:p w:rsidR="00EE5A03" w:rsidRDefault="00EE5A03" w:rsidP="004652FB">
      <w:r>
        <w:rPr>
          <w:rFonts w:hint="eastAsia"/>
        </w:rPr>
        <w:t>（</w:t>
      </w:r>
      <w:r w:rsidR="009D7860">
        <w:rPr>
          <w:rFonts w:hint="eastAsia"/>
        </w:rPr>
        <w:t>１</w:t>
      </w:r>
      <w:r>
        <w:rPr>
          <w:rFonts w:hint="eastAsia"/>
        </w:rPr>
        <w:t>）大統領任期延長に関する議論</w:t>
      </w:r>
    </w:p>
    <w:p w:rsidR="00EE5A03" w:rsidRDefault="00EE5A03" w:rsidP="004652FB">
      <w:r>
        <w:rPr>
          <w:rFonts w:hint="eastAsia"/>
        </w:rPr>
        <w:t xml:space="preserve">　</w:t>
      </w:r>
      <w:r w:rsidR="008726FF">
        <w:rPr>
          <w:rFonts w:hint="eastAsia"/>
        </w:rPr>
        <w:t>ペレス・モリーナ大統領は、</w:t>
      </w:r>
      <w:r w:rsidR="00812600">
        <w:rPr>
          <w:rFonts w:hint="eastAsia"/>
        </w:rPr>
        <w:t>大統領の任期を現行の</w:t>
      </w:r>
      <w:r w:rsidR="00812600">
        <w:rPr>
          <w:rFonts w:hint="eastAsia"/>
        </w:rPr>
        <w:t>4</w:t>
      </w:r>
      <w:r w:rsidR="00812600">
        <w:rPr>
          <w:rFonts w:hint="eastAsia"/>
        </w:rPr>
        <w:t>年間から</w:t>
      </w:r>
      <w:r w:rsidR="00812600">
        <w:rPr>
          <w:rFonts w:hint="eastAsia"/>
        </w:rPr>
        <w:t>6</w:t>
      </w:r>
      <w:r w:rsidR="00812600">
        <w:rPr>
          <w:rFonts w:hint="eastAsia"/>
        </w:rPr>
        <w:t>年間に延長すべきとの見解を示したが、野党や市民社会からの強い反対を受けた。</w:t>
      </w:r>
      <w:r w:rsidR="008726FF">
        <w:rPr>
          <w:rFonts w:hint="eastAsia"/>
        </w:rPr>
        <w:t>そのため、</w:t>
      </w:r>
      <w:r w:rsidR="00812600">
        <w:rPr>
          <w:rFonts w:hint="eastAsia"/>
        </w:rPr>
        <w:t>4</w:t>
      </w:r>
      <w:r w:rsidR="00812600">
        <w:rPr>
          <w:rFonts w:hint="eastAsia"/>
        </w:rPr>
        <w:t>日、同大統領は、「真面目かつ責任ある議論をすべきと提案したが、一部の人たちは『サーカス』のように騒ぎ立てているため、本件についてこれ以上はコメントしない」と述べ、大統領任期延長に関する騒動の鎮静化を図った。</w:t>
      </w:r>
    </w:p>
    <w:p w:rsidR="00D94FA7" w:rsidRDefault="00D94FA7" w:rsidP="004652FB">
      <w:r>
        <w:rPr>
          <w:rFonts w:hint="eastAsia"/>
        </w:rPr>
        <w:t>（</w:t>
      </w:r>
      <w:r w:rsidR="009D7860">
        <w:rPr>
          <w:rFonts w:hint="eastAsia"/>
        </w:rPr>
        <w:t>２</w:t>
      </w:r>
      <w:r>
        <w:rPr>
          <w:rFonts w:hint="eastAsia"/>
        </w:rPr>
        <w:t>）</w:t>
      </w:r>
      <w:r w:rsidR="002F3923" w:rsidRPr="00C67A03">
        <w:rPr>
          <w:rFonts w:hint="eastAsia"/>
        </w:rPr>
        <w:t>国家文民警察元長官に対する</w:t>
      </w:r>
      <w:r w:rsidRPr="00C67A03">
        <w:rPr>
          <w:rFonts w:hint="eastAsia"/>
        </w:rPr>
        <w:t>有罪判決</w:t>
      </w:r>
    </w:p>
    <w:p w:rsidR="00D94FA7" w:rsidRDefault="00D94FA7" w:rsidP="004652FB">
      <w:r>
        <w:rPr>
          <w:rFonts w:hint="eastAsia"/>
        </w:rPr>
        <w:t xml:space="preserve">　スペリセン元国家文民警察（</w:t>
      </w:r>
      <w:r>
        <w:rPr>
          <w:rFonts w:hint="eastAsia"/>
        </w:rPr>
        <w:t>PNC</w:t>
      </w:r>
      <w:r>
        <w:rPr>
          <w:rFonts w:hint="eastAsia"/>
        </w:rPr>
        <w:t>）元長官は、スイス・ジュネーブで行われた公判において、</w:t>
      </w:r>
      <w:r>
        <w:rPr>
          <w:rFonts w:hint="eastAsia"/>
        </w:rPr>
        <w:t>7</w:t>
      </w:r>
      <w:r w:rsidR="00C67A03">
        <w:rPr>
          <w:rFonts w:hint="eastAsia"/>
        </w:rPr>
        <w:t>名の受刑者</w:t>
      </w:r>
      <w:r>
        <w:rPr>
          <w:rFonts w:hint="eastAsia"/>
        </w:rPr>
        <w:t>殺害</w:t>
      </w:r>
      <w:r w:rsidR="00C67A03">
        <w:rPr>
          <w:rFonts w:hint="eastAsia"/>
        </w:rPr>
        <w:t>に関与</w:t>
      </w:r>
      <w:r>
        <w:rPr>
          <w:rFonts w:hint="eastAsia"/>
        </w:rPr>
        <w:t>した罪で終身刑の判決を言い渡された</w:t>
      </w:r>
      <w:r w:rsidR="004C466C">
        <w:rPr>
          <w:rFonts w:hint="eastAsia"/>
        </w:rPr>
        <w:t>（同氏はグアテマラとスイスの国籍を有しており、長官任期満了後はスイスに移住）</w:t>
      </w:r>
      <w:r>
        <w:rPr>
          <w:rFonts w:hint="eastAsia"/>
        </w:rPr>
        <w:t>。</w:t>
      </w:r>
    </w:p>
    <w:p w:rsidR="00A80C14" w:rsidRDefault="00A80C14" w:rsidP="004652FB">
      <w:r>
        <w:rPr>
          <w:rFonts w:hint="eastAsia"/>
        </w:rPr>
        <w:t>（</w:t>
      </w:r>
      <w:r w:rsidR="009D7860">
        <w:rPr>
          <w:rFonts w:hint="eastAsia"/>
        </w:rPr>
        <w:t>３</w:t>
      </w:r>
      <w:r>
        <w:rPr>
          <w:rFonts w:hint="eastAsia"/>
        </w:rPr>
        <w:t>）補正予算の可決</w:t>
      </w:r>
    </w:p>
    <w:p w:rsidR="00A80C14" w:rsidRDefault="00A80C14" w:rsidP="004652FB">
      <w:r>
        <w:rPr>
          <w:rFonts w:hint="eastAsia"/>
        </w:rPr>
        <w:t xml:space="preserve">　</w:t>
      </w:r>
      <w:r>
        <w:rPr>
          <w:rFonts w:hint="eastAsia"/>
        </w:rPr>
        <w:t>10</w:t>
      </w:r>
      <w:r>
        <w:rPr>
          <w:rFonts w:hint="eastAsia"/>
        </w:rPr>
        <w:t>日、国会は、通信インフラ住宅省に対する</w:t>
      </w:r>
      <w:r>
        <w:rPr>
          <w:rFonts w:hint="eastAsia"/>
        </w:rPr>
        <w:t>550</w:t>
      </w:r>
      <w:r>
        <w:rPr>
          <w:rFonts w:hint="eastAsia"/>
        </w:rPr>
        <w:t>百万ケツァル（約</w:t>
      </w:r>
      <w:r>
        <w:rPr>
          <w:rFonts w:hint="eastAsia"/>
        </w:rPr>
        <w:t>70</w:t>
      </w:r>
      <w:r>
        <w:rPr>
          <w:rFonts w:hint="eastAsia"/>
        </w:rPr>
        <w:t>百万米ドル）の今年度予算拡大を可決した。同予算は、エスクイントラ</w:t>
      </w:r>
      <w:r w:rsidR="00337BDF">
        <w:rPr>
          <w:rFonts w:hint="eastAsia"/>
        </w:rPr>
        <w:t>市</w:t>
      </w:r>
      <w:r>
        <w:rPr>
          <w:rFonts w:hint="eastAsia"/>
        </w:rPr>
        <w:t>からエルサルバドル国境沿いまでの道路拡張工事に充てられる。</w:t>
      </w:r>
    </w:p>
    <w:p w:rsidR="00570A81" w:rsidRDefault="00570A81" w:rsidP="004652FB">
      <w:r>
        <w:rPr>
          <w:rFonts w:hint="eastAsia"/>
        </w:rPr>
        <w:t>（</w:t>
      </w:r>
      <w:r w:rsidR="009D7860">
        <w:rPr>
          <w:rFonts w:hint="eastAsia"/>
        </w:rPr>
        <w:t>４</w:t>
      </w:r>
      <w:r>
        <w:rPr>
          <w:rFonts w:hint="eastAsia"/>
        </w:rPr>
        <w:t>）カストロ財務大臣の辞任</w:t>
      </w:r>
    </w:p>
    <w:p w:rsidR="00570A81" w:rsidRPr="00570A81" w:rsidRDefault="00570A81" w:rsidP="004652FB">
      <w:r>
        <w:rPr>
          <w:rFonts w:hint="eastAsia"/>
        </w:rPr>
        <w:t xml:space="preserve">　</w:t>
      </w:r>
      <w:r>
        <w:rPr>
          <w:rFonts w:hint="eastAsia"/>
        </w:rPr>
        <w:t>16</w:t>
      </w:r>
      <w:r>
        <w:rPr>
          <w:rFonts w:hint="eastAsia"/>
        </w:rPr>
        <w:t>日、カストロ財務大臣は国際機関のポスト（国連ラテンアメリカ・カリブ経済委員会または米州開発銀行）に就任するため、財務大臣の職を辞任した。</w:t>
      </w:r>
      <w:r w:rsidR="000E5F48">
        <w:rPr>
          <w:rFonts w:hint="eastAsia"/>
        </w:rPr>
        <w:t>20</w:t>
      </w:r>
      <w:r w:rsidR="000E5F48">
        <w:rPr>
          <w:rFonts w:hint="eastAsia"/>
        </w:rPr>
        <w:t>日、</w:t>
      </w:r>
      <w:r>
        <w:rPr>
          <w:rFonts w:hint="eastAsia"/>
        </w:rPr>
        <w:t>後任</w:t>
      </w:r>
      <w:r w:rsidR="000E5F48">
        <w:rPr>
          <w:rFonts w:hint="eastAsia"/>
        </w:rPr>
        <w:t>の大臣として、カリアス財務次官（歳入・財政評価担当）が任命された</w:t>
      </w:r>
      <w:r>
        <w:rPr>
          <w:rFonts w:hint="eastAsia"/>
        </w:rPr>
        <w:t>。</w:t>
      </w:r>
    </w:p>
    <w:p w:rsidR="00276F00" w:rsidRPr="00A80C14" w:rsidRDefault="00276F00" w:rsidP="004E5764"/>
    <w:p w:rsidR="00E1245F" w:rsidRPr="00E1245F" w:rsidRDefault="004E5764">
      <w:pPr>
        <w:rPr>
          <w:shd w:val="pct15" w:color="auto" w:fill="FFFFFF"/>
        </w:rPr>
      </w:pPr>
      <w:r w:rsidRPr="004E5764">
        <w:rPr>
          <w:rFonts w:hint="eastAsia"/>
          <w:shd w:val="pct15" w:color="auto" w:fill="FFFFFF"/>
        </w:rPr>
        <w:t>２．外交</w:t>
      </w:r>
    </w:p>
    <w:p w:rsidR="004C33C5" w:rsidRDefault="004C33C5" w:rsidP="004652FB">
      <w:r>
        <w:rPr>
          <w:rFonts w:hint="eastAsia"/>
        </w:rPr>
        <w:t>（</w:t>
      </w:r>
      <w:r w:rsidR="009D7860">
        <w:rPr>
          <w:rFonts w:hint="eastAsia"/>
        </w:rPr>
        <w:t>１</w:t>
      </w:r>
      <w:r>
        <w:rPr>
          <w:rFonts w:hint="eastAsia"/>
        </w:rPr>
        <w:t>）ペレス・モリーナ大統領のエルサルバドル訪問</w:t>
      </w:r>
    </w:p>
    <w:p w:rsidR="004C33C5" w:rsidRPr="004C33C5" w:rsidRDefault="004C33C5" w:rsidP="004652FB">
      <w:r>
        <w:rPr>
          <w:rFonts w:hint="eastAsia"/>
        </w:rPr>
        <w:t xml:space="preserve">　</w:t>
      </w:r>
      <w:r>
        <w:rPr>
          <w:rFonts w:hint="eastAsia"/>
        </w:rPr>
        <w:t>1</w:t>
      </w:r>
      <w:r>
        <w:rPr>
          <w:rFonts w:hint="eastAsia"/>
        </w:rPr>
        <w:t>日、ペレス・モリーナ大統領は、サンチェス・セレン・エルサルバドル新大統領の就任式に出席し、税関、通商、政治及び治安分野における両国の協力強化について協議した。</w:t>
      </w:r>
    </w:p>
    <w:p w:rsidR="00213D48" w:rsidRDefault="00E97719" w:rsidP="004652FB">
      <w:r>
        <w:rPr>
          <w:rFonts w:hint="eastAsia"/>
        </w:rPr>
        <w:t>（</w:t>
      </w:r>
      <w:r w:rsidR="009D7860">
        <w:rPr>
          <w:rFonts w:hint="eastAsia"/>
        </w:rPr>
        <w:t>２</w:t>
      </w:r>
      <w:r>
        <w:rPr>
          <w:rFonts w:hint="eastAsia"/>
        </w:rPr>
        <w:t>）</w:t>
      </w:r>
      <w:r w:rsidR="00492AD7">
        <w:rPr>
          <w:rFonts w:hint="eastAsia"/>
        </w:rPr>
        <w:t>カレラ外相のウルグアイ訪問</w:t>
      </w:r>
    </w:p>
    <w:p w:rsidR="00492AD7" w:rsidRDefault="00492AD7" w:rsidP="004652FB">
      <w:r>
        <w:rPr>
          <w:rFonts w:hint="eastAsia"/>
        </w:rPr>
        <w:t xml:space="preserve">　</w:t>
      </w:r>
      <w:r>
        <w:rPr>
          <w:rFonts w:hint="eastAsia"/>
        </w:rPr>
        <w:t>2</w:t>
      </w:r>
      <w:r>
        <w:rPr>
          <w:rFonts w:hint="eastAsia"/>
        </w:rPr>
        <w:t>日、ウルグアイを訪れたカレラ外相は、アルマグロ・ウルグアイ外相と会談し、人権問題、</w:t>
      </w:r>
      <w:r w:rsidR="001A3AF4">
        <w:rPr>
          <w:rFonts w:hint="eastAsia"/>
        </w:rPr>
        <w:t>通商関係促進、教育・文化における協力、</w:t>
      </w:r>
      <w:r>
        <w:rPr>
          <w:rFonts w:hint="eastAsia"/>
        </w:rPr>
        <w:t>麻薬対策</w:t>
      </w:r>
      <w:r w:rsidR="001905D0">
        <w:rPr>
          <w:rFonts w:hint="eastAsia"/>
        </w:rPr>
        <w:t>等について協議した。また、カレラ外相は、</w:t>
      </w:r>
      <w:r w:rsidR="001905D0">
        <w:rPr>
          <w:rFonts w:hint="eastAsia"/>
        </w:rPr>
        <w:t>2016</w:t>
      </w:r>
      <w:r w:rsidR="001905D0">
        <w:rPr>
          <w:rFonts w:hint="eastAsia"/>
        </w:rPr>
        <w:t>年－</w:t>
      </w:r>
      <w:r w:rsidR="001905D0">
        <w:rPr>
          <w:rFonts w:hint="eastAsia"/>
        </w:rPr>
        <w:t>2017</w:t>
      </w:r>
      <w:r w:rsidR="001905D0">
        <w:rPr>
          <w:rFonts w:hint="eastAsia"/>
        </w:rPr>
        <w:t>年に国連安保理非常任理事国入りを目指すウルグアイへの協力を約束した。</w:t>
      </w:r>
    </w:p>
    <w:p w:rsidR="009A3314" w:rsidRDefault="009A3314" w:rsidP="004652FB">
      <w:r>
        <w:rPr>
          <w:rFonts w:hint="eastAsia"/>
        </w:rPr>
        <w:t>（</w:t>
      </w:r>
      <w:r w:rsidR="009D7860">
        <w:rPr>
          <w:rFonts w:hint="eastAsia"/>
        </w:rPr>
        <w:t>３</w:t>
      </w:r>
      <w:r>
        <w:rPr>
          <w:rFonts w:hint="eastAsia"/>
        </w:rPr>
        <w:t>）カレラ外相の米州機構総会出席</w:t>
      </w:r>
    </w:p>
    <w:p w:rsidR="009A3314" w:rsidRDefault="009A3314" w:rsidP="004652FB">
      <w:r>
        <w:rPr>
          <w:rFonts w:hint="eastAsia"/>
        </w:rPr>
        <w:t xml:space="preserve">　</w:t>
      </w:r>
      <w:r>
        <w:rPr>
          <w:rFonts w:hint="eastAsia"/>
        </w:rPr>
        <w:t>3</w:t>
      </w:r>
      <w:r>
        <w:rPr>
          <w:rFonts w:hint="eastAsia"/>
        </w:rPr>
        <w:t>日～</w:t>
      </w:r>
      <w:r>
        <w:rPr>
          <w:rFonts w:hint="eastAsia"/>
        </w:rPr>
        <w:t>5</w:t>
      </w:r>
      <w:r>
        <w:rPr>
          <w:rFonts w:hint="eastAsia"/>
        </w:rPr>
        <w:t>日、カレラ外相は、パラグアイで開催された米州機構（</w:t>
      </w:r>
      <w:r>
        <w:rPr>
          <w:rFonts w:hint="eastAsia"/>
        </w:rPr>
        <w:t>OAS</w:t>
      </w:r>
      <w:r w:rsidR="0055654F">
        <w:rPr>
          <w:rFonts w:hint="eastAsia"/>
        </w:rPr>
        <w:t>）総会に出席し、</w:t>
      </w:r>
      <w:r w:rsidR="00901C6B" w:rsidRPr="00901C6B">
        <w:rPr>
          <w:rFonts w:hint="eastAsia"/>
        </w:rPr>
        <w:t>麻薬問題に対する新たな取組の可能性</w:t>
      </w:r>
      <w:r w:rsidR="0055654F" w:rsidRPr="00901C6B">
        <w:rPr>
          <w:rFonts w:hint="eastAsia"/>
        </w:rPr>
        <w:t>について言及した。</w:t>
      </w:r>
      <w:r w:rsidR="00901C6B">
        <w:rPr>
          <w:rFonts w:hint="eastAsia"/>
        </w:rPr>
        <w:t>なお、</w:t>
      </w:r>
      <w:r w:rsidR="006907D1">
        <w:rPr>
          <w:rFonts w:hint="eastAsia"/>
        </w:rPr>
        <w:t>OAS</w:t>
      </w:r>
      <w:r w:rsidR="006907D1">
        <w:rPr>
          <w:rFonts w:hint="eastAsia"/>
        </w:rPr>
        <w:t>臨時総会は本年</w:t>
      </w:r>
      <w:r w:rsidR="006907D1">
        <w:rPr>
          <w:rFonts w:hint="eastAsia"/>
        </w:rPr>
        <w:t>9</w:t>
      </w:r>
      <w:r w:rsidR="006907D1">
        <w:rPr>
          <w:rFonts w:hint="eastAsia"/>
        </w:rPr>
        <w:t>月</w:t>
      </w:r>
      <w:r w:rsidR="00166E73">
        <w:rPr>
          <w:rFonts w:hint="eastAsia"/>
        </w:rPr>
        <w:t>に</w:t>
      </w:r>
      <w:r w:rsidR="00901C6B">
        <w:rPr>
          <w:rFonts w:hint="eastAsia"/>
        </w:rPr>
        <w:t>グアテマラで開催され、麻薬対策について議論が行われる</w:t>
      </w:r>
      <w:r w:rsidR="006907D1">
        <w:rPr>
          <w:rFonts w:hint="eastAsia"/>
        </w:rPr>
        <w:t>。</w:t>
      </w:r>
    </w:p>
    <w:p w:rsidR="002F3923" w:rsidRDefault="002F3923" w:rsidP="004652FB">
      <w:r>
        <w:rPr>
          <w:rFonts w:hint="eastAsia"/>
        </w:rPr>
        <w:t>（</w:t>
      </w:r>
      <w:r w:rsidR="009D7860">
        <w:rPr>
          <w:rFonts w:hint="eastAsia"/>
        </w:rPr>
        <w:t>４</w:t>
      </w:r>
      <w:r>
        <w:rPr>
          <w:rFonts w:hint="eastAsia"/>
        </w:rPr>
        <w:t>）ペレス・モリーナ大統領のコスタリカ訪問</w:t>
      </w:r>
    </w:p>
    <w:p w:rsidR="002F3923" w:rsidRDefault="002F3923" w:rsidP="004652FB">
      <w:r>
        <w:rPr>
          <w:rFonts w:hint="eastAsia"/>
        </w:rPr>
        <w:lastRenderedPageBreak/>
        <w:t xml:space="preserve">　</w:t>
      </w:r>
      <w:r>
        <w:rPr>
          <w:rFonts w:hint="eastAsia"/>
        </w:rPr>
        <w:t>6</w:t>
      </w:r>
      <w:r>
        <w:rPr>
          <w:rFonts w:hint="eastAsia"/>
        </w:rPr>
        <w:t>日、コスタリカを訪問したペレス・モリーナ大統領は、ソリス・コスタリカ大統領と会談し、両国の政治・通商課題について協議を行う二国間対話委員会を創設することで合意した。</w:t>
      </w:r>
    </w:p>
    <w:p w:rsidR="0055654F" w:rsidRDefault="0055654F" w:rsidP="004652FB">
      <w:r>
        <w:rPr>
          <w:rFonts w:hint="eastAsia"/>
        </w:rPr>
        <w:t>（</w:t>
      </w:r>
      <w:r w:rsidR="009D7860">
        <w:rPr>
          <w:rFonts w:hint="eastAsia"/>
        </w:rPr>
        <w:t>５</w:t>
      </w:r>
      <w:r>
        <w:rPr>
          <w:rFonts w:hint="eastAsia"/>
        </w:rPr>
        <w:t>）ヒューストンにおける領事館の開設</w:t>
      </w:r>
    </w:p>
    <w:p w:rsidR="0055654F" w:rsidRDefault="0055654F" w:rsidP="004652FB">
      <w:r>
        <w:rPr>
          <w:rFonts w:hint="eastAsia"/>
        </w:rPr>
        <w:t xml:space="preserve">　</w:t>
      </w:r>
      <w:r>
        <w:rPr>
          <w:rFonts w:hint="eastAsia"/>
        </w:rPr>
        <w:t>9</w:t>
      </w:r>
      <w:r>
        <w:rPr>
          <w:rFonts w:hint="eastAsia"/>
        </w:rPr>
        <w:t>日、外務省は米国テキサス州ヒューストンに領事館を開設する旨発表した。同</w:t>
      </w:r>
      <w:r w:rsidR="008726FF">
        <w:rPr>
          <w:rFonts w:hint="eastAsia"/>
        </w:rPr>
        <w:t>領事館は、グアテマラから米国に不法入国し、勾留されている児童</w:t>
      </w:r>
      <w:r>
        <w:rPr>
          <w:rFonts w:hint="eastAsia"/>
        </w:rPr>
        <w:t>を親元へ送還する手続きの迅速化を目的に設立される。</w:t>
      </w:r>
    </w:p>
    <w:p w:rsidR="007F5F6D" w:rsidRDefault="007F5F6D" w:rsidP="004652FB">
      <w:r>
        <w:rPr>
          <w:rFonts w:hint="eastAsia"/>
        </w:rPr>
        <w:t>（</w:t>
      </w:r>
      <w:r w:rsidR="009D7860">
        <w:rPr>
          <w:rFonts w:hint="eastAsia"/>
        </w:rPr>
        <w:t>６</w:t>
      </w:r>
      <w:r>
        <w:rPr>
          <w:rFonts w:hint="eastAsia"/>
        </w:rPr>
        <w:t>）カレラ外相の米国訪問</w:t>
      </w:r>
    </w:p>
    <w:p w:rsidR="007F5F6D" w:rsidRPr="007F5F6D" w:rsidRDefault="007F5F6D" w:rsidP="004652FB">
      <w:r>
        <w:rPr>
          <w:rFonts w:hint="eastAsia"/>
        </w:rPr>
        <w:t xml:space="preserve">　</w:t>
      </w:r>
      <w:r>
        <w:rPr>
          <w:rFonts w:hint="eastAsia"/>
        </w:rPr>
        <w:t>10</w:t>
      </w:r>
      <w:r>
        <w:rPr>
          <w:rFonts w:hint="eastAsia"/>
        </w:rPr>
        <w:t>日、</w:t>
      </w:r>
      <w:r w:rsidR="007F3350">
        <w:rPr>
          <w:rFonts w:hint="eastAsia"/>
        </w:rPr>
        <w:t>カレラ外相は、ニューヨークの各国国連代表部（ベニン、ブラジル、カナダ、コロンビア、エジプト、ガイアナ、インド、インドネシア、ケニア、ノルウェー、南アフリカ）が出席した会合において、持続可能な開発目標やポスト</w:t>
      </w:r>
      <w:r w:rsidR="007F3350">
        <w:rPr>
          <w:rFonts w:hint="eastAsia"/>
        </w:rPr>
        <w:t>2015</w:t>
      </w:r>
      <w:r w:rsidR="007F3350">
        <w:rPr>
          <w:rFonts w:hint="eastAsia"/>
        </w:rPr>
        <w:t>年開発アジェンダについて協議した。</w:t>
      </w:r>
    </w:p>
    <w:p w:rsidR="00CB3170" w:rsidRDefault="00CB3170" w:rsidP="004652FB">
      <w:r>
        <w:rPr>
          <w:rFonts w:hint="eastAsia"/>
        </w:rPr>
        <w:t>（</w:t>
      </w:r>
      <w:r w:rsidR="009D7860">
        <w:rPr>
          <w:rFonts w:hint="eastAsia"/>
        </w:rPr>
        <w:t>７</w:t>
      </w:r>
      <w:r>
        <w:rPr>
          <w:rFonts w:hint="eastAsia"/>
        </w:rPr>
        <w:t>）カレラ外相のセネガル訪問</w:t>
      </w:r>
    </w:p>
    <w:p w:rsidR="00CB3170" w:rsidRDefault="00CB3170" w:rsidP="004652FB">
      <w:r>
        <w:rPr>
          <w:rFonts w:hint="eastAsia"/>
        </w:rPr>
        <w:t xml:space="preserve">　</w:t>
      </w:r>
      <w:r>
        <w:rPr>
          <w:rFonts w:hint="eastAsia"/>
        </w:rPr>
        <w:t>12</w:t>
      </w:r>
      <w:r>
        <w:rPr>
          <w:rFonts w:hint="eastAsia"/>
        </w:rPr>
        <w:t>日、カレラ外相は、コーフィー・アナン財団の招聘により、西アフリカのセネガルを訪問し、麻薬対策に関する講演を行った。</w:t>
      </w:r>
    </w:p>
    <w:p w:rsidR="008F5ACF" w:rsidRDefault="008F5ACF" w:rsidP="004652FB">
      <w:r>
        <w:rPr>
          <w:rFonts w:hint="eastAsia"/>
        </w:rPr>
        <w:t>（</w:t>
      </w:r>
      <w:r w:rsidR="009D7860">
        <w:rPr>
          <w:rFonts w:hint="eastAsia"/>
        </w:rPr>
        <w:t>８</w:t>
      </w:r>
      <w:r>
        <w:rPr>
          <w:rFonts w:hint="eastAsia"/>
        </w:rPr>
        <w:t>）対米関係</w:t>
      </w:r>
    </w:p>
    <w:p w:rsidR="008F5ACF" w:rsidRDefault="008F5ACF" w:rsidP="004652FB">
      <w:r>
        <w:rPr>
          <w:rFonts w:hint="eastAsia"/>
        </w:rPr>
        <w:t xml:space="preserve">　</w:t>
      </w:r>
      <w:r>
        <w:rPr>
          <w:rFonts w:hint="eastAsia"/>
        </w:rPr>
        <w:t>20</w:t>
      </w:r>
      <w:r>
        <w:rPr>
          <w:rFonts w:hint="eastAsia"/>
        </w:rPr>
        <w:t>日、バイデン米国副大統領は、中米諸国から米国へ不法入国する同伴者のいない子供の問題等について協議するため、グアテマラを来訪した。協議には、ペレス・モリーナ大統領、サンチェス・セレン</w:t>
      </w:r>
      <w:r w:rsidR="008726FF">
        <w:rPr>
          <w:rFonts w:hint="eastAsia"/>
        </w:rPr>
        <w:t>・エルサルバドル大統領、エルナンデス・アルセロ・ホンジュラス総括</w:t>
      </w:r>
      <w:r>
        <w:rPr>
          <w:rFonts w:hint="eastAsia"/>
        </w:rPr>
        <w:t>大臣及びオソリオ・メキシコ内務大臣が出席。バイデン副大統領は、子供の不法移民の増加の原因を出身国における貧困・治安の悪さ・脆弱な法治国家体制と指摘した上で、同問題解決のため、</w:t>
      </w:r>
      <w:r w:rsidR="002265AB">
        <w:rPr>
          <w:rFonts w:hint="eastAsia"/>
        </w:rPr>
        <w:t>中米北部</w:t>
      </w:r>
      <w:r w:rsidR="002265AB">
        <w:rPr>
          <w:rFonts w:hint="eastAsia"/>
        </w:rPr>
        <w:t>3</w:t>
      </w:r>
      <w:r w:rsidR="002265AB">
        <w:rPr>
          <w:rFonts w:hint="eastAsia"/>
        </w:rPr>
        <w:t>か国（グアテマラ、エルサルバドル、ホンジュラス）に対する</w:t>
      </w:r>
      <w:r>
        <w:rPr>
          <w:rFonts w:hint="eastAsia"/>
        </w:rPr>
        <w:t>米国による</w:t>
      </w:r>
      <w:r>
        <w:rPr>
          <w:rFonts w:hint="eastAsia"/>
        </w:rPr>
        <w:t>254</w:t>
      </w:r>
      <w:r>
        <w:rPr>
          <w:rFonts w:hint="eastAsia"/>
        </w:rPr>
        <w:t>百万米ドル</w:t>
      </w:r>
      <w:r w:rsidR="002265AB">
        <w:rPr>
          <w:rFonts w:hint="eastAsia"/>
        </w:rPr>
        <w:t>の支援を発表した。</w:t>
      </w:r>
    </w:p>
    <w:p w:rsidR="00461088" w:rsidRDefault="00461088" w:rsidP="004652FB">
      <w:r>
        <w:rPr>
          <w:rFonts w:hint="eastAsia"/>
        </w:rPr>
        <w:t>（</w:t>
      </w:r>
      <w:r w:rsidR="009D7860">
        <w:rPr>
          <w:rFonts w:hint="eastAsia"/>
        </w:rPr>
        <w:t>９</w:t>
      </w:r>
      <w:r>
        <w:rPr>
          <w:rFonts w:hint="eastAsia"/>
        </w:rPr>
        <w:t>）スワイア英国外務閣外大臣のグアテマラ来訪</w:t>
      </w:r>
    </w:p>
    <w:p w:rsidR="0080329F" w:rsidRDefault="0080329F" w:rsidP="004652FB">
      <w:r>
        <w:rPr>
          <w:rFonts w:hint="eastAsia"/>
        </w:rPr>
        <w:t xml:space="preserve">　</w:t>
      </w:r>
      <w:r>
        <w:rPr>
          <w:rFonts w:hint="eastAsia"/>
        </w:rPr>
        <w:t>24</w:t>
      </w:r>
      <w:r w:rsidR="00AF5DFD">
        <w:rPr>
          <w:rFonts w:hint="eastAsia"/>
        </w:rPr>
        <w:t>日、グアテマラを来訪したスワイア英国外務閣外大臣は、</w:t>
      </w:r>
      <w:r>
        <w:rPr>
          <w:rFonts w:hint="eastAsia"/>
        </w:rPr>
        <w:t>ペレス・モリーナ大統領と</w:t>
      </w:r>
      <w:r w:rsidR="00AF5DFD">
        <w:rPr>
          <w:rFonts w:hint="eastAsia"/>
        </w:rPr>
        <w:t>会談し、</w:t>
      </w:r>
      <w:r w:rsidR="00C411D3">
        <w:rPr>
          <w:rFonts w:hint="eastAsia"/>
        </w:rPr>
        <w:t>英国による投資、</w:t>
      </w:r>
      <w:r w:rsidR="00C411D3">
        <w:rPr>
          <w:rFonts w:hint="eastAsia"/>
        </w:rPr>
        <w:t>EU</w:t>
      </w:r>
      <w:r w:rsidR="00C411D3">
        <w:rPr>
          <w:rFonts w:hint="eastAsia"/>
        </w:rPr>
        <w:t>を通じた開発協力、ベリーズとの国境隣接区域</w:t>
      </w:r>
      <w:r w:rsidR="00FB2522">
        <w:rPr>
          <w:rFonts w:hint="eastAsia"/>
        </w:rPr>
        <w:t>に対する経済支援等について協議した。</w:t>
      </w:r>
      <w:r w:rsidR="00030514">
        <w:rPr>
          <w:rFonts w:hint="eastAsia"/>
        </w:rPr>
        <w:t>また、ストリートチルドレンが多いグアテマラ市第</w:t>
      </w:r>
      <w:r w:rsidR="00030514">
        <w:rPr>
          <w:rFonts w:hint="eastAsia"/>
        </w:rPr>
        <w:t>4</w:t>
      </w:r>
      <w:r w:rsidR="004B30B1">
        <w:rPr>
          <w:rFonts w:hint="eastAsia"/>
        </w:rPr>
        <w:t>区を視察し、同問題解決に取り組む旨表明した。</w:t>
      </w:r>
    </w:p>
    <w:p w:rsidR="002E0713" w:rsidRDefault="002E0713" w:rsidP="004652FB">
      <w:r>
        <w:rPr>
          <w:rFonts w:hint="eastAsia"/>
        </w:rPr>
        <w:t>（１０）中米域内統合</w:t>
      </w:r>
    </w:p>
    <w:p w:rsidR="002E0713" w:rsidRDefault="002E0713" w:rsidP="004652FB">
      <w:r>
        <w:rPr>
          <w:rFonts w:hint="eastAsia"/>
        </w:rPr>
        <w:t xml:space="preserve">　</w:t>
      </w:r>
      <w:r>
        <w:rPr>
          <w:rFonts w:hint="eastAsia"/>
        </w:rPr>
        <w:t>27</w:t>
      </w:r>
      <w:r>
        <w:rPr>
          <w:rFonts w:hint="eastAsia"/>
        </w:rPr>
        <w:t>日、ドミニカ共和国で開催された中米統合機構（</w:t>
      </w:r>
      <w:r>
        <w:rPr>
          <w:rFonts w:hint="eastAsia"/>
        </w:rPr>
        <w:t>SICA</w:t>
      </w:r>
      <w:r>
        <w:rPr>
          <w:rFonts w:hint="eastAsia"/>
        </w:rPr>
        <w:t>）首脳会合において、ペレス・モリーナ大統領は、サンチェス・セレン・エルサルバドル大統領及びエルナンデス・ホンジュラス大統領と会</w:t>
      </w:r>
      <w:r w:rsidR="00DE5DA2">
        <w:rPr>
          <w:rFonts w:hint="eastAsia"/>
        </w:rPr>
        <w:t>談し、米国・メキシコ国境地域にある同３か国の領事館が、同伴者を伴わない児童の不法移民問題に「統合的」に取り組む旨合意した。</w:t>
      </w:r>
    </w:p>
    <w:p w:rsidR="00D505B9" w:rsidRDefault="00D505B9" w:rsidP="004652FB">
      <w:r>
        <w:rPr>
          <w:rFonts w:hint="eastAsia"/>
        </w:rPr>
        <w:t>（１１）米州機構</w:t>
      </w:r>
    </w:p>
    <w:p w:rsidR="00D505B9" w:rsidRPr="002E0713" w:rsidRDefault="00D505B9" w:rsidP="004652FB">
      <w:r>
        <w:rPr>
          <w:rFonts w:hint="eastAsia"/>
        </w:rPr>
        <w:t xml:space="preserve">　</w:t>
      </w:r>
      <w:r>
        <w:rPr>
          <w:rFonts w:hint="eastAsia"/>
        </w:rPr>
        <w:t>28</w:t>
      </w:r>
      <w:r>
        <w:rPr>
          <w:rFonts w:hint="eastAsia"/>
        </w:rPr>
        <w:t>日、ペレス・モリーナ大統領は、</w:t>
      </w:r>
      <w:r>
        <w:rPr>
          <w:rFonts w:hint="eastAsia"/>
        </w:rPr>
        <w:t>2015</w:t>
      </w:r>
      <w:r>
        <w:rPr>
          <w:rFonts w:hint="eastAsia"/>
        </w:rPr>
        <w:t>年</w:t>
      </w:r>
      <w:r>
        <w:rPr>
          <w:rFonts w:hint="eastAsia"/>
        </w:rPr>
        <w:t>5</w:t>
      </w:r>
      <w:r>
        <w:rPr>
          <w:rFonts w:hint="eastAsia"/>
        </w:rPr>
        <w:t>月に任期を終えるインスルサ米州機構（</w:t>
      </w:r>
      <w:r>
        <w:rPr>
          <w:rFonts w:hint="eastAsia"/>
        </w:rPr>
        <w:t>OAS</w:t>
      </w:r>
      <w:r>
        <w:rPr>
          <w:rFonts w:hint="eastAsia"/>
        </w:rPr>
        <w:t>）事務局長の後任</w:t>
      </w:r>
      <w:r w:rsidR="004771BB">
        <w:rPr>
          <w:rFonts w:hint="eastAsia"/>
        </w:rPr>
        <w:t>候補</w:t>
      </w:r>
      <w:r>
        <w:rPr>
          <w:rFonts w:hint="eastAsia"/>
        </w:rPr>
        <w:t>として、ステイン元副大統領を推薦する旨正式に発表した。</w:t>
      </w:r>
    </w:p>
    <w:p w:rsidR="00E97719" w:rsidRPr="00DE5DA2" w:rsidRDefault="00E97719" w:rsidP="009079F3"/>
    <w:p w:rsidR="00EB1FDA" w:rsidRPr="004B30B1" w:rsidRDefault="00F662F8" w:rsidP="004652FB">
      <w:pPr>
        <w:rPr>
          <w:shd w:val="pct15" w:color="auto" w:fill="FFFFFF"/>
        </w:rPr>
      </w:pPr>
      <w:r>
        <w:rPr>
          <w:rFonts w:hint="eastAsia"/>
          <w:shd w:val="pct15" w:color="auto" w:fill="FFFFFF"/>
        </w:rPr>
        <w:t>３．経済</w:t>
      </w:r>
    </w:p>
    <w:p w:rsidR="00787326" w:rsidRDefault="00787326" w:rsidP="004652FB">
      <w:pPr>
        <w:rPr>
          <w:lang w:val="es-ES"/>
        </w:rPr>
      </w:pPr>
      <w:r>
        <w:rPr>
          <w:rFonts w:hint="eastAsia"/>
          <w:lang w:val="es-ES"/>
        </w:rPr>
        <w:t>（</w:t>
      </w:r>
      <w:r w:rsidR="009D7860">
        <w:rPr>
          <w:rFonts w:hint="eastAsia"/>
          <w:lang w:val="es-ES"/>
        </w:rPr>
        <w:t>１</w:t>
      </w:r>
      <w:r>
        <w:rPr>
          <w:rFonts w:hint="eastAsia"/>
          <w:lang w:val="es-ES"/>
        </w:rPr>
        <w:t>）海外送金の増加</w:t>
      </w:r>
    </w:p>
    <w:p w:rsidR="00787326" w:rsidRDefault="00787326" w:rsidP="004652FB">
      <w:pPr>
        <w:rPr>
          <w:lang w:val="es-ES"/>
        </w:rPr>
      </w:pPr>
      <w:r>
        <w:rPr>
          <w:rFonts w:hint="eastAsia"/>
          <w:lang w:val="es-ES"/>
        </w:rPr>
        <w:t xml:space="preserve">　</w:t>
      </w:r>
      <w:r>
        <w:rPr>
          <w:rFonts w:hint="eastAsia"/>
          <w:lang w:val="es-ES"/>
        </w:rPr>
        <w:t>5</w:t>
      </w:r>
      <w:r>
        <w:rPr>
          <w:rFonts w:hint="eastAsia"/>
          <w:lang w:val="es-ES"/>
        </w:rPr>
        <w:t>月の当国への米国内出稼ぎグアテマラ人等からの海外送金額は、</w:t>
      </w:r>
      <w:r>
        <w:rPr>
          <w:rFonts w:hint="eastAsia"/>
          <w:lang w:val="es-ES"/>
        </w:rPr>
        <w:t>494</w:t>
      </w:r>
      <w:r>
        <w:rPr>
          <w:rFonts w:hint="eastAsia"/>
          <w:lang w:val="es-ES"/>
        </w:rPr>
        <w:t>百万米ドルに上り、過去最高を記録した（前年同月比で</w:t>
      </w:r>
      <w:r>
        <w:rPr>
          <w:rFonts w:hint="eastAsia"/>
          <w:lang w:val="es-ES"/>
        </w:rPr>
        <w:t>3.58%</w:t>
      </w:r>
      <w:r>
        <w:rPr>
          <w:rFonts w:hint="eastAsia"/>
          <w:lang w:val="es-ES"/>
        </w:rPr>
        <w:t>増加）。グアテマラ中央銀行によれば、本年の海外送金額は前年比で</w:t>
      </w:r>
      <w:r>
        <w:rPr>
          <w:rFonts w:hint="eastAsia"/>
          <w:lang w:val="es-ES"/>
        </w:rPr>
        <w:t>7%</w:t>
      </w:r>
      <w:r>
        <w:rPr>
          <w:rFonts w:hint="eastAsia"/>
          <w:lang w:val="es-ES"/>
        </w:rPr>
        <w:t>の増加となる見通し。ゴンサレス</w:t>
      </w:r>
      <w:r>
        <w:rPr>
          <w:rFonts w:hint="eastAsia"/>
          <w:lang w:val="es-ES"/>
        </w:rPr>
        <w:t>ASIES</w:t>
      </w:r>
      <w:r w:rsidR="00D92891">
        <w:rPr>
          <w:rFonts w:hint="eastAsia"/>
          <w:lang w:val="es-ES"/>
        </w:rPr>
        <w:t>研究員は</w:t>
      </w:r>
      <w:r>
        <w:rPr>
          <w:rFonts w:hint="eastAsia"/>
          <w:lang w:val="es-ES"/>
        </w:rPr>
        <w:t>、</w:t>
      </w:r>
      <w:r w:rsidR="00D92891">
        <w:rPr>
          <w:rFonts w:hint="eastAsia"/>
          <w:lang w:val="es-ES"/>
        </w:rPr>
        <w:t>5</w:t>
      </w:r>
      <w:r w:rsidR="00D92891">
        <w:rPr>
          <w:rFonts w:hint="eastAsia"/>
          <w:lang w:val="es-ES"/>
        </w:rPr>
        <w:t>月の海外送金増加の要因として、</w:t>
      </w:r>
      <w:r>
        <w:rPr>
          <w:rFonts w:hint="eastAsia"/>
          <w:lang w:val="es-ES"/>
        </w:rPr>
        <w:t>例年</w:t>
      </w:r>
      <w:r>
        <w:rPr>
          <w:rFonts w:hint="eastAsia"/>
          <w:lang w:val="es-ES"/>
        </w:rPr>
        <w:t>5</w:t>
      </w:r>
      <w:r>
        <w:rPr>
          <w:rFonts w:hint="eastAsia"/>
          <w:lang w:val="es-ES"/>
        </w:rPr>
        <w:t>月は、母の日を祝うため、海外に住むグアテマラ人による送金が増える傾向にあり、また、</w:t>
      </w:r>
      <w:r w:rsidR="00D92891">
        <w:rPr>
          <w:rFonts w:hint="eastAsia"/>
          <w:lang w:val="es-ES"/>
        </w:rPr>
        <w:t>米国の失業率の低下によってグアテマラ人の就業機会が増えたことを挙げている</w:t>
      </w:r>
      <w:r>
        <w:rPr>
          <w:rFonts w:hint="eastAsia"/>
          <w:lang w:val="es-ES"/>
        </w:rPr>
        <w:t>。</w:t>
      </w:r>
    </w:p>
    <w:p w:rsidR="002C0791" w:rsidRDefault="002C0791" w:rsidP="004652FB">
      <w:pPr>
        <w:rPr>
          <w:lang w:val="es-ES"/>
        </w:rPr>
      </w:pPr>
      <w:r>
        <w:rPr>
          <w:rFonts w:hint="eastAsia"/>
          <w:lang w:val="es-ES"/>
        </w:rPr>
        <w:t>（</w:t>
      </w:r>
      <w:r w:rsidR="009D7860">
        <w:rPr>
          <w:rFonts w:hint="eastAsia"/>
          <w:lang w:val="es-ES"/>
        </w:rPr>
        <w:t>２</w:t>
      </w:r>
      <w:r>
        <w:rPr>
          <w:rFonts w:hint="eastAsia"/>
          <w:lang w:val="es-ES"/>
        </w:rPr>
        <w:t>）中米地域における食品・飲料の衛生検査の迅速化</w:t>
      </w:r>
    </w:p>
    <w:p w:rsidR="002C0791" w:rsidRDefault="002C0791" w:rsidP="004652FB">
      <w:pPr>
        <w:rPr>
          <w:lang w:val="es-ES"/>
        </w:rPr>
      </w:pPr>
      <w:r>
        <w:rPr>
          <w:rFonts w:hint="eastAsia"/>
          <w:lang w:val="es-ES"/>
        </w:rPr>
        <w:t xml:space="preserve">　国際金融公社（</w:t>
      </w:r>
      <w:r>
        <w:rPr>
          <w:rFonts w:hint="eastAsia"/>
          <w:lang w:val="es-ES"/>
        </w:rPr>
        <w:t>IFC</w:t>
      </w:r>
      <w:r>
        <w:rPr>
          <w:rFonts w:hint="eastAsia"/>
          <w:lang w:val="es-ES"/>
        </w:rPr>
        <w:t>）は、中米域内の経済統合及び通商拡大を支援するため、中米における食品及び飲料の衛生検査の手続きを容易化するシステムの導入を発表した。現在、衛生検査には最大</w:t>
      </w:r>
      <w:r>
        <w:rPr>
          <w:rFonts w:hint="eastAsia"/>
          <w:lang w:val="es-ES"/>
        </w:rPr>
        <w:t>120</w:t>
      </w:r>
      <w:r>
        <w:rPr>
          <w:rFonts w:hint="eastAsia"/>
          <w:lang w:val="es-ES"/>
        </w:rPr>
        <w:t>日、</w:t>
      </w:r>
      <w:r>
        <w:rPr>
          <w:rFonts w:hint="eastAsia"/>
          <w:lang w:val="es-ES"/>
        </w:rPr>
        <w:t>400</w:t>
      </w:r>
      <w:r>
        <w:rPr>
          <w:rFonts w:hint="eastAsia"/>
          <w:lang w:val="es-ES"/>
        </w:rPr>
        <w:t>米ドルの費用がかかっているが、同システムの導入により、費用及び所要日数を</w:t>
      </w:r>
      <w:r>
        <w:rPr>
          <w:rFonts w:hint="eastAsia"/>
          <w:lang w:val="es-ES"/>
        </w:rPr>
        <w:t>25%</w:t>
      </w:r>
      <w:r>
        <w:rPr>
          <w:rFonts w:hint="eastAsia"/>
          <w:lang w:val="es-ES"/>
        </w:rPr>
        <w:t>削減できるとしている。</w:t>
      </w:r>
    </w:p>
    <w:p w:rsidR="004C780C" w:rsidRDefault="004C780C" w:rsidP="004652FB">
      <w:pPr>
        <w:rPr>
          <w:lang w:val="es-ES"/>
        </w:rPr>
      </w:pPr>
      <w:r>
        <w:rPr>
          <w:rFonts w:hint="eastAsia"/>
          <w:lang w:val="es-ES"/>
        </w:rPr>
        <w:t>（</w:t>
      </w:r>
      <w:r w:rsidR="009D7860">
        <w:rPr>
          <w:rFonts w:hint="eastAsia"/>
          <w:lang w:val="es-ES"/>
        </w:rPr>
        <w:t>３</w:t>
      </w:r>
      <w:r>
        <w:rPr>
          <w:rFonts w:hint="eastAsia"/>
          <w:lang w:val="es-ES"/>
        </w:rPr>
        <w:t>）カカオの栽培促進</w:t>
      </w:r>
    </w:p>
    <w:p w:rsidR="004C780C" w:rsidRPr="004C780C" w:rsidRDefault="004C780C" w:rsidP="004652FB">
      <w:pPr>
        <w:rPr>
          <w:lang w:val="es-ES"/>
        </w:rPr>
      </w:pPr>
      <w:r>
        <w:rPr>
          <w:rFonts w:hint="eastAsia"/>
          <w:lang w:val="es-ES"/>
        </w:rPr>
        <w:t xml:space="preserve">　グアテマラ輸出業者組合（</w:t>
      </w:r>
      <w:r>
        <w:rPr>
          <w:rFonts w:hint="eastAsia"/>
          <w:lang w:val="es-ES"/>
        </w:rPr>
        <w:t>Agexport</w:t>
      </w:r>
      <w:r>
        <w:rPr>
          <w:rFonts w:hint="eastAsia"/>
          <w:lang w:val="es-ES"/>
        </w:rPr>
        <w:t>）は、</w:t>
      </w:r>
      <w:r>
        <w:rPr>
          <w:rFonts w:hint="eastAsia"/>
          <w:lang w:val="es-ES"/>
        </w:rPr>
        <w:t>2010</w:t>
      </w:r>
      <w:r>
        <w:rPr>
          <w:rFonts w:hint="eastAsia"/>
          <w:lang w:val="es-ES"/>
        </w:rPr>
        <w:t>年以降、カカオの栽培促進に取り組んでおり、今後</w:t>
      </w:r>
      <w:r>
        <w:rPr>
          <w:rFonts w:hint="eastAsia"/>
          <w:lang w:val="es-ES"/>
        </w:rPr>
        <w:t>5</w:t>
      </w:r>
      <w:r>
        <w:rPr>
          <w:rFonts w:hint="eastAsia"/>
          <w:lang w:val="es-ES"/>
        </w:rPr>
        <w:t>年間で生産量が</w:t>
      </w:r>
      <w:r>
        <w:rPr>
          <w:rFonts w:hint="eastAsia"/>
          <w:lang w:val="es-ES"/>
        </w:rPr>
        <w:t>50%</w:t>
      </w:r>
      <w:r>
        <w:rPr>
          <w:rFonts w:hint="eastAsia"/>
          <w:lang w:val="es-ES"/>
        </w:rPr>
        <w:t>増加する見通しである旨発表した。</w:t>
      </w:r>
    </w:p>
    <w:p w:rsidR="000638CB" w:rsidRDefault="000638CB" w:rsidP="004652FB">
      <w:pPr>
        <w:rPr>
          <w:lang w:val="es-ES"/>
        </w:rPr>
      </w:pPr>
      <w:r>
        <w:rPr>
          <w:rFonts w:hint="eastAsia"/>
          <w:lang w:val="es-ES"/>
        </w:rPr>
        <w:t>（</w:t>
      </w:r>
      <w:r w:rsidR="009D7860">
        <w:rPr>
          <w:rFonts w:hint="eastAsia"/>
          <w:lang w:val="es-ES"/>
        </w:rPr>
        <w:t>４</w:t>
      </w:r>
      <w:r>
        <w:rPr>
          <w:rFonts w:hint="eastAsia"/>
          <w:lang w:val="es-ES"/>
        </w:rPr>
        <w:t>）コーヒー輸出量の低下</w:t>
      </w:r>
    </w:p>
    <w:p w:rsidR="000638CB" w:rsidRDefault="000638CB" w:rsidP="004652FB">
      <w:pPr>
        <w:rPr>
          <w:lang w:val="es-ES"/>
        </w:rPr>
      </w:pPr>
      <w:r>
        <w:rPr>
          <w:rFonts w:hint="eastAsia"/>
          <w:lang w:val="es-ES"/>
        </w:rPr>
        <w:t xml:space="preserve">　全国コーヒー協会（</w:t>
      </w:r>
      <w:r>
        <w:rPr>
          <w:rFonts w:hint="eastAsia"/>
          <w:lang w:val="es-ES"/>
        </w:rPr>
        <w:t>ANACAFE</w:t>
      </w:r>
      <w:r>
        <w:rPr>
          <w:rFonts w:hint="eastAsia"/>
          <w:lang w:val="es-ES"/>
        </w:rPr>
        <w:t>）によれば、</w:t>
      </w:r>
      <w:r>
        <w:rPr>
          <w:rFonts w:hint="eastAsia"/>
          <w:lang w:val="es-ES"/>
        </w:rPr>
        <w:t>2013</w:t>
      </w:r>
      <w:r>
        <w:rPr>
          <w:rFonts w:hint="eastAsia"/>
          <w:lang w:val="es-ES"/>
        </w:rPr>
        <w:t>年－</w:t>
      </w:r>
      <w:r>
        <w:rPr>
          <w:rFonts w:hint="eastAsia"/>
          <w:lang w:val="es-ES"/>
        </w:rPr>
        <w:t>2014</w:t>
      </w:r>
      <w:r>
        <w:rPr>
          <w:rFonts w:hint="eastAsia"/>
          <w:lang w:val="es-ES"/>
        </w:rPr>
        <w:t>年収穫期における直近</w:t>
      </w:r>
      <w:r>
        <w:rPr>
          <w:rFonts w:hint="eastAsia"/>
          <w:lang w:val="es-ES"/>
        </w:rPr>
        <w:t>8</w:t>
      </w:r>
      <w:r>
        <w:rPr>
          <w:rFonts w:hint="eastAsia"/>
          <w:lang w:val="es-ES"/>
        </w:rPr>
        <w:t>か月（昨年</w:t>
      </w:r>
      <w:r>
        <w:rPr>
          <w:rFonts w:hint="eastAsia"/>
          <w:lang w:val="es-ES"/>
        </w:rPr>
        <w:t>10</w:t>
      </w:r>
      <w:r>
        <w:rPr>
          <w:rFonts w:hint="eastAsia"/>
          <w:lang w:val="es-ES"/>
        </w:rPr>
        <w:t>月～本年</w:t>
      </w:r>
      <w:r>
        <w:rPr>
          <w:rFonts w:hint="eastAsia"/>
          <w:lang w:val="es-ES"/>
        </w:rPr>
        <w:t>5</w:t>
      </w:r>
      <w:r>
        <w:rPr>
          <w:rFonts w:hint="eastAsia"/>
          <w:lang w:val="es-ES"/>
        </w:rPr>
        <w:t>月）のコーヒー輸出量が</w:t>
      </w:r>
      <w:r>
        <w:rPr>
          <w:rFonts w:hint="eastAsia"/>
          <w:lang w:val="es-ES"/>
        </w:rPr>
        <w:t>11%</w:t>
      </w:r>
      <w:r>
        <w:rPr>
          <w:rFonts w:hint="eastAsia"/>
          <w:lang w:val="es-ES"/>
        </w:rPr>
        <w:t>低下した。原因は、さび病の蔓延による生産量の低下としている。</w:t>
      </w:r>
      <w:r w:rsidR="004952A3">
        <w:rPr>
          <w:rFonts w:hint="eastAsia"/>
          <w:lang w:val="es-ES"/>
        </w:rPr>
        <w:t>9</w:t>
      </w:r>
      <w:r w:rsidR="004952A3">
        <w:rPr>
          <w:rFonts w:hint="eastAsia"/>
          <w:lang w:val="es-ES"/>
        </w:rPr>
        <w:t>日、グアテマラ政府は、さび病の被害に遭った小規模コーヒー農家に対し、地方開発銀行（</w:t>
      </w:r>
      <w:r w:rsidR="004952A3">
        <w:rPr>
          <w:rFonts w:hint="eastAsia"/>
          <w:lang w:val="es-ES"/>
        </w:rPr>
        <w:t>Banrural</w:t>
      </w:r>
      <w:r w:rsidR="004952A3">
        <w:rPr>
          <w:rFonts w:hint="eastAsia"/>
          <w:lang w:val="es-ES"/>
        </w:rPr>
        <w:t>）を通じて、計</w:t>
      </w:r>
      <w:r w:rsidR="004952A3">
        <w:rPr>
          <w:rFonts w:hint="eastAsia"/>
          <w:lang w:val="es-ES"/>
        </w:rPr>
        <w:t>117</w:t>
      </w:r>
      <w:r w:rsidR="004952A3">
        <w:rPr>
          <w:rFonts w:hint="eastAsia"/>
          <w:lang w:val="es-ES"/>
        </w:rPr>
        <w:t>百万ケツァル（約</w:t>
      </w:r>
      <w:r w:rsidR="004952A3">
        <w:rPr>
          <w:rFonts w:hint="eastAsia"/>
          <w:lang w:val="es-ES"/>
        </w:rPr>
        <w:t>15</w:t>
      </w:r>
      <w:r w:rsidR="004952A3">
        <w:rPr>
          <w:rFonts w:hint="eastAsia"/>
          <w:lang w:val="es-ES"/>
        </w:rPr>
        <w:t>百万米ドル）の支援</w:t>
      </w:r>
      <w:r w:rsidR="00457C58">
        <w:rPr>
          <w:rFonts w:hint="eastAsia"/>
          <w:lang w:val="es-ES"/>
        </w:rPr>
        <w:t>を</w:t>
      </w:r>
      <w:r w:rsidR="004952A3">
        <w:rPr>
          <w:rFonts w:hint="eastAsia"/>
          <w:lang w:val="es-ES"/>
        </w:rPr>
        <w:t>実施</w:t>
      </w:r>
      <w:r w:rsidR="00457C58">
        <w:rPr>
          <w:rFonts w:hint="eastAsia"/>
          <w:lang w:val="es-ES"/>
        </w:rPr>
        <w:t>することを</w:t>
      </w:r>
      <w:r w:rsidR="004952A3">
        <w:rPr>
          <w:rFonts w:hint="eastAsia"/>
          <w:lang w:val="es-ES"/>
        </w:rPr>
        <w:t>決定した。</w:t>
      </w:r>
    </w:p>
    <w:p w:rsidR="0087690E" w:rsidRDefault="0087690E" w:rsidP="004652FB">
      <w:pPr>
        <w:rPr>
          <w:lang w:val="es-ES"/>
        </w:rPr>
      </w:pPr>
      <w:r>
        <w:rPr>
          <w:rFonts w:hint="eastAsia"/>
          <w:lang w:val="es-ES"/>
        </w:rPr>
        <w:t>（</w:t>
      </w:r>
      <w:r w:rsidR="009D7860">
        <w:rPr>
          <w:rFonts w:hint="eastAsia"/>
          <w:lang w:val="es-ES"/>
        </w:rPr>
        <w:t>５</w:t>
      </w:r>
      <w:r>
        <w:rPr>
          <w:rFonts w:hint="eastAsia"/>
          <w:lang w:val="es-ES"/>
        </w:rPr>
        <w:t>）観光庁及びバルセロ</w:t>
      </w:r>
      <w:r w:rsidR="008541AA">
        <w:rPr>
          <w:rFonts w:hint="eastAsia"/>
          <w:lang w:val="es-ES"/>
        </w:rPr>
        <w:t>旅行</w:t>
      </w:r>
      <w:r>
        <w:rPr>
          <w:rFonts w:hint="eastAsia"/>
          <w:lang w:val="es-ES"/>
        </w:rPr>
        <w:t>社</w:t>
      </w:r>
      <w:r w:rsidR="008541AA">
        <w:rPr>
          <w:rFonts w:hint="eastAsia"/>
          <w:lang w:val="es-ES"/>
        </w:rPr>
        <w:t>の協定</w:t>
      </w:r>
    </w:p>
    <w:p w:rsidR="008541AA" w:rsidRDefault="008541AA" w:rsidP="004652FB">
      <w:pPr>
        <w:rPr>
          <w:lang w:val="es-ES"/>
        </w:rPr>
      </w:pPr>
      <w:r>
        <w:rPr>
          <w:rFonts w:hint="eastAsia"/>
          <w:lang w:val="es-ES"/>
        </w:rPr>
        <w:t xml:space="preserve">　</w:t>
      </w:r>
      <w:r>
        <w:rPr>
          <w:rFonts w:hint="eastAsia"/>
          <w:lang w:val="es-ES"/>
        </w:rPr>
        <w:t>10</w:t>
      </w:r>
      <w:r>
        <w:rPr>
          <w:rFonts w:hint="eastAsia"/>
          <w:lang w:val="es-ES"/>
        </w:rPr>
        <w:t>日、グアテマラ観光庁（</w:t>
      </w:r>
      <w:r>
        <w:rPr>
          <w:rFonts w:hint="eastAsia"/>
          <w:lang w:val="es-ES"/>
        </w:rPr>
        <w:t>Inguat</w:t>
      </w:r>
      <w:r>
        <w:rPr>
          <w:rFonts w:hint="eastAsia"/>
          <w:lang w:val="es-ES"/>
        </w:rPr>
        <w:t>）及びバルセロ旅行社（</w:t>
      </w:r>
      <w:r>
        <w:rPr>
          <w:rFonts w:hint="eastAsia"/>
          <w:lang w:val="es-ES"/>
        </w:rPr>
        <w:t>Barce</w:t>
      </w:r>
      <w:r>
        <w:rPr>
          <w:lang w:val="es-ES"/>
        </w:rPr>
        <w:t>ló Viajes</w:t>
      </w:r>
      <w:r>
        <w:rPr>
          <w:rFonts w:hint="eastAsia"/>
          <w:lang w:val="es-ES"/>
        </w:rPr>
        <w:t>）は、グアテマラの観光プロモーションにより、グアテマラへのスペイン人旅行客を増やすことを目的とする協定に署名した。</w:t>
      </w:r>
    </w:p>
    <w:p w:rsidR="00D5618C" w:rsidRDefault="00D5618C" w:rsidP="004652FB">
      <w:pPr>
        <w:rPr>
          <w:lang w:val="es-ES"/>
        </w:rPr>
      </w:pPr>
      <w:r>
        <w:rPr>
          <w:rFonts w:hint="eastAsia"/>
          <w:lang w:val="es-ES"/>
        </w:rPr>
        <w:t>（</w:t>
      </w:r>
      <w:r w:rsidR="009D7860">
        <w:rPr>
          <w:rFonts w:hint="eastAsia"/>
          <w:lang w:val="es-ES"/>
        </w:rPr>
        <w:t>６</w:t>
      </w:r>
      <w:r>
        <w:rPr>
          <w:rFonts w:hint="eastAsia"/>
          <w:lang w:val="es-ES"/>
        </w:rPr>
        <w:t>）スペインのグアテマラへの投資</w:t>
      </w:r>
    </w:p>
    <w:p w:rsidR="00D5618C" w:rsidRDefault="00D5618C" w:rsidP="00D5618C">
      <w:pPr>
        <w:ind w:firstLineChars="100" w:firstLine="210"/>
        <w:rPr>
          <w:lang w:val="es-ES"/>
        </w:rPr>
      </w:pPr>
      <w:r>
        <w:rPr>
          <w:rFonts w:hint="eastAsia"/>
          <w:lang w:val="es-ES"/>
        </w:rPr>
        <w:t>スペインによるグアテマラへの過去</w:t>
      </w:r>
      <w:r>
        <w:rPr>
          <w:rFonts w:hint="eastAsia"/>
          <w:lang w:val="es-ES"/>
        </w:rPr>
        <w:t>5</w:t>
      </w:r>
      <w:r>
        <w:rPr>
          <w:rFonts w:hint="eastAsia"/>
          <w:lang w:val="es-ES"/>
        </w:rPr>
        <w:t>年間の投資額は</w:t>
      </w:r>
      <w:r>
        <w:rPr>
          <w:rFonts w:hint="eastAsia"/>
          <w:lang w:val="es-ES"/>
        </w:rPr>
        <w:t>210</w:t>
      </w:r>
      <w:r>
        <w:rPr>
          <w:rFonts w:hint="eastAsia"/>
          <w:lang w:val="es-ES"/>
        </w:rPr>
        <w:t>百万米ドル</w:t>
      </w:r>
      <w:r w:rsidR="00660697">
        <w:rPr>
          <w:rFonts w:hint="eastAsia"/>
          <w:lang w:val="es-ES"/>
        </w:rPr>
        <w:t>（累積投資額は</w:t>
      </w:r>
      <w:r w:rsidR="00660697">
        <w:rPr>
          <w:rFonts w:hint="eastAsia"/>
          <w:lang w:val="es-ES"/>
        </w:rPr>
        <w:t>345</w:t>
      </w:r>
      <w:r w:rsidR="00660697">
        <w:rPr>
          <w:rFonts w:hint="eastAsia"/>
          <w:lang w:val="es-ES"/>
        </w:rPr>
        <w:t>百万米ドル）</w:t>
      </w:r>
      <w:r w:rsidR="00E11E78">
        <w:rPr>
          <w:rFonts w:hint="eastAsia"/>
          <w:lang w:val="es-ES"/>
        </w:rPr>
        <w:t>であり、グアテマラにおける主要投資国となっている。スペイン商工会議所によれば、本年、テレフォニカ社（通信業）、ラインシェイラ（漁業）、マフレ社（</w:t>
      </w:r>
      <w:r w:rsidR="00660697">
        <w:rPr>
          <w:rFonts w:hint="eastAsia"/>
          <w:lang w:val="es-ES"/>
        </w:rPr>
        <w:t>保険業）及びインテルバンコ社（銀行業）が増資を実行中。</w:t>
      </w:r>
    </w:p>
    <w:p w:rsidR="00C93EA5" w:rsidRDefault="00C93EA5" w:rsidP="00C93EA5">
      <w:pPr>
        <w:rPr>
          <w:lang w:val="es-ES"/>
        </w:rPr>
      </w:pPr>
      <w:r>
        <w:rPr>
          <w:rFonts w:hint="eastAsia"/>
          <w:lang w:val="es-ES"/>
        </w:rPr>
        <w:t>（</w:t>
      </w:r>
      <w:r w:rsidR="009D7860">
        <w:rPr>
          <w:rFonts w:hint="eastAsia"/>
          <w:lang w:val="es-ES"/>
        </w:rPr>
        <w:t>７</w:t>
      </w:r>
      <w:r>
        <w:rPr>
          <w:rFonts w:hint="eastAsia"/>
          <w:lang w:val="es-ES"/>
        </w:rPr>
        <w:t>）</w:t>
      </w:r>
      <w:r w:rsidR="00B3130D">
        <w:rPr>
          <w:rFonts w:hint="eastAsia"/>
          <w:lang w:val="es-ES"/>
        </w:rPr>
        <w:t>米国商工会議所と検事総長との会談</w:t>
      </w:r>
    </w:p>
    <w:p w:rsidR="00C93EA5" w:rsidRDefault="00C93EA5" w:rsidP="00C93EA5">
      <w:pPr>
        <w:rPr>
          <w:lang w:val="es-ES"/>
        </w:rPr>
      </w:pPr>
      <w:r>
        <w:rPr>
          <w:rFonts w:hint="eastAsia"/>
          <w:lang w:val="es-ES"/>
        </w:rPr>
        <w:t xml:space="preserve">　</w:t>
      </w:r>
      <w:r>
        <w:rPr>
          <w:rFonts w:hint="eastAsia"/>
          <w:lang w:val="es-ES"/>
        </w:rPr>
        <w:t>19</w:t>
      </w:r>
      <w:r>
        <w:rPr>
          <w:rFonts w:hint="eastAsia"/>
          <w:lang w:val="es-ES"/>
        </w:rPr>
        <w:t>日、カステ</w:t>
      </w:r>
      <w:r w:rsidR="008726FF">
        <w:rPr>
          <w:rFonts w:hint="eastAsia"/>
          <w:lang w:val="es-ES"/>
        </w:rPr>
        <w:t>ジャーノス在グアテマラ米国商工会議所事務局長及びウィリアムソン</w:t>
      </w:r>
      <w:r>
        <w:rPr>
          <w:rFonts w:hint="eastAsia"/>
          <w:lang w:val="es-ES"/>
        </w:rPr>
        <w:t>在グアテマラ米国大使館商務担当は、アルダナ検事総長と会談し、「グアテマラの</w:t>
      </w:r>
      <w:r>
        <w:rPr>
          <w:rFonts w:hint="eastAsia"/>
          <w:lang w:val="es-ES"/>
        </w:rPr>
        <w:t>GDP</w:t>
      </w:r>
      <w:r>
        <w:rPr>
          <w:rFonts w:hint="eastAsia"/>
          <w:lang w:val="es-ES"/>
        </w:rPr>
        <w:t>は中米地域の</w:t>
      </w:r>
      <w:r>
        <w:rPr>
          <w:rFonts w:hint="eastAsia"/>
          <w:lang w:val="es-ES"/>
        </w:rPr>
        <w:t>30%</w:t>
      </w:r>
      <w:r>
        <w:rPr>
          <w:rFonts w:hint="eastAsia"/>
          <w:lang w:val="es-ES"/>
        </w:rPr>
        <w:t>を占めているにも関わらず、海外直接投資は</w:t>
      </w:r>
      <w:r>
        <w:rPr>
          <w:rFonts w:hint="eastAsia"/>
          <w:lang w:val="es-ES"/>
        </w:rPr>
        <w:t>9%</w:t>
      </w:r>
      <w:r>
        <w:rPr>
          <w:rFonts w:hint="eastAsia"/>
          <w:lang w:val="es-ES"/>
        </w:rPr>
        <w:t>しか呼び込めていない。その原</w:t>
      </w:r>
      <w:r>
        <w:rPr>
          <w:rFonts w:hint="eastAsia"/>
          <w:lang w:val="es-ES"/>
        </w:rPr>
        <w:lastRenderedPageBreak/>
        <w:t>因は犯罪の多さと無処罰率の高さである」との見解を示した。</w:t>
      </w:r>
      <w:r w:rsidR="009F1E6D">
        <w:rPr>
          <w:rFonts w:hint="eastAsia"/>
          <w:lang w:val="es-ES"/>
        </w:rPr>
        <w:t>アルダナ検事総長は、恐喝事件の</w:t>
      </w:r>
      <w:r w:rsidR="009F1E6D">
        <w:rPr>
          <w:rFonts w:hint="eastAsia"/>
          <w:lang w:val="es-ES"/>
        </w:rPr>
        <w:t>57%</w:t>
      </w:r>
      <w:r w:rsidR="009F1E6D">
        <w:rPr>
          <w:rFonts w:hint="eastAsia"/>
          <w:lang w:val="es-ES"/>
        </w:rPr>
        <w:t>は首都で発生している旨言及した上で、</w:t>
      </w:r>
      <w:r w:rsidR="00352B6E">
        <w:rPr>
          <w:rFonts w:hint="eastAsia"/>
          <w:lang w:val="es-ES"/>
        </w:rPr>
        <w:t>恐喝に対する</w:t>
      </w:r>
      <w:r w:rsidR="009F1E6D">
        <w:rPr>
          <w:rFonts w:hint="eastAsia"/>
          <w:lang w:val="es-ES"/>
        </w:rPr>
        <w:t>緊急</w:t>
      </w:r>
      <w:r w:rsidR="003950CB">
        <w:rPr>
          <w:rFonts w:hint="eastAsia"/>
          <w:lang w:val="es-ES"/>
        </w:rPr>
        <w:t>の対策が必要であり、検察庁内に恐喝対策部署の新設を検討していると説明した。</w:t>
      </w:r>
    </w:p>
    <w:p w:rsidR="00F24374" w:rsidRDefault="00F24374" w:rsidP="00C93EA5">
      <w:pPr>
        <w:rPr>
          <w:lang w:val="es-ES"/>
        </w:rPr>
      </w:pPr>
      <w:r>
        <w:rPr>
          <w:rFonts w:hint="eastAsia"/>
          <w:lang w:val="es-ES"/>
        </w:rPr>
        <w:t>（</w:t>
      </w:r>
      <w:r w:rsidR="009D7860">
        <w:rPr>
          <w:rFonts w:hint="eastAsia"/>
          <w:lang w:val="es-ES"/>
        </w:rPr>
        <w:t>８</w:t>
      </w:r>
      <w:r>
        <w:rPr>
          <w:rFonts w:hint="eastAsia"/>
          <w:lang w:val="es-ES"/>
        </w:rPr>
        <w:t>）投資格付けの格下げ</w:t>
      </w:r>
    </w:p>
    <w:p w:rsidR="00F24374" w:rsidRDefault="00F24374" w:rsidP="00C93EA5">
      <w:pPr>
        <w:rPr>
          <w:lang w:val="es-ES"/>
        </w:rPr>
      </w:pPr>
      <w:r>
        <w:rPr>
          <w:rFonts w:hint="eastAsia"/>
          <w:lang w:val="es-ES"/>
        </w:rPr>
        <w:t xml:space="preserve">　投資格付け会社フィッチ・レーティングスは、グアテマラのソブリン・リスクの格付けを</w:t>
      </w:r>
      <w:r>
        <w:rPr>
          <w:rFonts w:hint="eastAsia"/>
          <w:lang w:val="es-ES"/>
        </w:rPr>
        <w:t>BB+</w:t>
      </w:r>
      <w:r>
        <w:rPr>
          <w:rFonts w:hint="eastAsia"/>
          <w:lang w:val="es-ES"/>
        </w:rPr>
        <w:t>から</w:t>
      </w:r>
      <w:r>
        <w:rPr>
          <w:rFonts w:hint="eastAsia"/>
          <w:lang w:val="es-ES"/>
        </w:rPr>
        <w:t>BB</w:t>
      </w:r>
      <w:r>
        <w:rPr>
          <w:rFonts w:hint="eastAsia"/>
          <w:lang w:val="es-ES"/>
        </w:rPr>
        <w:t>に格下げした。同社は、格下げの理由として、経済成長、税収増加及び徴税能力強化</w:t>
      </w:r>
      <w:r w:rsidR="007D07E9">
        <w:rPr>
          <w:rFonts w:hint="eastAsia"/>
          <w:lang w:val="es-ES"/>
        </w:rPr>
        <w:t>のための政策に関して、十分な進展が見られないためと説明している。</w:t>
      </w:r>
      <w:r w:rsidR="00EC0D68">
        <w:rPr>
          <w:rFonts w:hint="eastAsia"/>
          <w:lang w:val="es-ES"/>
        </w:rPr>
        <w:t>デ・ラ・トーレ経済大臣は、同格付けはグアテマラを過小評価しており、市場はグアテマラを高く評価していると反論した。</w:t>
      </w:r>
    </w:p>
    <w:p w:rsidR="00E95E30" w:rsidRDefault="00C96375" w:rsidP="00C93EA5">
      <w:pPr>
        <w:rPr>
          <w:lang w:val="es-ES"/>
        </w:rPr>
      </w:pPr>
      <w:r>
        <w:rPr>
          <w:rFonts w:hint="eastAsia"/>
          <w:lang w:val="es-ES"/>
        </w:rPr>
        <w:t>（</w:t>
      </w:r>
      <w:r w:rsidR="009D7860">
        <w:rPr>
          <w:rFonts w:hint="eastAsia"/>
          <w:lang w:val="es-ES"/>
        </w:rPr>
        <w:t>９</w:t>
      </w:r>
      <w:r>
        <w:rPr>
          <w:rFonts w:hint="eastAsia"/>
          <w:lang w:val="es-ES"/>
        </w:rPr>
        <w:t>）</w:t>
      </w:r>
      <w:r w:rsidR="003C6D2F">
        <w:rPr>
          <w:rFonts w:hint="eastAsia"/>
          <w:lang w:val="es-ES"/>
        </w:rPr>
        <w:t>安価な</w:t>
      </w:r>
      <w:r>
        <w:rPr>
          <w:rFonts w:hint="eastAsia"/>
          <w:lang w:val="es-ES"/>
        </w:rPr>
        <w:t>中国産鉄筋の輸入</w:t>
      </w:r>
    </w:p>
    <w:p w:rsidR="00E95E30" w:rsidRDefault="00E95E30" w:rsidP="00C93EA5">
      <w:pPr>
        <w:rPr>
          <w:lang w:val="es-ES"/>
        </w:rPr>
      </w:pPr>
      <w:r>
        <w:rPr>
          <w:rFonts w:hint="eastAsia"/>
          <w:lang w:val="es-ES"/>
        </w:rPr>
        <w:t xml:space="preserve">　グアテマラ鉄鋼会社（</w:t>
      </w:r>
      <w:r>
        <w:rPr>
          <w:rFonts w:hint="eastAsia"/>
          <w:lang w:val="es-ES"/>
        </w:rPr>
        <w:t>AG</w:t>
      </w:r>
      <w:r>
        <w:rPr>
          <w:rFonts w:hint="eastAsia"/>
          <w:lang w:val="es-ES"/>
        </w:rPr>
        <w:t>）及びスアレス鉄鋼会社は、経済省に対して、中国産の安価な鉄筋の輸入によって、国内製鉄業がリスクにさらされているとして、一時的保護を要請した。同社によれば、中国の鉄筋輸出企業は中国政府による補助金を受けており、そのため、不当に安い価格で鉄筋をグアテマラに輸出していることから、公正な価格競争を妨げているとしている。</w:t>
      </w:r>
    </w:p>
    <w:p w:rsidR="00F04909" w:rsidRDefault="00F04909" w:rsidP="00C93EA5">
      <w:pPr>
        <w:rPr>
          <w:lang w:val="es-ES"/>
        </w:rPr>
      </w:pPr>
      <w:r>
        <w:rPr>
          <w:rFonts w:hint="eastAsia"/>
          <w:lang w:val="es-ES"/>
        </w:rPr>
        <w:t>（</w:t>
      </w:r>
      <w:r w:rsidR="009D7860">
        <w:rPr>
          <w:rFonts w:hint="eastAsia"/>
          <w:lang w:val="es-ES"/>
        </w:rPr>
        <w:t>１０</w:t>
      </w:r>
      <w:r>
        <w:rPr>
          <w:rFonts w:hint="eastAsia"/>
          <w:lang w:val="es-ES"/>
        </w:rPr>
        <w:t>）政策金利の変更</w:t>
      </w:r>
    </w:p>
    <w:p w:rsidR="00F04909" w:rsidRDefault="00F04909" w:rsidP="00C93EA5">
      <w:pPr>
        <w:rPr>
          <w:lang w:val="es-ES"/>
        </w:rPr>
      </w:pPr>
      <w:r>
        <w:rPr>
          <w:rFonts w:hint="eastAsia"/>
          <w:lang w:val="es-ES"/>
        </w:rPr>
        <w:t xml:space="preserve">　</w:t>
      </w:r>
      <w:r>
        <w:rPr>
          <w:rFonts w:hint="eastAsia"/>
          <w:lang w:val="es-ES"/>
        </w:rPr>
        <w:t>25</w:t>
      </w:r>
      <w:r>
        <w:rPr>
          <w:rFonts w:hint="eastAsia"/>
          <w:lang w:val="es-ES"/>
        </w:rPr>
        <w:t>日、グアテマラ中央銀行は、政策金利を</w:t>
      </w:r>
      <w:r>
        <w:rPr>
          <w:rFonts w:hint="eastAsia"/>
          <w:lang w:val="es-ES"/>
        </w:rPr>
        <w:t>4.75%</w:t>
      </w:r>
      <w:r>
        <w:rPr>
          <w:rFonts w:hint="eastAsia"/>
          <w:lang w:val="es-ES"/>
        </w:rPr>
        <w:t>から</w:t>
      </w:r>
      <w:r>
        <w:rPr>
          <w:rFonts w:hint="eastAsia"/>
          <w:lang w:val="es-ES"/>
        </w:rPr>
        <w:t>4.50%</w:t>
      </w:r>
      <w:r>
        <w:rPr>
          <w:rFonts w:hint="eastAsia"/>
          <w:lang w:val="es-ES"/>
        </w:rPr>
        <w:t>に変更する旨発表した。バルキン中央銀行総裁は、利下げの理由として、国内の経済状況が期待されたレベルに到達したためと説明している。</w:t>
      </w:r>
    </w:p>
    <w:p w:rsidR="001239B6" w:rsidRDefault="001239B6" w:rsidP="00C93EA5">
      <w:pPr>
        <w:rPr>
          <w:lang w:val="es-ES"/>
        </w:rPr>
      </w:pPr>
      <w:r>
        <w:rPr>
          <w:rFonts w:hint="eastAsia"/>
          <w:lang w:val="es-ES"/>
        </w:rPr>
        <w:t>（</w:t>
      </w:r>
      <w:r w:rsidR="009D7860">
        <w:rPr>
          <w:rFonts w:hint="eastAsia"/>
          <w:lang w:val="es-ES"/>
        </w:rPr>
        <w:t>１１</w:t>
      </w:r>
      <w:r>
        <w:rPr>
          <w:rFonts w:hint="eastAsia"/>
          <w:lang w:val="es-ES"/>
        </w:rPr>
        <w:t>）国税庁改革の必要性</w:t>
      </w:r>
    </w:p>
    <w:p w:rsidR="00E72161" w:rsidRDefault="001239B6" w:rsidP="00C93EA5">
      <w:pPr>
        <w:rPr>
          <w:lang w:val="es-ES"/>
        </w:rPr>
      </w:pPr>
      <w:r>
        <w:rPr>
          <w:rFonts w:hint="eastAsia"/>
          <w:lang w:val="es-ES"/>
        </w:rPr>
        <w:t xml:space="preserve">　本年の徴税率は目標を下回っており、国税庁の徴税能力に疑問が投げかけられている。</w:t>
      </w:r>
      <w:r w:rsidR="00F02960">
        <w:rPr>
          <w:rFonts w:hint="eastAsia"/>
          <w:lang w:val="es-ES"/>
        </w:rPr>
        <w:t>国税庁は税収を上げるため、税関に警察や軍を配置する等の改革を実施したが、大きな効果を生まなかった。そのため、国税庁はアルゼンチン企業コレクトール</w:t>
      </w:r>
      <w:r w:rsidR="00620A91">
        <w:rPr>
          <w:rFonts w:hint="eastAsia"/>
          <w:lang w:val="es-ES"/>
        </w:rPr>
        <w:t>社と顧問契約を締結して徴税率改善を試みようとしたが、私企業に対して多額の報酬を払うことに対して国民から</w:t>
      </w:r>
      <w:r w:rsidR="00F02960">
        <w:rPr>
          <w:rFonts w:hint="eastAsia"/>
          <w:lang w:val="es-ES"/>
        </w:rPr>
        <w:t>批判</w:t>
      </w:r>
      <w:r w:rsidR="00620A91">
        <w:rPr>
          <w:rFonts w:hint="eastAsia"/>
          <w:lang w:val="es-ES"/>
        </w:rPr>
        <w:t>を受けたため、同案は頓挫した。</w:t>
      </w:r>
      <w:r>
        <w:rPr>
          <w:rFonts w:hint="eastAsia"/>
          <w:lang w:val="es-ES"/>
        </w:rPr>
        <w:t>26</w:t>
      </w:r>
      <w:r>
        <w:rPr>
          <w:rFonts w:hint="eastAsia"/>
          <w:lang w:val="es-ES"/>
        </w:rPr>
        <w:t>日、ペレス・モリーナ大統領は国税庁の</w:t>
      </w:r>
      <w:r w:rsidR="00F02960">
        <w:rPr>
          <w:rFonts w:hint="eastAsia"/>
          <w:lang w:val="es-ES"/>
        </w:rPr>
        <w:t>抜本的</w:t>
      </w:r>
      <w:r w:rsidR="00620A91">
        <w:rPr>
          <w:rFonts w:hint="eastAsia"/>
          <w:lang w:val="es-ES"/>
        </w:rPr>
        <w:t>改革の必要性を主張した</w:t>
      </w:r>
      <w:r>
        <w:rPr>
          <w:rFonts w:hint="eastAsia"/>
          <w:lang w:val="es-ES"/>
        </w:rPr>
        <w:t>。</w:t>
      </w:r>
    </w:p>
    <w:p w:rsidR="00E72161" w:rsidRDefault="00E72161">
      <w:pPr>
        <w:widowControl/>
        <w:jc w:val="left"/>
        <w:rPr>
          <w:lang w:val="es-ES"/>
        </w:rPr>
      </w:pPr>
      <w:r>
        <w:rPr>
          <w:lang w:val="es-ES"/>
        </w:rPr>
        <w:br w:type="page"/>
      </w:r>
    </w:p>
    <w:p w:rsidR="00F662F8" w:rsidRPr="00077BAE" w:rsidRDefault="00077BAE" w:rsidP="009079F3">
      <w:pPr>
        <w:rPr>
          <w:szCs w:val="21"/>
        </w:rPr>
      </w:pPr>
      <w:r>
        <w:rPr>
          <w:rFonts w:hint="eastAsia"/>
          <w:szCs w:val="21"/>
        </w:rPr>
        <w:lastRenderedPageBreak/>
        <w:t>◇主要経済指標◇</w:t>
      </w:r>
    </w:p>
    <w:tbl>
      <w:tblPr>
        <w:tblStyle w:val="ac"/>
        <w:tblW w:w="9180" w:type="dxa"/>
        <w:tblLook w:val="04A0" w:firstRow="1" w:lastRow="0" w:firstColumn="1" w:lastColumn="0" w:noHBand="0" w:noVBand="1"/>
      </w:tblPr>
      <w:tblGrid>
        <w:gridCol w:w="2866"/>
        <w:gridCol w:w="1070"/>
        <w:gridCol w:w="1193"/>
        <w:gridCol w:w="1355"/>
        <w:gridCol w:w="1421"/>
        <w:gridCol w:w="1275"/>
      </w:tblGrid>
      <w:tr w:rsidR="00077BAE" w:rsidRPr="00077BAE" w:rsidTr="00077BAE">
        <w:trPr>
          <w:trHeight w:val="270"/>
        </w:trPr>
        <w:tc>
          <w:tcPr>
            <w:tcW w:w="2866" w:type="dxa"/>
            <w:vMerge w:val="restart"/>
            <w:noWrap/>
            <w:hideMark/>
          </w:tcPr>
          <w:p w:rsidR="00077BAE" w:rsidRPr="00077BAE" w:rsidRDefault="00077BAE">
            <w:r w:rsidRPr="00077BAE">
              <w:rPr>
                <w:rFonts w:hint="eastAsia"/>
              </w:rPr>
              <w:t xml:space="preserve">　</w:t>
            </w:r>
          </w:p>
        </w:tc>
        <w:tc>
          <w:tcPr>
            <w:tcW w:w="3618" w:type="dxa"/>
            <w:gridSpan w:val="3"/>
            <w:noWrap/>
            <w:hideMark/>
          </w:tcPr>
          <w:p w:rsidR="00077BAE" w:rsidRPr="00077BAE" w:rsidRDefault="00077BAE" w:rsidP="00077BAE">
            <w:pPr>
              <w:jc w:val="center"/>
              <w:rPr>
                <w:b/>
                <w:bCs/>
              </w:rPr>
            </w:pPr>
            <w:r w:rsidRPr="00077BAE">
              <w:rPr>
                <w:rFonts w:hint="eastAsia"/>
                <w:b/>
                <w:bCs/>
              </w:rPr>
              <w:t>2014</w:t>
            </w:r>
            <w:r w:rsidRPr="00077BAE">
              <w:rPr>
                <w:rFonts w:hint="eastAsia"/>
                <w:b/>
                <w:bCs/>
              </w:rPr>
              <w:t>年</w:t>
            </w:r>
          </w:p>
        </w:tc>
        <w:tc>
          <w:tcPr>
            <w:tcW w:w="1421" w:type="dxa"/>
            <w:vMerge w:val="restart"/>
            <w:noWrap/>
            <w:hideMark/>
          </w:tcPr>
          <w:p w:rsidR="00077BAE" w:rsidRPr="00077BAE" w:rsidRDefault="00077BAE" w:rsidP="00077BAE">
            <w:pPr>
              <w:jc w:val="center"/>
              <w:rPr>
                <w:b/>
                <w:bCs/>
              </w:rPr>
            </w:pPr>
            <w:r w:rsidRPr="00077BAE">
              <w:rPr>
                <w:rFonts w:hint="eastAsia"/>
                <w:b/>
                <w:bCs/>
              </w:rPr>
              <w:t>2013</w:t>
            </w:r>
            <w:r w:rsidRPr="00077BAE">
              <w:rPr>
                <w:rFonts w:hint="eastAsia"/>
                <w:b/>
                <w:bCs/>
              </w:rPr>
              <w:t>年</w:t>
            </w:r>
          </w:p>
        </w:tc>
        <w:tc>
          <w:tcPr>
            <w:tcW w:w="1275" w:type="dxa"/>
            <w:vMerge w:val="restart"/>
            <w:noWrap/>
            <w:hideMark/>
          </w:tcPr>
          <w:p w:rsidR="00077BAE" w:rsidRPr="00077BAE" w:rsidRDefault="00077BAE" w:rsidP="00077BAE">
            <w:pPr>
              <w:jc w:val="center"/>
              <w:rPr>
                <w:b/>
                <w:bCs/>
              </w:rPr>
            </w:pPr>
            <w:r w:rsidRPr="00077BAE">
              <w:rPr>
                <w:rFonts w:hint="eastAsia"/>
                <w:b/>
                <w:bCs/>
              </w:rPr>
              <w:t>2012</w:t>
            </w:r>
            <w:r w:rsidRPr="00077BAE">
              <w:rPr>
                <w:rFonts w:hint="eastAsia"/>
                <w:b/>
                <w:bCs/>
              </w:rPr>
              <w:t>年</w:t>
            </w:r>
          </w:p>
        </w:tc>
      </w:tr>
      <w:tr w:rsidR="00077BAE" w:rsidRPr="00077BAE" w:rsidTr="00077BAE">
        <w:trPr>
          <w:trHeight w:val="270"/>
        </w:trPr>
        <w:tc>
          <w:tcPr>
            <w:tcW w:w="2866" w:type="dxa"/>
            <w:vMerge/>
            <w:hideMark/>
          </w:tcPr>
          <w:p w:rsidR="00077BAE" w:rsidRPr="00077BAE" w:rsidRDefault="00077BAE"/>
        </w:tc>
        <w:tc>
          <w:tcPr>
            <w:tcW w:w="1070" w:type="dxa"/>
            <w:noWrap/>
            <w:hideMark/>
          </w:tcPr>
          <w:p w:rsidR="00077BAE" w:rsidRPr="00077BAE" w:rsidRDefault="00077BAE" w:rsidP="00077BAE">
            <w:pPr>
              <w:jc w:val="center"/>
              <w:rPr>
                <w:b/>
                <w:bCs/>
              </w:rPr>
            </w:pPr>
            <w:r w:rsidRPr="00077BAE">
              <w:rPr>
                <w:rFonts w:hint="eastAsia"/>
                <w:b/>
                <w:bCs/>
              </w:rPr>
              <w:t>6</w:t>
            </w:r>
            <w:r w:rsidRPr="00077BAE">
              <w:rPr>
                <w:rFonts w:hint="eastAsia"/>
                <w:b/>
                <w:bCs/>
              </w:rPr>
              <w:t>月</w:t>
            </w:r>
          </w:p>
        </w:tc>
        <w:tc>
          <w:tcPr>
            <w:tcW w:w="1193" w:type="dxa"/>
            <w:noWrap/>
            <w:hideMark/>
          </w:tcPr>
          <w:p w:rsidR="00077BAE" w:rsidRPr="00077BAE" w:rsidRDefault="00077BAE" w:rsidP="00077BAE">
            <w:pPr>
              <w:jc w:val="center"/>
              <w:rPr>
                <w:b/>
                <w:bCs/>
              </w:rPr>
            </w:pPr>
            <w:r w:rsidRPr="00077BAE">
              <w:rPr>
                <w:rFonts w:hint="eastAsia"/>
                <w:b/>
                <w:bCs/>
              </w:rPr>
              <w:t>5</w:t>
            </w:r>
            <w:r w:rsidRPr="00077BAE">
              <w:rPr>
                <w:rFonts w:hint="eastAsia"/>
                <w:b/>
                <w:bCs/>
              </w:rPr>
              <w:t>月</w:t>
            </w:r>
          </w:p>
        </w:tc>
        <w:tc>
          <w:tcPr>
            <w:tcW w:w="1355" w:type="dxa"/>
            <w:noWrap/>
            <w:hideMark/>
          </w:tcPr>
          <w:p w:rsidR="00077BAE" w:rsidRPr="00077BAE" w:rsidRDefault="00077BAE" w:rsidP="00077BAE">
            <w:pPr>
              <w:jc w:val="center"/>
              <w:rPr>
                <w:b/>
                <w:bCs/>
              </w:rPr>
            </w:pPr>
            <w:r w:rsidRPr="00077BAE">
              <w:rPr>
                <w:rFonts w:hint="eastAsia"/>
                <w:b/>
                <w:bCs/>
              </w:rPr>
              <w:t>4</w:t>
            </w:r>
            <w:r w:rsidRPr="00077BAE">
              <w:rPr>
                <w:rFonts w:hint="eastAsia"/>
                <w:b/>
                <w:bCs/>
              </w:rPr>
              <w:t>月</w:t>
            </w:r>
          </w:p>
        </w:tc>
        <w:tc>
          <w:tcPr>
            <w:tcW w:w="1421" w:type="dxa"/>
            <w:vMerge/>
            <w:hideMark/>
          </w:tcPr>
          <w:p w:rsidR="00077BAE" w:rsidRPr="00077BAE" w:rsidRDefault="00077BAE">
            <w:pPr>
              <w:rPr>
                <w:b/>
                <w:bCs/>
              </w:rPr>
            </w:pPr>
          </w:p>
        </w:tc>
        <w:tc>
          <w:tcPr>
            <w:tcW w:w="1275" w:type="dxa"/>
            <w:vMerge/>
            <w:hideMark/>
          </w:tcPr>
          <w:p w:rsidR="00077BAE" w:rsidRPr="00077BAE" w:rsidRDefault="00077BAE">
            <w:pPr>
              <w:rPr>
                <w:b/>
                <w:bCs/>
              </w:rPr>
            </w:pPr>
          </w:p>
        </w:tc>
      </w:tr>
      <w:tr w:rsidR="00077BAE" w:rsidRPr="00077BAE" w:rsidTr="00077BAE">
        <w:trPr>
          <w:trHeight w:val="300"/>
        </w:trPr>
        <w:tc>
          <w:tcPr>
            <w:tcW w:w="2866" w:type="dxa"/>
            <w:noWrap/>
            <w:hideMark/>
          </w:tcPr>
          <w:p w:rsidR="00077BAE" w:rsidRPr="00077BAE" w:rsidRDefault="00077BAE">
            <w:pPr>
              <w:rPr>
                <w:b/>
                <w:bCs/>
              </w:rPr>
            </w:pPr>
            <w:r w:rsidRPr="00077BAE">
              <w:rPr>
                <w:rFonts w:hint="eastAsia"/>
                <w:b/>
                <w:bCs/>
              </w:rPr>
              <w:t>インフレ率</w:t>
            </w:r>
            <w:r w:rsidRPr="00077BAE">
              <w:rPr>
                <w:rFonts w:hint="eastAsia"/>
                <w:b/>
                <w:bCs/>
              </w:rPr>
              <w:t xml:space="preserve"> </w:t>
            </w:r>
            <w:r w:rsidRPr="00077BAE">
              <w:rPr>
                <w:rFonts w:hint="eastAsia"/>
                <w:b/>
                <w:bCs/>
              </w:rPr>
              <w:t>（前年同月比）</w:t>
            </w:r>
          </w:p>
        </w:tc>
        <w:tc>
          <w:tcPr>
            <w:tcW w:w="1070" w:type="dxa"/>
            <w:noWrap/>
            <w:hideMark/>
          </w:tcPr>
          <w:p w:rsidR="00077BAE" w:rsidRPr="00077BAE" w:rsidRDefault="00077BAE" w:rsidP="00077BAE">
            <w:pPr>
              <w:jc w:val="center"/>
              <w:rPr>
                <w:b/>
                <w:bCs/>
                <w:sz w:val="18"/>
                <w:szCs w:val="18"/>
              </w:rPr>
            </w:pPr>
            <w:r w:rsidRPr="00077BAE">
              <w:rPr>
                <w:rFonts w:hint="eastAsia"/>
                <w:b/>
                <w:bCs/>
                <w:sz w:val="18"/>
                <w:szCs w:val="18"/>
              </w:rPr>
              <w:t>未発表</w:t>
            </w:r>
          </w:p>
        </w:tc>
        <w:tc>
          <w:tcPr>
            <w:tcW w:w="1193" w:type="dxa"/>
            <w:noWrap/>
            <w:hideMark/>
          </w:tcPr>
          <w:p w:rsidR="00077BAE" w:rsidRPr="00077BAE" w:rsidRDefault="00077BAE" w:rsidP="00077BAE">
            <w:pPr>
              <w:jc w:val="right"/>
            </w:pPr>
            <w:r w:rsidRPr="00077BAE">
              <w:t>3.22%</w:t>
            </w:r>
          </w:p>
        </w:tc>
        <w:tc>
          <w:tcPr>
            <w:tcW w:w="1355" w:type="dxa"/>
            <w:noWrap/>
            <w:hideMark/>
          </w:tcPr>
          <w:p w:rsidR="00077BAE" w:rsidRPr="00077BAE" w:rsidRDefault="00077BAE" w:rsidP="00077BAE">
            <w:pPr>
              <w:jc w:val="right"/>
            </w:pPr>
            <w:r w:rsidRPr="00077BAE">
              <w:t>3.27%</w:t>
            </w:r>
          </w:p>
        </w:tc>
        <w:tc>
          <w:tcPr>
            <w:tcW w:w="1421" w:type="dxa"/>
            <w:noWrap/>
            <w:hideMark/>
          </w:tcPr>
          <w:p w:rsidR="00077BAE" w:rsidRPr="00077BAE" w:rsidRDefault="00077BAE" w:rsidP="00077BAE">
            <w:pPr>
              <w:jc w:val="right"/>
            </w:pPr>
            <w:r w:rsidRPr="00077BAE">
              <w:t>4.39%</w:t>
            </w:r>
          </w:p>
        </w:tc>
        <w:tc>
          <w:tcPr>
            <w:tcW w:w="1275" w:type="dxa"/>
            <w:noWrap/>
            <w:hideMark/>
          </w:tcPr>
          <w:p w:rsidR="00077BAE" w:rsidRPr="00077BAE" w:rsidRDefault="00077BAE" w:rsidP="00077BAE">
            <w:pPr>
              <w:jc w:val="right"/>
            </w:pPr>
            <w:r w:rsidRPr="00077BAE">
              <w:t>3.45%</w:t>
            </w:r>
          </w:p>
        </w:tc>
      </w:tr>
      <w:tr w:rsidR="00077BAE" w:rsidRPr="00077BAE" w:rsidTr="00077BAE">
        <w:trPr>
          <w:trHeight w:val="300"/>
        </w:trPr>
        <w:tc>
          <w:tcPr>
            <w:tcW w:w="2866" w:type="dxa"/>
            <w:noWrap/>
            <w:hideMark/>
          </w:tcPr>
          <w:p w:rsidR="00077BAE" w:rsidRPr="00077BAE" w:rsidRDefault="00077BAE">
            <w:pPr>
              <w:rPr>
                <w:b/>
                <w:bCs/>
              </w:rPr>
            </w:pPr>
            <w:r w:rsidRPr="00077BAE">
              <w:rPr>
                <w:rFonts w:hint="eastAsia"/>
                <w:b/>
                <w:bCs/>
              </w:rPr>
              <w:t>貿易収支（百万ドル）</w:t>
            </w:r>
          </w:p>
        </w:tc>
        <w:tc>
          <w:tcPr>
            <w:tcW w:w="1070" w:type="dxa"/>
            <w:noWrap/>
            <w:hideMark/>
          </w:tcPr>
          <w:p w:rsidR="00077BAE" w:rsidRPr="00077BAE" w:rsidRDefault="00077BAE" w:rsidP="00077BAE">
            <w:pPr>
              <w:jc w:val="center"/>
              <w:rPr>
                <w:b/>
                <w:bCs/>
                <w:sz w:val="18"/>
                <w:szCs w:val="18"/>
              </w:rPr>
            </w:pPr>
            <w:r w:rsidRPr="00077BAE">
              <w:rPr>
                <w:rFonts w:hint="eastAsia"/>
                <w:b/>
                <w:bCs/>
                <w:sz w:val="18"/>
                <w:szCs w:val="18"/>
              </w:rPr>
              <w:t>未発表</w:t>
            </w:r>
          </w:p>
        </w:tc>
        <w:tc>
          <w:tcPr>
            <w:tcW w:w="1193" w:type="dxa"/>
            <w:noWrap/>
            <w:hideMark/>
          </w:tcPr>
          <w:p w:rsidR="00077BAE" w:rsidRPr="00077BAE" w:rsidRDefault="00077BAE" w:rsidP="00077BAE">
            <w:pPr>
              <w:jc w:val="center"/>
              <w:rPr>
                <w:b/>
                <w:bCs/>
                <w:sz w:val="18"/>
                <w:szCs w:val="18"/>
              </w:rPr>
            </w:pPr>
            <w:r w:rsidRPr="00077BAE">
              <w:rPr>
                <w:rFonts w:hint="eastAsia"/>
                <w:b/>
                <w:bCs/>
                <w:sz w:val="18"/>
                <w:szCs w:val="18"/>
              </w:rPr>
              <w:t>未発表</w:t>
            </w:r>
          </w:p>
        </w:tc>
        <w:tc>
          <w:tcPr>
            <w:tcW w:w="1355" w:type="dxa"/>
            <w:noWrap/>
            <w:hideMark/>
          </w:tcPr>
          <w:p w:rsidR="00077BAE" w:rsidRPr="00077BAE" w:rsidRDefault="00077BAE" w:rsidP="00077BAE">
            <w:pPr>
              <w:jc w:val="right"/>
            </w:pPr>
            <w:r w:rsidRPr="00077BAE">
              <w:rPr>
                <w:rFonts w:hint="eastAsia"/>
              </w:rPr>
              <w:t>△</w:t>
            </w:r>
            <w:r w:rsidRPr="00077BAE">
              <w:t>2,265.7</w:t>
            </w:r>
          </w:p>
        </w:tc>
        <w:tc>
          <w:tcPr>
            <w:tcW w:w="1421" w:type="dxa"/>
            <w:noWrap/>
            <w:hideMark/>
          </w:tcPr>
          <w:p w:rsidR="00077BAE" w:rsidRPr="00077BAE" w:rsidRDefault="00077BAE" w:rsidP="00077BAE">
            <w:pPr>
              <w:jc w:val="right"/>
            </w:pPr>
            <w:r w:rsidRPr="00077BAE">
              <w:rPr>
                <w:rFonts w:hint="eastAsia"/>
              </w:rPr>
              <w:t>△</w:t>
            </w:r>
            <w:r w:rsidR="00326B60">
              <w:t>7</w:t>
            </w:r>
            <w:r w:rsidR="00326B60">
              <w:rPr>
                <w:rFonts w:hint="eastAsia"/>
              </w:rPr>
              <w:t>,483</w:t>
            </w:r>
            <w:r w:rsidRPr="00077BAE">
              <w:t>.5</w:t>
            </w:r>
          </w:p>
        </w:tc>
        <w:tc>
          <w:tcPr>
            <w:tcW w:w="1275" w:type="dxa"/>
            <w:noWrap/>
            <w:hideMark/>
          </w:tcPr>
          <w:p w:rsidR="00077BAE" w:rsidRPr="00077BAE" w:rsidRDefault="00077BAE" w:rsidP="00077BAE">
            <w:pPr>
              <w:jc w:val="right"/>
            </w:pPr>
            <w:r w:rsidRPr="00077BAE">
              <w:rPr>
                <w:rFonts w:hint="eastAsia"/>
              </w:rPr>
              <w:t>△</w:t>
            </w:r>
            <w:r w:rsidR="00326B60">
              <w:t>7,0</w:t>
            </w:r>
            <w:r w:rsidR="00326B60">
              <w:rPr>
                <w:rFonts w:hint="eastAsia"/>
              </w:rPr>
              <w:t>15</w:t>
            </w:r>
            <w:r w:rsidR="00326B60">
              <w:t>.</w:t>
            </w:r>
            <w:r w:rsidR="00326B60">
              <w:rPr>
                <w:rFonts w:hint="eastAsia"/>
              </w:rPr>
              <w:t>7</w:t>
            </w:r>
          </w:p>
        </w:tc>
      </w:tr>
      <w:tr w:rsidR="00077BAE" w:rsidRPr="00077BAE" w:rsidTr="00077BAE">
        <w:trPr>
          <w:trHeight w:val="300"/>
        </w:trPr>
        <w:tc>
          <w:tcPr>
            <w:tcW w:w="2866" w:type="dxa"/>
            <w:noWrap/>
            <w:hideMark/>
          </w:tcPr>
          <w:p w:rsidR="00077BAE" w:rsidRPr="00077BAE" w:rsidRDefault="00077BAE">
            <w:pPr>
              <w:rPr>
                <w:b/>
                <w:bCs/>
              </w:rPr>
            </w:pPr>
            <w:r w:rsidRPr="00077BAE">
              <w:rPr>
                <w:rFonts w:hint="eastAsia"/>
                <w:b/>
                <w:bCs/>
              </w:rPr>
              <w:t>輸出（百万ドル）</w:t>
            </w:r>
          </w:p>
        </w:tc>
        <w:tc>
          <w:tcPr>
            <w:tcW w:w="1070" w:type="dxa"/>
            <w:noWrap/>
            <w:hideMark/>
          </w:tcPr>
          <w:p w:rsidR="00077BAE" w:rsidRPr="00077BAE" w:rsidRDefault="00077BAE" w:rsidP="00077BAE">
            <w:pPr>
              <w:jc w:val="center"/>
              <w:rPr>
                <w:b/>
                <w:bCs/>
                <w:sz w:val="18"/>
                <w:szCs w:val="18"/>
              </w:rPr>
            </w:pPr>
            <w:r w:rsidRPr="00077BAE">
              <w:rPr>
                <w:rFonts w:hint="eastAsia"/>
                <w:b/>
                <w:bCs/>
                <w:sz w:val="18"/>
                <w:szCs w:val="18"/>
              </w:rPr>
              <w:t>未発表</w:t>
            </w:r>
          </w:p>
        </w:tc>
        <w:tc>
          <w:tcPr>
            <w:tcW w:w="1193" w:type="dxa"/>
            <w:noWrap/>
            <w:hideMark/>
          </w:tcPr>
          <w:p w:rsidR="00077BAE" w:rsidRPr="00077BAE" w:rsidRDefault="00077BAE" w:rsidP="00077BAE">
            <w:pPr>
              <w:jc w:val="center"/>
              <w:rPr>
                <w:b/>
                <w:bCs/>
                <w:sz w:val="18"/>
                <w:szCs w:val="18"/>
              </w:rPr>
            </w:pPr>
            <w:r w:rsidRPr="00077BAE">
              <w:rPr>
                <w:rFonts w:hint="eastAsia"/>
                <w:b/>
                <w:bCs/>
                <w:sz w:val="18"/>
                <w:szCs w:val="18"/>
              </w:rPr>
              <w:t>未発表</w:t>
            </w:r>
          </w:p>
        </w:tc>
        <w:tc>
          <w:tcPr>
            <w:tcW w:w="1355" w:type="dxa"/>
            <w:noWrap/>
            <w:hideMark/>
          </w:tcPr>
          <w:p w:rsidR="00077BAE" w:rsidRPr="00077BAE" w:rsidRDefault="00E72161" w:rsidP="00077BAE">
            <w:pPr>
              <w:jc w:val="right"/>
            </w:pPr>
            <w:r>
              <w:t>3,629.4</w:t>
            </w:r>
          </w:p>
        </w:tc>
        <w:tc>
          <w:tcPr>
            <w:tcW w:w="1421" w:type="dxa"/>
            <w:noWrap/>
            <w:hideMark/>
          </w:tcPr>
          <w:p w:rsidR="00077BAE" w:rsidRPr="00077BAE" w:rsidRDefault="00326B60" w:rsidP="00077BAE">
            <w:pPr>
              <w:jc w:val="right"/>
            </w:pPr>
            <w:r>
              <w:t>10,</w:t>
            </w:r>
            <w:r>
              <w:rPr>
                <w:rFonts w:hint="eastAsia"/>
              </w:rPr>
              <w:t>031</w:t>
            </w:r>
            <w:r w:rsidR="00077BAE" w:rsidRPr="00077BAE">
              <w:t>.2</w:t>
            </w:r>
          </w:p>
        </w:tc>
        <w:tc>
          <w:tcPr>
            <w:tcW w:w="1275" w:type="dxa"/>
            <w:noWrap/>
            <w:hideMark/>
          </w:tcPr>
          <w:p w:rsidR="00077BAE" w:rsidRPr="00077BAE" w:rsidRDefault="00326B60" w:rsidP="00077BAE">
            <w:pPr>
              <w:jc w:val="right"/>
            </w:pPr>
            <w:r>
              <w:t>9,9</w:t>
            </w:r>
            <w:r>
              <w:rPr>
                <w:rFonts w:hint="eastAsia"/>
              </w:rPr>
              <w:t>78</w:t>
            </w:r>
            <w:r>
              <w:t>.</w:t>
            </w:r>
            <w:r>
              <w:rPr>
                <w:rFonts w:hint="eastAsia"/>
              </w:rPr>
              <w:t>7</w:t>
            </w:r>
          </w:p>
        </w:tc>
      </w:tr>
      <w:tr w:rsidR="00077BAE" w:rsidRPr="00077BAE" w:rsidTr="00077BAE">
        <w:trPr>
          <w:trHeight w:val="300"/>
        </w:trPr>
        <w:tc>
          <w:tcPr>
            <w:tcW w:w="2866" w:type="dxa"/>
            <w:noWrap/>
            <w:hideMark/>
          </w:tcPr>
          <w:p w:rsidR="00077BAE" w:rsidRPr="00077BAE" w:rsidRDefault="00077BAE">
            <w:pPr>
              <w:rPr>
                <w:b/>
                <w:bCs/>
              </w:rPr>
            </w:pPr>
            <w:r w:rsidRPr="00077BAE">
              <w:rPr>
                <w:rFonts w:hint="eastAsia"/>
                <w:b/>
                <w:bCs/>
              </w:rPr>
              <w:t>輸入（百万ドル）</w:t>
            </w:r>
          </w:p>
        </w:tc>
        <w:tc>
          <w:tcPr>
            <w:tcW w:w="1070" w:type="dxa"/>
            <w:noWrap/>
            <w:hideMark/>
          </w:tcPr>
          <w:p w:rsidR="00077BAE" w:rsidRPr="00077BAE" w:rsidRDefault="00077BAE" w:rsidP="00077BAE">
            <w:pPr>
              <w:jc w:val="center"/>
              <w:rPr>
                <w:b/>
                <w:bCs/>
                <w:sz w:val="18"/>
                <w:szCs w:val="18"/>
              </w:rPr>
            </w:pPr>
            <w:r w:rsidRPr="00077BAE">
              <w:rPr>
                <w:rFonts w:hint="eastAsia"/>
                <w:b/>
                <w:bCs/>
                <w:sz w:val="18"/>
                <w:szCs w:val="18"/>
              </w:rPr>
              <w:t>未発表</w:t>
            </w:r>
          </w:p>
        </w:tc>
        <w:tc>
          <w:tcPr>
            <w:tcW w:w="1193" w:type="dxa"/>
            <w:noWrap/>
            <w:hideMark/>
          </w:tcPr>
          <w:p w:rsidR="00077BAE" w:rsidRPr="00077BAE" w:rsidRDefault="00077BAE" w:rsidP="00077BAE">
            <w:pPr>
              <w:jc w:val="center"/>
              <w:rPr>
                <w:b/>
                <w:bCs/>
                <w:sz w:val="18"/>
                <w:szCs w:val="18"/>
              </w:rPr>
            </w:pPr>
            <w:r w:rsidRPr="00077BAE">
              <w:rPr>
                <w:rFonts w:hint="eastAsia"/>
                <w:b/>
                <w:bCs/>
                <w:sz w:val="18"/>
                <w:szCs w:val="18"/>
              </w:rPr>
              <w:t>未発表</w:t>
            </w:r>
          </w:p>
        </w:tc>
        <w:tc>
          <w:tcPr>
            <w:tcW w:w="1355" w:type="dxa"/>
            <w:noWrap/>
            <w:hideMark/>
          </w:tcPr>
          <w:p w:rsidR="00077BAE" w:rsidRPr="00077BAE" w:rsidRDefault="00E72161" w:rsidP="00077BAE">
            <w:pPr>
              <w:jc w:val="right"/>
            </w:pPr>
            <w:r>
              <w:t>5,895.1</w:t>
            </w:r>
          </w:p>
        </w:tc>
        <w:tc>
          <w:tcPr>
            <w:tcW w:w="1421" w:type="dxa"/>
            <w:noWrap/>
            <w:hideMark/>
          </w:tcPr>
          <w:p w:rsidR="00077BAE" w:rsidRPr="00077BAE" w:rsidRDefault="00326B60" w:rsidP="00077BAE">
            <w:pPr>
              <w:jc w:val="right"/>
            </w:pPr>
            <w:r>
              <w:t>17,5</w:t>
            </w:r>
            <w:r>
              <w:rPr>
                <w:rFonts w:hint="eastAsia"/>
              </w:rPr>
              <w:t>14</w:t>
            </w:r>
            <w:r w:rsidR="00077BAE" w:rsidRPr="00077BAE">
              <w:t>.7</w:t>
            </w:r>
          </w:p>
        </w:tc>
        <w:tc>
          <w:tcPr>
            <w:tcW w:w="1275" w:type="dxa"/>
            <w:noWrap/>
            <w:hideMark/>
          </w:tcPr>
          <w:p w:rsidR="00077BAE" w:rsidRPr="00077BAE" w:rsidRDefault="00077BAE" w:rsidP="00077BAE">
            <w:pPr>
              <w:jc w:val="right"/>
            </w:pPr>
            <w:r w:rsidRPr="00077BAE">
              <w:t>16,994.4</w:t>
            </w:r>
          </w:p>
        </w:tc>
      </w:tr>
      <w:tr w:rsidR="00077BAE" w:rsidRPr="00077BAE" w:rsidTr="00077BAE">
        <w:trPr>
          <w:trHeight w:val="300"/>
        </w:trPr>
        <w:tc>
          <w:tcPr>
            <w:tcW w:w="2866" w:type="dxa"/>
            <w:noWrap/>
            <w:hideMark/>
          </w:tcPr>
          <w:p w:rsidR="00077BAE" w:rsidRPr="00077BAE" w:rsidRDefault="00077BAE">
            <w:pPr>
              <w:rPr>
                <w:b/>
                <w:bCs/>
              </w:rPr>
            </w:pPr>
            <w:r w:rsidRPr="00077BAE">
              <w:rPr>
                <w:rFonts w:hint="eastAsia"/>
                <w:b/>
                <w:bCs/>
              </w:rPr>
              <w:t>外貨準備高</w:t>
            </w:r>
            <w:r w:rsidRPr="00077BAE">
              <w:rPr>
                <w:rFonts w:hint="eastAsia"/>
                <w:b/>
                <w:bCs/>
              </w:rPr>
              <w:t xml:space="preserve"> </w:t>
            </w:r>
            <w:r w:rsidRPr="00077BAE">
              <w:rPr>
                <w:rFonts w:hint="eastAsia"/>
                <w:b/>
                <w:bCs/>
              </w:rPr>
              <w:t>（百万ドル）</w:t>
            </w:r>
          </w:p>
        </w:tc>
        <w:tc>
          <w:tcPr>
            <w:tcW w:w="1070" w:type="dxa"/>
            <w:noWrap/>
            <w:hideMark/>
          </w:tcPr>
          <w:p w:rsidR="00077BAE" w:rsidRPr="00077BAE" w:rsidRDefault="00077BAE" w:rsidP="00077BAE">
            <w:pPr>
              <w:jc w:val="center"/>
              <w:rPr>
                <w:b/>
                <w:bCs/>
                <w:sz w:val="18"/>
                <w:szCs w:val="18"/>
              </w:rPr>
            </w:pPr>
            <w:r w:rsidRPr="00077BAE">
              <w:rPr>
                <w:rFonts w:hint="eastAsia"/>
                <w:b/>
                <w:bCs/>
                <w:sz w:val="18"/>
                <w:szCs w:val="18"/>
              </w:rPr>
              <w:t>未発表</w:t>
            </w:r>
          </w:p>
        </w:tc>
        <w:tc>
          <w:tcPr>
            <w:tcW w:w="1193" w:type="dxa"/>
            <w:noWrap/>
            <w:hideMark/>
          </w:tcPr>
          <w:p w:rsidR="00077BAE" w:rsidRPr="00077BAE" w:rsidRDefault="00E72161" w:rsidP="00077BAE">
            <w:pPr>
              <w:jc w:val="right"/>
            </w:pPr>
            <w:r>
              <w:t>7,174</w:t>
            </w:r>
            <w:r>
              <w:rPr>
                <w:rFonts w:hint="eastAsia"/>
              </w:rPr>
              <w:t>.</w:t>
            </w:r>
            <w:r>
              <w:t>1</w:t>
            </w:r>
          </w:p>
        </w:tc>
        <w:tc>
          <w:tcPr>
            <w:tcW w:w="1355" w:type="dxa"/>
            <w:noWrap/>
            <w:hideMark/>
          </w:tcPr>
          <w:p w:rsidR="00077BAE" w:rsidRPr="00077BAE" w:rsidRDefault="00E72161" w:rsidP="00077BAE">
            <w:pPr>
              <w:jc w:val="right"/>
            </w:pPr>
            <w:r>
              <w:t>7,214.9</w:t>
            </w:r>
          </w:p>
        </w:tc>
        <w:tc>
          <w:tcPr>
            <w:tcW w:w="1421" w:type="dxa"/>
            <w:noWrap/>
            <w:hideMark/>
          </w:tcPr>
          <w:p w:rsidR="00077BAE" w:rsidRPr="00077BAE" w:rsidRDefault="00077BAE" w:rsidP="00077BAE">
            <w:pPr>
              <w:jc w:val="right"/>
            </w:pPr>
            <w:r w:rsidRPr="00077BAE">
              <w:t>7,272.6</w:t>
            </w:r>
          </w:p>
        </w:tc>
        <w:tc>
          <w:tcPr>
            <w:tcW w:w="1275" w:type="dxa"/>
            <w:noWrap/>
            <w:hideMark/>
          </w:tcPr>
          <w:p w:rsidR="00077BAE" w:rsidRPr="00077BAE" w:rsidRDefault="00077BAE" w:rsidP="00077BAE">
            <w:pPr>
              <w:jc w:val="right"/>
            </w:pPr>
            <w:r w:rsidRPr="00077BAE">
              <w:t>6,711.2</w:t>
            </w:r>
          </w:p>
        </w:tc>
      </w:tr>
      <w:tr w:rsidR="00077BAE" w:rsidRPr="00077BAE" w:rsidTr="00077BAE">
        <w:trPr>
          <w:trHeight w:val="300"/>
        </w:trPr>
        <w:tc>
          <w:tcPr>
            <w:tcW w:w="2866" w:type="dxa"/>
            <w:noWrap/>
            <w:hideMark/>
          </w:tcPr>
          <w:p w:rsidR="00077BAE" w:rsidRPr="00077BAE" w:rsidRDefault="00077BAE">
            <w:pPr>
              <w:rPr>
                <w:b/>
                <w:bCs/>
              </w:rPr>
            </w:pPr>
            <w:r w:rsidRPr="00077BAE">
              <w:rPr>
                <w:rFonts w:hint="eastAsia"/>
                <w:b/>
                <w:bCs/>
              </w:rPr>
              <w:t>外国からの送金</w:t>
            </w:r>
            <w:r w:rsidRPr="00077BAE">
              <w:rPr>
                <w:rFonts w:hint="eastAsia"/>
                <w:b/>
                <w:bCs/>
              </w:rPr>
              <w:t xml:space="preserve"> </w:t>
            </w:r>
            <w:r w:rsidRPr="00077BAE">
              <w:rPr>
                <w:rFonts w:hint="eastAsia"/>
                <w:b/>
                <w:bCs/>
              </w:rPr>
              <w:t>（百万ドル）</w:t>
            </w:r>
          </w:p>
        </w:tc>
        <w:tc>
          <w:tcPr>
            <w:tcW w:w="1070" w:type="dxa"/>
            <w:noWrap/>
            <w:hideMark/>
          </w:tcPr>
          <w:p w:rsidR="00077BAE" w:rsidRPr="00077BAE" w:rsidRDefault="00077BAE" w:rsidP="00077BAE">
            <w:pPr>
              <w:jc w:val="center"/>
              <w:rPr>
                <w:b/>
                <w:bCs/>
                <w:sz w:val="18"/>
                <w:szCs w:val="18"/>
              </w:rPr>
            </w:pPr>
            <w:r w:rsidRPr="00077BAE">
              <w:rPr>
                <w:rFonts w:hint="eastAsia"/>
                <w:b/>
                <w:bCs/>
                <w:sz w:val="18"/>
                <w:szCs w:val="18"/>
              </w:rPr>
              <w:t>未発表</w:t>
            </w:r>
          </w:p>
        </w:tc>
        <w:tc>
          <w:tcPr>
            <w:tcW w:w="1193" w:type="dxa"/>
            <w:noWrap/>
            <w:hideMark/>
          </w:tcPr>
          <w:p w:rsidR="00077BAE" w:rsidRPr="00077BAE" w:rsidRDefault="00E72161" w:rsidP="00077BAE">
            <w:pPr>
              <w:jc w:val="right"/>
            </w:pPr>
            <w:r>
              <w:t>494.</w:t>
            </w:r>
            <w:r>
              <w:rPr>
                <w:rFonts w:hint="eastAsia"/>
              </w:rPr>
              <w:t>05</w:t>
            </w:r>
          </w:p>
        </w:tc>
        <w:tc>
          <w:tcPr>
            <w:tcW w:w="1355" w:type="dxa"/>
            <w:noWrap/>
            <w:hideMark/>
          </w:tcPr>
          <w:p w:rsidR="00077BAE" w:rsidRPr="00077BAE" w:rsidRDefault="00E72161" w:rsidP="00077BAE">
            <w:pPr>
              <w:jc w:val="right"/>
            </w:pPr>
            <w:r>
              <w:t>490.</w:t>
            </w:r>
            <w:r>
              <w:rPr>
                <w:rFonts w:hint="eastAsia"/>
              </w:rPr>
              <w:t>68</w:t>
            </w:r>
          </w:p>
        </w:tc>
        <w:tc>
          <w:tcPr>
            <w:tcW w:w="1421" w:type="dxa"/>
            <w:noWrap/>
            <w:hideMark/>
          </w:tcPr>
          <w:p w:rsidR="00077BAE" w:rsidRPr="00077BAE" w:rsidRDefault="00077BAE" w:rsidP="00077BAE">
            <w:pPr>
              <w:jc w:val="right"/>
            </w:pPr>
            <w:r w:rsidRPr="00077BAE">
              <w:t>5,105.2</w:t>
            </w:r>
          </w:p>
        </w:tc>
        <w:tc>
          <w:tcPr>
            <w:tcW w:w="1275" w:type="dxa"/>
            <w:noWrap/>
            <w:hideMark/>
          </w:tcPr>
          <w:p w:rsidR="00077BAE" w:rsidRPr="00077BAE" w:rsidRDefault="00077BAE" w:rsidP="00077BAE">
            <w:pPr>
              <w:jc w:val="right"/>
            </w:pPr>
            <w:r w:rsidRPr="00077BAE">
              <w:t>4,782.7</w:t>
            </w:r>
          </w:p>
        </w:tc>
      </w:tr>
      <w:tr w:rsidR="00077BAE" w:rsidRPr="00077BAE" w:rsidTr="00077BAE">
        <w:trPr>
          <w:trHeight w:val="300"/>
        </w:trPr>
        <w:tc>
          <w:tcPr>
            <w:tcW w:w="2866" w:type="dxa"/>
            <w:noWrap/>
            <w:hideMark/>
          </w:tcPr>
          <w:p w:rsidR="00077BAE" w:rsidRPr="00077BAE" w:rsidRDefault="00077BAE">
            <w:pPr>
              <w:rPr>
                <w:b/>
                <w:bCs/>
              </w:rPr>
            </w:pPr>
            <w:r w:rsidRPr="00077BAE">
              <w:rPr>
                <w:rFonts w:hint="eastAsia"/>
                <w:b/>
                <w:bCs/>
              </w:rPr>
              <w:t>為替レート</w:t>
            </w:r>
            <w:r w:rsidRPr="00077BAE">
              <w:rPr>
                <w:rFonts w:hint="eastAsia"/>
                <w:b/>
                <w:bCs/>
              </w:rPr>
              <w:t xml:space="preserve"> </w:t>
            </w:r>
            <w:r w:rsidRPr="00077BAE">
              <w:rPr>
                <w:rFonts w:hint="eastAsia"/>
                <w:b/>
                <w:bCs/>
              </w:rPr>
              <w:t>（対ドル月平均）</w:t>
            </w:r>
          </w:p>
        </w:tc>
        <w:tc>
          <w:tcPr>
            <w:tcW w:w="1070" w:type="dxa"/>
            <w:noWrap/>
            <w:hideMark/>
          </w:tcPr>
          <w:p w:rsidR="00077BAE" w:rsidRPr="00077BAE" w:rsidRDefault="00077BAE" w:rsidP="00E72161">
            <w:pPr>
              <w:jc w:val="right"/>
            </w:pPr>
            <w:r w:rsidRPr="00077BAE">
              <w:t>7.81</w:t>
            </w:r>
          </w:p>
        </w:tc>
        <w:tc>
          <w:tcPr>
            <w:tcW w:w="1193" w:type="dxa"/>
            <w:noWrap/>
            <w:hideMark/>
          </w:tcPr>
          <w:p w:rsidR="00077BAE" w:rsidRPr="00077BAE" w:rsidRDefault="00077BAE" w:rsidP="00E72161">
            <w:pPr>
              <w:jc w:val="right"/>
            </w:pPr>
            <w:r w:rsidRPr="00077BAE">
              <w:t>7.73</w:t>
            </w:r>
          </w:p>
        </w:tc>
        <w:tc>
          <w:tcPr>
            <w:tcW w:w="1355" w:type="dxa"/>
            <w:noWrap/>
            <w:hideMark/>
          </w:tcPr>
          <w:p w:rsidR="00077BAE" w:rsidRPr="00077BAE" w:rsidRDefault="00077BAE" w:rsidP="00E72161">
            <w:pPr>
              <w:jc w:val="right"/>
            </w:pPr>
            <w:r w:rsidRPr="00077BAE">
              <w:t>7.75</w:t>
            </w:r>
          </w:p>
        </w:tc>
        <w:tc>
          <w:tcPr>
            <w:tcW w:w="1421" w:type="dxa"/>
            <w:noWrap/>
            <w:hideMark/>
          </w:tcPr>
          <w:p w:rsidR="00077BAE" w:rsidRPr="00077BAE" w:rsidRDefault="00077BAE" w:rsidP="00E72161">
            <w:pPr>
              <w:jc w:val="right"/>
            </w:pPr>
            <w:r w:rsidRPr="00077BAE">
              <w:t>7.86</w:t>
            </w:r>
          </w:p>
        </w:tc>
        <w:tc>
          <w:tcPr>
            <w:tcW w:w="1275" w:type="dxa"/>
            <w:noWrap/>
            <w:hideMark/>
          </w:tcPr>
          <w:p w:rsidR="00077BAE" w:rsidRPr="00077BAE" w:rsidRDefault="00077BAE" w:rsidP="00E72161">
            <w:pPr>
              <w:jc w:val="right"/>
            </w:pPr>
            <w:r w:rsidRPr="00077BAE">
              <w:t>7.83</w:t>
            </w:r>
          </w:p>
        </w:tc>
      </w:tr>
    </w:tbl>
    <w:p w:rsidR="00077BAE" w:rsidRPr="002A2034" w:rsidRDefault="00077BAE" w:rsidP="00077BAE">
      <w:r>
        <w:rPr>
          <w:rFonts w:hint="eastAsia"/>
        </w:rPr>
        <w:t>（出所：中銀、国立統計局）　　　　　注）</w:t>
      </w:r>
      <w:r>
        <w:rPr>
          <w:rFonts w:hint="eastAsia"/>
        </w:rPr>
        <w:t>2012</w:t>
      </w:r>
      <w:r>
        <w:rPr>
          <w:rFonts w:hint="eastAsia"/>
        </w:rPr>
        <w:t>年及び</w:t>
      </w:r>
      <w:r>
        <w:rPr>
          <w:rFonts w:hint="eastAsia"/>
        </w:rPr>
        <w:t>2013</w:t>
      </w:r>
      <w:r>
        <w:rPr>
          <w:rFonts w:hint="eastAsia"/>
        </w:rPr>
        <w:t>年の為替レートは年平均</w:t>
      </w:r>
    </w:p>
    <w:p w:rsidR="008726FF" w:rsidRPr="001239B6" w:rsidRDefault="008726FF" w:rsidP="009079F3">
      <w:pPr>
        <w:rPr>
          <w:lang w:val="es-ES"/>
        </w:rPr>
      </w:pPr>
    </w:p>
    <w:p w:rsidR="009079F3" w:rsidRPr="00324552" w:rsidRDefault="009079F3" w:rsidP="009079F3">
      <w:pPr>
        <w:rPr>
          <w:shd w:val="pct15" w:color="auto" w:fill="FFFFFF"/>
        </w:rPr>
      </w:pPr>
      <w:r w:rsidRPr="00324552">
        <w:rPr>
          <w:rFonts w:hint="eastAsia"/>
          <w:shd w:val="pct15" w:color="auto" w:fill="FFFFFF"/>
        </w:rPr>
        <w:t>４．治安・社会</w:t>
      </w:r>
    </w:p>
    <w:p w:rsidR="004652FB" w:rsidRDefault="00113FE3" w:rsidP="004652FB">
      <w:r>
        <w:rPr>
          <w:rFonts w:hint="eastAsia"/>
        </w:rPr>
        <w:t>（</w:t>
      </w:r>
      <w:r w:rsidR="009D7860">
        <w:rPr>
          <w:rFonts w:hint="eastAsia"/>
        </w:rPr>
        <w:t>１</w:t>
      </w:r>
      <w:r>
        <w:rPr>
          <w:rFonts w:hint="eastAsia"/>
        </w:rPr>
        <w:t>）</w:t>
      </w:r>
      <w:r w:rsidR="007304C8">
        <w:rPr>
          <w:rFonts w:hint="eastAsia"/>
        </w:rPr>
        <w:t>首都における犯罪多発地区</w:t>
      </w:r>
    </w:p>
    <w:p w:rsidR="0063798A" w:rsidRDefault="0063798A" w:rsidP="004652FB">
      <w:r>
        <w:rPr>
          <w:rFonts w:hint="eastAsia"/>
        </w:rPr>
        <w:t xml:space="preserve">　本年</w:t>
      </w:r>
      <w:r>
        <w:rPr>
          <w:rFonts w:hint="eastAsia"/>
        </w:rPr>
        <w:t>1</w:t>
      </w:r>
      <w:r>
        <w:rPr>
          <w:rFonts w:hint="eastAsia"/>
        </w:rPr>
        <w:t>月～</w:t>
      </w:r>
      <w:r>
        <w:rPr>
          <w:rFonts w:hint="eastAsia"/>
        </w:rPr>
        <w:t>4</w:t>
      </w:r>
      <w:r>
        <w:rPr>
          <w:rFonts w:hint="eastAsia"/>
        </w:rPr>
        <w:t>月に首都グアテマラ市において発生した殺人事件</w:t>
      </w:r>
      <w:r>
        <w:rPr>
          <w:rFonts w:hint="eastAsia"/>
        </w:rPr>
        <w:t>194</w:t>
      </w:r>
      <w:r>
        <w:rPr>
          <w:rFonts w:hint="eastAsia"/>
        </w:rPr>
        <w:t>件のうち、</w:t>
      </w:r>
      <w:r>
        <w:rPr>
          <w:rFonts w:hint="eastAsia"/>
        </w:rPr>
        <w:t>39%</w:t>
      </w:r>
      <w:r>
        <w:rPr>
          <w:rFonts w:hint="eastAsia"/>
        </w:rPr>
        <w:t>は第</w:t>
      </w:r>
      <w:r>
        <w:rPr>
          <w:rFonts w:hint="eastAsia"/>
        </w:rPr>
        <w:t>18</w:t>
      </w:r>
      <w:r>
        <w:rPr>
          <w:rFonts w:hint="eastAsia"/>
        </w:rPr>
        <w:t>区及び第</w:t>
      </w:r>
      <w:r>
        <w:rPr>
          <w:rFonts w:hint="eastAsia"/>
        </w:rPr>
        <w:t>6</w:t>
      </w:r>
      <w:r>
        <w:rPr>
          <w:rFonts w:hint="eastAsia"/>
        </w:rPr>
        <w:t>区で発生しており、犯罪多発地区となっている。</w:t>
      </w:r>
    </w:p>
    <w:p w:rsidR="007304C8" w:rsidRDefault="007304C8" w:rsidP="004652FB">
      <w:r>
        <w:rPr>
          <w:rFonts w:hint="eastAsia"/>
        </w:rPr>
        <w:t>（</w:t>
      </w:r>
      <w:r w:rsidR="009D7860">
        <w:rPr>
          <w:rFonts w:hint="eastAsia"/>
        </w:rPr>
        <w:t>２</w:t>
      </w:r>
      <w:r>
        <w:rPr>
          <w:rFonts w:hint="eastAsia"/>
        </w:rPr>
        <w:t>）人口あたり犯罪発生率の低下</w:t>
      </w:r>
    </w:p>
    <w:p w:rsidR="007304C8" w:rsidRPr="007304C8" w:rsidRDefault="007304C8" w:rsidP="004652FB">
      <w:r>
        <w:rPr>
          <w:rFonts w:hint="eastAsia"/>
        </w:rPr>
        <w:t xml:space="preserve">　本年の殺人発生件数は、一日あたり約</w:t>
      </w:r>
      <w:r>
        <w:rPr>
          <w:rFonts w:hint="eastAsia"/>
        </w:rPr>
        <w:t>13</w:t>
      </w:r>
      <w:r>
        <w:rPr>
          <w:rFonts w:hint="eastAsia"/>
        </w:rPr>
        <w:t>件であり、ペレス・モリーナ政権発足時の約</w:t>
      </w:r>
      <w:r>
        <w:rPr>
          <w:rFonts w:hint="eastAsia"/>
        </w:rPr>
        <w:t>17</w:t>
      </w:r>
      <w:r>
        <w:rPr>
          <w:rFonts w:hint="eastAsia"/>
        </w:rPr>
        <w:t>件より大きく減少した。</w:t>
      </w:r>
      <w:r>
        <w:rPr>
          <w:rFonts w:hint="eastAsia"/>
        </w:rPr>
        <w:t>10</w:t>
      </w:r>
      <w:r>
        <w:rPr>
          <w:rFonts w:hint="eastAsia"/>
        </w:rPr>
        <w:t>万人あたり殺人発生件数</w:t>
      </w:r>
      <w:r w:rsidR="0086559C">
        <w:rPr>
          <w:rFonts w:hint="eastAsia"/>
        </w:rPr>
        <w:t>（年換算）も</w:t>
      </w:r>
      <w:r>
        <w:rPr>
          <w:rFonts w:hint="eastAsia"/>
        </w:rPr>
        <w:t>31.5</w:t>
      </w:r>
      <w:r>
        <w:rPr>
          <w:rFonts w:hint="eastAsia"/>
        </w:rPr>
        <w:t>人に減少しており、</w:t>
      </w:r>
      <w:r>
        <w:rPr>
          <w:rFonts w:hint="eastAsia"/>
        </w:rPr>
        <w:t>2003</w:t>
      </w:r>
      <w:r>
        <w:rPr>
          <w:rFonts w:hint="eastAsia"/>
        </w:rPr>
        <w:t>年以来の低い水準となっている。</w:t>
      </w:r>
    </w:p>
    <w:p w:rsidR="000B3F28" w:rsidRDefault="000B3F28" w:rsidP="004652FB">
      <w:pPr>
        <w:rPr>
          <w:lang w:val="es-ES"/>
        </w:rPr>
      </w:pPr>
      <w:r>
        <w:rPr>
          <w:rFonts w:hint="eastAsia"/>
          <w:lang w:val="es-ES"/>
        </w:rPr>
        <w:t>（</w:t>
      </w:r>
      <w:r w:rsidR="009D7860">
        <w:rPr>
          <w:rFonts w:hint="eastAsia"/>
          <w:lang w:val="es-ES"/>
        </w:rPr>
        <w:t>３</w:t>
      </w:r>
      <w:r>
        <w:rPr>
          <w:rFonts w:hint="eastAsia"/>
          <w:lang w:val="es-ES"/>
        </w:rPr>
        <w:t>）恐喝対策</w:t>
      </w:r>
    </w:p>
    <w:p w:rsidR="000B3F28" w:rsidRDefault="000B3F28" w:rsidP="004652FB">
      <w:pPr>
        <w:rPr>
          <w:lang w:val="es-ES"/>
        </w:rPr>
      </w:pPr>
      <w:r>
        <w:rPr>
          <w:rFonts w:hint="eastAsia"/>
          <w:lang w:val="es-ES"/>
        </w:rPr>
        <w:t xml:space="preserve">　</w:t>
      </w:r>
      <w:r>
        <w:rPr>
          <w:rFonts w:hint="eastAsia"/>
          <w:lang w:val="es-ES"/>
        </w:rPr>
        <w:t>4</w:t>
      </w:r>
      <w:r w:rsidR="00106522">
        <w:rPr>
          <w:rFonts w:hint="eastAsia"/>
          <w:lang w:val="es-ES"/>
        </w:rPr>
        <w:t>日、検察庁は、恐喝対策</w:t>
      </w:r>
      <w:r w:rsidR="008F215B">
        <w:rPr>
          <w:rFonts w:hint="eastAsia"/>
          <w:lang w:val="es-ES"/>
        </w:rPr>
        <w:t>に特化した</w:t>
      </w:r>
      <w:r>
        <w:rPr>
          <w:rFonts w:hint="eastAsia"/>
          <w:lang w:val="es-ES"/>
        </w:rPr>
        <w:t>部署を新設することを決定した。同部署は</w:t>
      </w:r>
      <w:r>
        <w:rPr>
          <w:rFonts w:hint="eastAsia"/>
          <w:lang w:val="es-ES"/>
        </w:rPr>
        <w:t>7</w:t>
      </w:r>
      <w:r>
        <w:rPr>
          <w:rFonts w:hint="eastAsia"/>
          <w:lang w:val="es-ES"/>
        </w:rPr>
        <w:t>月</w:t>
      </w:r>
      <w:r>
        <w:rPr>
          <w:rFonts w:hint="eastAsia"/>
          <w:lang w:val="es-ES"/>
        </w:rPr>
        <w:t>1</w:t>
      </w:r>
      <w:r>
        <w:rPr>
          <w:rFonts w:hint="eastAsia"/>
          <w:lang w:val="es-ES"/>
        </w:rPr>
        <w:t>日から業務を開始する。</w:t>
      </w:r>
      <w:r w:rsidR="00D5562A">
        <w:rPr>
          <w:rFonts w:hint="eastAsia"/>
          <w:lang w:val="es-ES"/>
        </w:rPr>
        <w:t>また、</w:t>
      </w:r>
      <w:r w:rsidR="00D5562A">
        <w:rPr>
          <w:rFonts w:hint="eastAsia"/>
          <w:lang w:val="es-ES"/>
        </w:rPr>
        <w:t>23</w:t>
      </w:r>
      <w:r w:rsidR="00D5562A">
        <w:rPr>
          <w:rFonts w:hint="eastAsia"/>
          <w:lang w:val="es-ES"/>
        </w:rPr>
        <w:t>日、検察庁は、誘拐対策部署の新設も決定した。</w:t>
      </w:r>
    </w:p>
    <w:p w:rsidR="00A87D86" w:rsidRDefault="00A87D86" w:rsidP="004652FB">
      <w:pPr>
        <w:rPr>
          <w:lang w:val="es-ES"/>
        </w:rPr>
      </w:pPr>
      <w:r>
        <w:rPr>
          <w:rFonts w:hint="eastAsia"/>
          <w:lang w:val="es-ES"/>
        </w:rPr>
        <w:t>（</w:t>
      </w:r>
      <w:r w:rsidR="008726FF">
        <w:rPr>
          <w:rFonts w:hint="eastAsia"/>
          <w:lang w:val="es-ES"/>
        </w:rPr>
        <w:t>４</w:t>
      </w:r>
      <w:r>
        <w:rPr>
          <w:rFonts w:hint="eastAsia"/>
          <w:lang w:val="es-ES"/>
        </w:rPr>
        <w:t>）バルデッティ副大統領に対する表彰</w:t>
      </w:r>
    </w:p>
    <w:p w:rsidR="00A87D86" w:rsidRDefault="00A87D86" w:rsidP="004652FB">
      <w:pPr>
        <w:rPr>
          <w:lang w:val="es-ES"/>
        </w:rPr>
      </w:pPr>
      <w:r>
        <w:rPr>
          <w:rFonts w:hint="eastAsia"/>
          <w:lang w:val="es-ES"/>
        </w:rPr>
        <w:t xml:space="preserve">　</w:t>
      </w:r>
      <w:r w:rsidR="00140DCE">
        <w:rPr>
          <w:rFonts w:hint="eastAsia"/>
          <w:lang w:val="es-ES"/>
        </w:rPr>
        <w:t>18</w:t>
      </w:r>
      <w:r w:rsidR="00140DCE">
        <w:rPr>
          <w:rFonts w:hint="eastAsia"/>
          <w:lang w:val="es-ES"/>
        </w:rPr>
        <w:t>日、</w:t>
      </w:r>
      <w:r>
        <w:rPr>
          <w:rFonts w:hint="eastAsia"/>
          <w:lang w:val="es-ES"/>
        </w:rPr>
        <w:t>UNICEF</w:t>
      </w:r>
      <w:r>
        <w:rPr>
          <w:rFonts w:hint="eastAsia"/>
          <w:lang w:val="es-ES"/>
        </w:rPr>
        <w:t>は、バルデッティ副大統領の性暴力及び児童搾取に対する取組を表彰した。</w:t>
      </w:r>
      <w:r w:rsidR="00075039">
        <w:rPr>
          <w:rFonts w:hint="eastAsia"/>
          <w:lang w:val="es-ES"/>
        </w:rPr>
        <w:t>表彰の場において、</w:t>
      </w:r>
      <w:r>
        <w:rPr>
          <w:rFonts w:hint="eastAsia"/>
          <w:lang w:val="es-ES"/>
        </w:rPr>
        <w:t>バルデッティ副大統領は、被害者を社会復帰させるプログラム「私はできる（</w:t>
      </w:r>
      <w:r>
        <w:rPr>
          <w:rFonts w:hint="eastAsia"/>
          <w:lang w:val="es-ES"/>
        </w:rPr>
        <w:t>Yo Soy Capaz</w:t>
      </w:r>
      <w:r>
        <w:rPr>
          <w:rFonts w:hint="eastAsia"/>
          <w:lang w:val="es-ES"/>
        </w:rPr>
        <w:t>）」</w:t>
      </w:r>
      <w:r w:rsidR="00075039">
        <w:rPr>
          <w:rFonts w:hint="eastAsia"/>
          <w:lang w:val="es-ES"/>
        </w:rPr>
        <w:t>を開始予定である旨発表した。</w:t>
      </w:r>
    </w:p>
    <w:p w:rsidR="007C0A4C" w:rsidRDefault="008726FF" w:rsidP="004652FB">
      <w:pPr>
        <w:rPr>
          <w:lang w:val="es-ES"/>
        </w:rPr>
      </w:pPr>
      <w:r>
        <w:rPr>
          <w:rFonts w:hint="eastAsia"/>
          <w:lang w:val="es-ES"/>
        </w:rPr>
        <w:t>（５</w:t>
      </w:r>
      <w:r w:rsidR="007C0A4C">
        <w:rPr>
          <w:rFonts w:hint="eastAsia"/>
          <w:lang w:val="es-ES"/>
        </w:rPr>
        <w:t>）世界平和度指数の改善</w:t>
      </w:r>
    </w:p>
    <w:p w:rsidR="00512130" w:rsidRPr="00034B03" w:rsidRDefault="007C0A4C" w:rsidP="00BE63A5">
      <w:r>
        <w:rPr>
          <w:rFonts w:hint="eastAsia"/>
          <w:lang w:val="es-ES"/>
        </w:rPr>
        <w:t xml:space="preserve">　経済平和研究所（</w:t>
      </w:r>
      <w:r>
        <w:rPr>
          <w:rFonts w:hint="eastAsia"/>
          <w:lang w:val="es-ES"/>
        </w:rPr>
        <w:t>IEP</w:t>
      </w:r>
      <w:r>
        <w:rPr>
          <w:rFonts w:hint="eastAsia"/>
          <w:lang w:val="es-ES"/>
        </w:rPr>
        <w:t>）が発表した世界平和度指数（</w:t>
      </w:r>
      <w:r>
        <w:rPr>
          <w:rFonts w:hint="eastAsia"/>
          <w:lang w:val="es-ES"/>
        </w:rPr>
        <w:t>2014</w:t>
      </w:r>
      <w:r>
        <w:rPr>
          <w:rFonts w:hint="eastAsia"/>
          <w:lang w:val="es-ES"/>
        </w:rPr>
        <w:t>年）において、グアテマラは</w:t>
      </w:r>
      <w:r>
        <w:rPr>
          <w:rFonts w:hint="eastAsia"/>
          <w:lang w:val="es-ES"/>
        </w:rPr>
        <w:t>162</w:t>
      </w:r>
      <w:r>
        <w:rPr>
          <w:rFonts w:hint="eastAsia"/>
          <w:lang w:val="es-ES"/>
        </w:rPr>
        <w:t>か国中</w:t>
      </w:r>
      <w:r>
        <w:rPr>
          <w:rFonts w:hint="eastAsia"/>
          <w:lang w:val="es-ES"/>
        </w:rPr>
        <w:t>115</w:t>
      </w:r>
      <w:r w:rsidR="008726FF">
        <w:rPr>
          <w:rFonts w:hint="eastAsia"/>
          <w:lang w:val="es-ES"/>
        </w:rPr>
        <w:t>位となり、前年より順位を</w:t>
      </w:r>
      <w:r>
        <w:rPr>
          <w:rFonts w:hint="eastAsia"/>
          <w:lang w:val="es-ES"/>
        </w:rPr>
        <w:t>2</w:t>
      </w:r>
      <w:r>
        <w:rPr>
          <w:rFonts w:hint="eastAsia"/>
          <w:lang w:val="es-ES"/>
        </w:rPr>
        <w:t>つ上昇</w:t>
      </w:r>
      <w:r w:rsidR="008726FF">
        <w:rPr>
          <w:rFonts w:hint="eastAsia"/>
          <w:lang w:val="es-ES"/>
        </w:rPr>
        <w:t>させた</w:t>
      </w:r>
      <w:r w:rsidR="00890A10">
        <w:rPr>
          <w:rFonts w:hint="eastAsia"/>
          <w:lang w:val="es-ES"/>
        </w:rPr>
        <w:t>。中米域内ではコスタリカ（</w:t>
      </w:r>
      <w:r w:rsidR="00890A10">
        <w:rPr>
          <w:rFonts w:hint="eastAsia"/>
          <w:lang w:val="es-ES"/>
        </w:rPr>
        <w:t>42</w:t>
      </w:r>
      <w:r w:rsidR="00890A10">
        <w:rPr>
          <w:rFonts w:hint="eastAsia"/>
          <w:lang w:val="es-ES"/>
        </w:rPr>
        <w:t>位）、パナマ（</w:t>
      </w:r>
      <w:r w:rsidR="00890A10">
        <w:rPr>
          <w:rFonts w:hint="eastAsia"/>
          <w:lang w:val="es-ES"/>
        </w:rPr>
        <w:t>57</w:t>
      </w:r>
      <w:r w:rsidR="00890A10">
        <w:rPr>
          <w:rFonts w:hint="eastAsia"/>
          <w:lang w:val="es-ES"/>
        </w:rPr>
        <w:t>位）、ニカラグア（</w:t>
      </w:r>
      <w:r w:rsidR="00890A10">
        <w:rPr>
          <w:rFonts w:hint="eastAsia"/>
          <w:lang w:val="es-ES"/>
        </w:rPr>
        <w:t>58</w:t>
      </w:r>
      <w:r w:rsidR="00890A10">
        <w:rPr>
          <w:rFonts w:hint="eastAsia"/>
          <w:lang w:val="es-ES"/>
        </w:rPr>
        <w:t>位）に遅れをとっているものの、エルサルバドル（</w:t>
      </w:r>
      <w:r w:rsidR="00890A10">
        <w:rPr>
          <w:rFonts w:hint="eastAsia"/>
          <w:lang w:val="es-ES"/>
        </w:rPr>
        <w:t>116</w:t>
      </w:r>
      <w:r w:rsidR="00890A10">
        <w:rPr>
          <w:rFonts w:hint="eastAsia"/>
          <w:lang w:val="es-ES"/>
        </w:rPr>
        <w:t>位）やホンジュラス（</w:t>
      </w:r>
      <w:r w:rsidR="00890A10">
        <w:rPr>
          <w:rFonts w:hint="eastAsia"/>
          <w:lang w:val="es-ES"/>
        </w:rPr>
        <w:t>117</w:t>
      </w:r>
      <w:r w:rsidR="00890A10">
        <w:rPr>
          <w:rFonts w:hint="eastAsia"/>
          <w:lang w:val="es-ES"/>
        </w:rPr>
        <w:t>位）よりも高い評価を受けた。</w:t>
      </w:r>
      <w:r w:rsidR="00512130">
        <w:rPr>
          <w:rFonts w:hint="eastAsia"/>
        </w:rPr>
        <w:t>（了）</w:t>
      </w:r>
    </w:p>
    <w:sectPr w:rsidR="00512130" w:rsidRPr="00034B03"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4C" w:rsidRDefault="007C0A4C" w:rsidP="005F4391">
      <w:r>
        <w:separator/>
      </w:r>
    </w:p>
  </w:endnote>
  <w:endnote w:type="continuationSeparator" w:id="0">
    <w:p w:rsidR="007C0A4C" w:rsidRDefault="007C0A4C" w:rsidP="005F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487"/>
      <w:docPartObj>
        <w:docPartGallery w:val="Page Numbers (Bottom of Page)"/>
        <w:docPartUnique/>
      </w:docPartObj>
    </w:sdtPr>
    <w:sdtEndPr/>
    <w:sdtContent>
      <w:sdt>
        <w:sdtPr>
          <w:id w:val="46958467"/>
          <w:docPartObj>
            <w:docPartGallery w:val="Page Numbers (Top of Page)"/>
            <w:docPartUnique/>
          </w:docPartObj>
        </w:sdtPr>
        <w:sdtEndPr/>
        <w:sdtContent>
          <w:p w:rsidR="007C0A4C" w:rsidRDefault="007C0A4C">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BE63A5">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BE63A5">
              <w:rPr>
                <w:b/>
                <w:noProof/>
              </w:rPr>
              <w:t>5</w:t>
            </w:r>
            <w:r>
              <w:rPr>
                <w:b/>
                <w:sz w:val="24"/>
                <w:szCs w:val="24"/>
              </w:rPr>
              <w:fldChar w:fldCharType="end"/>
            </w:r>
          </w:p>
        </w:sdtContent>
      </w:sdt>
    </w:sdtContent>
  </w:sdt>
  <w:p w:rsidR="007C0A4C" w:rsidRDefault="007C0A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4C" w:rsidRDefault="007C0A4C" w:rsidP="005F4391">
      <w:r>
        <w:separator/>
      </w:r>
    </w:p>
  </w:footnote>
  <w:footnote w:type="continuationSeparator" w:id="0">
    <w:p w:rsidR="007C0A4C" w:rsidRDefault="007C0A4C" w:rsidP="005F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0796"/>
    <w:multiLevelType w:val="hybridMultilevel"/>
    <w:tmpl w:val="37AE90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4391"/>
    <w:rsid w:val="00001396"/>
    <w:rsid w:val="00001BB9"/>
    <w:rsid w:val="00002787"/>
    <w:rsid w:val="00006DF2"/>
    <w:rsid w:val="00010833"/>
    <w:rsid w:val="00015409"/>
    <w:rsid w:val="0002443D"/>
    <w:rsid w:val="00030514"/>
    <w:rsid w:val="000337D1"/>
    <w:rsid w:val="00034B03"/>
    <w:rsid w:val="000374B3"/>
    <w:rsid w:val="000418CC"/>
    <w:rsid w:val="00042191"/>
    <w:rsid w:val="0004273A"/>
    <w:rsid w:val="00043563"/>
    <w:rsid w:val="000435C5"/>
    <w:rsid w:val="0005170E"/>
    <w:rsid w:val="00051ACF"/>
    <w:rsid w:val="00052D51"/>
    <w:rsid w:val="00055314"/>
    <w:rsid w:val="00056DF0"/>
    <w:rsid w:val="00062E1F"/>
    <w:rsid w:val="000638CB"/>
    <w:rsid w:val="000644AB"/>
    <w:rsid w:val="00073D76"/>
    <w:rsid w:val="00075039"/>
    <w:rsid w:val="00077BAE"/>
    <w:rsid w:val="00083F1B"/>
    <w:rsid w:val="00085150"/>
    <w:rsid w:val="000922B2"/>
    <w:rsid w:val="00096DE4"/>
    <w:rsid w:val="000B3F28"/>
    <w:rsid w:val="000C0D5A"/>
    <w:rsid w:val="000D2112"/>
    <w:rsid w:val="000D478D"/>
    <w:rsid w:val="000D676D"/>
    <w:rsid w:val="000E5775"/>
    <w:rsid w:val="000E5F48"/>
    <w:rsid w:val="000E63C1"/>
    <w:rsid w:val="000F4172"/>
    <w:rsid w:val="00104D60"/>
    <w:rsid w:val="00106522"/>
    <w:rsid w:val="00113317"/>
    <w:rsid w:val="00113FE3"/>
    <w:rsid w:val="00114E07"/>
    <w:rsid w:val="00117495"/>
    <w:rsid w:val="00120749"/>
    <w:rsid w:val="00121BC5"/>
    <w:rsid w:val="001239B6"/>
    <w:rsid w:val="0013048A"/>
    <w:rsid w:val="001333B4"/>
    <w:rsid w:val="00135A1A"/>
    <w:rsid w:val="00140DCE"/>
    <w:rsid w:val="00146B77"/>
    <w:rsid w:val="00153C03"/>
    <w:rsid w:val="001605D9"/>
    <w:rsid w:val="00162496"/>
    <w:rsid w:val="00166129"/>
    <w:rsid w:val="00166E73"/>
    <w:rsid w:val="0017520E"/>
    <w:rsid w:val="00185BA7"/>
    <w:rsid w:val="001905D0"/>
    <w:rsid w:val="0019489D"/>
    <w:rsid w:val="001A3959"/>
    <w:rsid w:val="001A3AF4"/>
    <w:rsid w:val="001A5575"/>
    <w:rsid w:val="001C0C8D"/>
    <w:rsid w:val="001D1609"/>
    <w:rsid w:val="001D34F4"/>
    <w:rsid w:val="001E1A74"/>
    <w:rsid w:val="001F00E9"/>
    <w:rsid w:val="001F3553"/>
    <w:rsid w:val="001F6AEB"/>
    <w:rsid w:val="002015A4"/>
    <w:rsid w:val="0020186D"/>
    <w:rsid w:val="0020585F"/>
    <w:rsid w:val="00213D48"/>
    <w:rsid w:val="00216520"/>
    <w:rsid w:val="00223140"/>
    <w:rsid w:val="002265AB"/>
    <w:rsid w:val="00227448"/>
    <w:rsid w:val="002275D3"/>
    <w:rsid w:val="00234001"/>
    <w:rsid w:val="0023618F"/>
    <w:rsid w:val="00240409"/>
    <w:rsid w:val="002532BE"/>
    <w:rsid w:val="002557CB"/>
    <w:rsid w:val="0026000F"/>
    <w:rsid w:val="002673B1"/>
    <w:rsid w:val="002675FA"/>
    <w:rsid w:val="00270B0A"/>
    <w:rsid w:val="002723A5"/>
    <w:rsid w:val="00276F00"/>
    <w:rsid w:val="002777D5"/>
    <w:rsid w:val="00295D0A"/>
    <w:rsid w:val="00297E6F"/>
    <w:rsid w:val="002A7C6D"/>
    <w:rsid w:val="002B3FF6"/>
    <w:rsid w:val="002B4E12"/>
    <w:rsid w:val="002C0791"/>
    <w:rsid w:val="002C1764"/>
    <w:rsid w:val="002C3513"/>
    <w:rsid w:val="002D718D"/>
    <w:rsid w:val="002E0713"/>
    <w:rsid w:val="002E3930"/>
    <w:rsid w:val="002F3923"/>
    <w:rsid w:val="00301691"/>
    <w:rsid w:val="0030364D"/>
    <w:rsid w:val="00306F9C"/>
    <w:rsid w:val="00307E42"/>
    <w:rsid w:val="00314328"/>
    <w:rsid w:val="00324552"/>
    <w:rsid w:val="00325306"/>
    <w:rsid w:val="00326B60"/>
    <w:rsid w:val="0033227C"/>
    <w:rsid w:val="00337BDF"/>
    <w:rsid w:val="003440EA"/>
    <w:rsid w:val="0034541A"/>
    <w:rsid w:val="00352B6E"/>
    <w:rsid w:val="0035397A"/>
    <w:rsid w:val="003614D9"/>
    <w:rsid w:val="0036495B"/>
    <w:rsid w:val="00364A23"/>
    <w:rsid w:val="003724DD"/>
    <w:rsid w:val="00374657"/>
    <w:rsid w:val="00376229"/>
    <w:rsid w:val="00376E40"/>
    <w:rsid w:val="00382009"/>
    <w:rsid w:val="0039321E"/>
    <w:rsid w:val="003944A8"/>
    <w:rsid w:val="003950CB"/>
    <w:rsid w:val="003959A8"/>
    <w:rsid w:val="0039644C"/>
    <w:rsid w:val="003A5C1B"/>
    <w:rsid w:val="003A7F04"/>
    <w:rsid w:val="003B116A"/>
    <w:rsid w:val="003B5D33"/>
    <w:rsid w:val="003B7522"/>
    <w:rsid w:val="003C14AF"/>
    <w:rsid w:val="003C1973"/>
    <w:rsid w:val="003C39C0"/>
    <w:rsid w:val="003C6D2F"/>
    <w:rsid w:val="003D184F"/>
    <w:rsid w:val="003D5178"/>
    <w:rsid w:val="003D5206"/>
    <w:rsid w:val="003E15E6"/>
    <w:rsid w:val="003E19FD"/>
    <w:rsid w:val="003F2F0D"/>
    <w:rsid w:val="003F3A8E"/>
    <w:rsid w:val="003F3D6E"/>
    <w:rsid w:val="003F7786"/>
    <w:rsid w:val="003F7DD7"/>
    <w:rsid w:val="00405287"/>
    <w:rsid w:val="00407DFE"/>
    <w:rsid w:val="00411247"/>
    <w:rsid w:val="00421828"/>
    <w:rsid w:val="00422253"/>
    <w:rsid w:val="00427136"/>
    <w:rsid w:val="00433880"/>
    <w:rsid w:val="00434A9D"/>
    <w:rsid w:val="004369C4"/>
    <w:rsid w:val="00436E85"/>
    <w:rsid w:val="00445E0F"/>
    <w:rsid w:val="00457C58"/>
    <w:rsid w:val="00461088"/>
    <w:rsid w:val="004652FB"/>
    <w:rsid w:val="004659C0"/>
    <w:rsid w:val="00465C8B"/>
    <w:rsid w:val="004757B3"/>
    <w:rsid w:val="004771BB"/>
    <w:rsid w:val="00483939"/>
    <w:rsid w:val="004907EF"/>
    <w:rsid w:val="00492AD7"/>
    <w:rsid w:val="004952A3"/>
    <w:rsid w:val="004A2DCD"/>
    <w:rsid w:val="004A6639"/>
    <w:rsid w:val="004B30B1"/>
    <w:rsid w:val="004B6270"/>
    <w:rsid w:val="004B74B8"/>
    <w:rsid w:val="004C33C5"/>
    <w:rsid w:val="004C466C"/>
    <w:rsid w:val="004C780C"/>
    <w:rsid w:val="004D0E3E"/>
    <w:rsid w:val="004D23D4"/>
    <w:rsid w:val="004D6373"/>
    <w:rsid w:val="004D7B31"/>
    <w:rsid w:val="004E09BB"/>
    <w:rsid w:val="004E3235"/>
    <w:rsid w:val="004E5764"/>
    <w:rsid w:val="004E58BC"/>
    <w:rsid w:val="004F07CD"/>
    <w:rsid w:val="004F1A01"/>
    <w:rsid w:val="005018EC"/>
    <w:rsid w:val="00502C83"/>
    <w:rsid w:val="00504DF8"/>
    <w:rsid w:val="00505E12"/>
    <w:rsid w:val="00512130"/>
    <w:rsid w:val="00514CB2"/>
    <w:rsid w:val="00514D6F"/>
    <w:rsid w:val="00520B17"/>
    <w:rsid w:val="00537EF8"/>
    <w:rsid w:val="00544578"/>
    <w:rsid w:val="00550B41"/>
    <w:rsid w:val="005550CB"/>
    <w:rsid w:val="00555B85"/>
    <w:rsid w:val="00555D7B"/>
    <w:rsid w:val="0055654F"/>
    <w:rsid w:val="00561800"/>
    <w:rsid w:val="00566FAD"/>
    <w:rsid w:val="00570A81"/>
    <w:rsid w:val="005855BE"/>
    <w:rsid w:val="00586864"/>
    <w:rsid w:val="00590294"/>
    <w:rsid w:val="00592E6B"/>
    <w:rsid w:val="00597169"/>
    <w:rsid w:val="005974F6"/>
    <w:rsid w:val="0059792D"/>
    <w:rsid w:val="005A0254"/>
    <w:rsid w:val="005A2E46"/>
    <w:rsid w:val="005B37FC"/>
    <w:rsid w:val="005D2856"/>
    <w:rsid w:val="005D45CE"/>
    <w:rsid w:val="005E4A74"/>
    <w:rsid w:val="005F0C2B"/>
    <w:rsid w:val="005F13FA"/>
    <w:rsid w:val="005F167C"/>
    <w:rsid w:val="005F4391"/>
    <w:rsid w:val="00610170"/>
    <w:rsid w:val="00610C39"/>
    <w:rsid w:val="00614078"/>
    <w:rsid w:val="00620A91"/>
    <w:rsid w:val="0062491B"/>
    <w:rsid w:val="00625540"/>
    <w:rsid w:val="00626024"/>
    <w:rsid w:val="0063798A"/>
    <w:rsid w:val="00637A6D"/>
    <w:rsid w:val="0064009B"/>
    <w:rsid w:val="00644294"/>
    <w:rsid w:val="0064683F"/>
    <w:rsid w:val="00656C12"/>
    <w:rsid w:val="00660697"/>
    <w:rsid w:val="0066186F"/>
    <w:rsid w:val="00661AAD"/>
    <w:rsid w:val="00670D78"/>
    <w:rsid w:val="00673EB2"/>
    <w:rsid w:val="006838DF"/>
    <w:rsid w:val="0068606A"/>
    <w:rsid w:val="006907D1"/>
    <w:rsid w:val="0069179B"/>
    <w:rsid w:val="00696571"/>
    <w:rsid w:val="006A2826"/>
    <w:rsid w:val="006A550D"/>
    <w:rsid w:val="006A7400"/>
    <w:rsid w:val="006B2054"/>
    <w:rsid w:val="006B2D97"/>
    <w:rsid w:val="006B5398"/>
    <w:rsid w:val="006B57B9"/>
    <w:rsid w:val="006B5B69"/>
    <w:rsid w:val="006C063B"/>
    <w:rsid w:val="006C0D03"/>
    <w:rsid w:val="006C1ABB"/>
    <w:rsid w:val="006C2619"/>
    <w:rsid w:val="006D1478"/>
    <w:rsid w:val="006D1527"/>
    <w:rsid w:val="006D192D"/>
    <w:rsid w:val="006D1A4C"/>
    <w:rsid w:val="006E16F6"/>
    <w:rsid w:val="006E1A48"/>
    <w:rsid w:val="006E2C7B"/>
    <w:rsid w:val="006E4324"/>
    <w:rsid w:val="006E6CC6"/>
    <w:rsid w:val="006F28CB"/>
    <w:rsid w:val="006F6352"/>
    <w:rsid w:val="00702A6E"/>
    <w:rsid w:val="00725C9D"/>
    <w:rsid w:val="00730039"/>
    <w:rsid w:val="007304C8"/>
    <w:rsid w:val="00733178"/>
    <w:rsid w:val="0073418F"/>
    <w:rsid w:val="007345AA"/>
    <w:rsid w:val="007353F2"/>
    <w:rsid w:val="00735CD8"/>
    <w:rsid w:val="00742F93"/>
    <w:rsid w:val="00745436"/>
    <w:rsid w:val="00747803"/>
    <w:rsid w:val="00750CC7"/>
    <w:rsid w:val="00753BA8"/>
    <w:rsid w:val="00760CB5"/>
    <w:rsid w:val="00764BD0"/>
    <w:rsid w:val="00764C3A"/>
    <w:rsid w:val="0076589D"/>
    <w:rsid w:val="00785EE4"/>
    <w:rsid w:val="00787326"/>
    <w:rsid w:val="0079600D"/>
    <w:rsid w:val="007A4750"/>
    <w:rsid w:val="007A6966"/>
    <w:rsid w:val="007B1AE2"/>
    <w:rsid w:val="007B6351"/>
    <w:rsid w:val="007C0A4C"/>
    <w:rsid w:val="007C156F"/>
    <w:rsid w:val="007C1FC0"/>
    <w:rsid w:val="007C6635"/>
    <w:rsid w:val="007D07E9"/>
    <w:rsid w:val="007D32E1"/>
    <w:rsid w:val="007D3FB5"/>
    <w:rsid w:val="007D5DFF"/>
    <w:rsid w:val="007D5F76"/>
    <w:rsid w:val="007E76D1"/>
    <w:rsid w:val="007F3350"/>
    <w:rsid w:val="007F5F6D"/>
    <w:rsid w:val="00800821"/>
    <w:rsid w:val="00801699"/>
    <w:rsid w:val="00801846"/>
    <w:rsid w:val="00801AF3"/>
    <w:rsid w:val="00802EE0"/>
    <w:rsid w:val="0080329F"/>
    <w:rsid w:val="00811569"/>
    <w:rsid w:val="00812600"/>
    <w:rsid w:val="00815647"/>
    <w:rsid w:val="00817B46"/>
    <w:rsid w:val="00831C30"/>
    <w:rsid w:val="00831D45"/>
    <w:rsid w:val="00832E2E"/>
    <w:rsid w:val="00833854"/>
    <w:rsid w:val="008377E5"/>
    <w:rsid w:val="008400EB"/>
    <w:rsid w:val="00853489"/>
    <w:rsid w:val="008541AA"/>
    <w:rsid w:val="0085545B"/>
    <w:rsid w:val="0086559C"/>
    <w:rsid w:val="00865880"/>
    <w:rsid w:val="008726FF"/>
    <w:rsid w:val="00873334"/>
    <w:rsid w:val="00875B49"/>
    <w:rsid w:val="0087690E"/>
    <w:rsid w:val="00877621"/>
    <w:rsid w:val="008801BF"/>
    <w:rsid w:val="00881B70"/>
    <w:rsid w:val="00885358"/>
    <w:rsid w:val="00887760"/>
    <w:rsid w:val="00890A10"/>
    <w:rsid w:val="00897D99"/>
    <w:rsid w:val="008A374B"/>
    <w:rsid w:val="008A5B46"/>
    <w:rsid w:val="008B31D0"/>
    <w:rsid w:val="008B6842"/>
    <w:rsid w:val="008C0F69"/>
    <w:rsid w:val="008C0F90"/>
    <w:rsid w:val="008C13A8"/>
    <w:rsid w:val="008C46C4"/>
    <w:rsid w:val="008C5AA8"/>
    <w:rsid w:val="008C69AD"/>
    <w:rsid w:val="008C6EAE"/>
    <w:rsid w:val="008D1323"/>
    <w:rsid w:val="008D4364"/>
    <w:rsid w:val="008D472A"/>
    <w:rsid w:val="008D51EE"/>
    <w:rsid w:val="008D5F0B"/>
    <w:rsid w:val="008E3B1A"/>
    <w:rsid w:val="008F215B"/>
    <w:rsid w:val="008F5ACF"/>
    <w:rsid w:val="008F6EE7"/>
    <w:rsid w:val="00901C6B"/>
    <w:rsid w:val="00903A3D"/>
    <w:rsid w:val="009076BC"/>
    <w:rsid w:val="009079F3"/>
    <w:rsid w:val="00907BEE"/>
    <w:rsid w:val="00915D17"/>
    <w:rsid w:val="00920F10"/>
    <w:rsid w:val="00934CCB"/>
    <w:rsid w:val="0094060B"/>
    <w:rsid w:val="00941F79"/>
    <w:rsid w:val="0094501F"/>
    <w:rsid w:val="00945FD5"/>
    <w:rsid w:val="00947ECE"/>
    <w:rsid w:val="00952996"/>
    <w:rsid w:val="009606D9"/>
    <w:rsid w:val="00960976"/>
    <w:rsid w:val="00966B7C"/>
    <w:rsid w:val="009745B6"/>
    <w:rsid w:val="00974C2F"/>
    <w:rsid w:val="00974D03"/>
    <w:rsid w:val="0097515E"/>
    <w:rsid w:val="00975292"/>
    <w:rsid w:val="00976E32"/>
    <w:rsid w:val="00980D5C"/>
    <w:rsid w:val="00981EF4"/>
    <w:rsid w:val="00990EE8"/>
    <w:rsid w:val="009A2FCA"/>
    <w:rsid w:val="009A3314"/>
    <w:rsid w:val="009A53E3"/>
    <w:rsid w:val="009A59E1"/>
    <w:rsid w:val="009A7D64"/>
    <w:rsid w:val="009B009A"/>
    <w:rsid w:val="009B0BA9"/>
    <w:rsid w:val="009B0E90"/>
    <w:rsid w:val="009B7038"/>
    <w:rsid w:val="009C3FDC"/>
    <w:rsid w:val="009D0710"/>
    <w:rsid w:val="009D0CF6"/>
    <w:rsid w:val="009D21F0"/>
    <w:rsid w:val="009D3986"/>
    <w:rsid w:val="009D7860"/>
    <w:rsid w:val="009E4276"/>
    <w:rsid w:val="009E523A"/>
    <w:rsid w:val="009F0DBF"/>
    <w:rsid w:val="009F1E6D"/>
    <w:rsid w:val="009F1EAE"/>
    <w:rsid w:val="00A0262D"/>
    <w:rsid w:val="00A02E95"/>
    <w:rsid w:val="00A112AC"/>
    <w:rsid w:val="00A139EF"/>
    <w:rsid w:val="00A262A1"/>
    <w:rsid w:val="00A271AC"/>
    <w:rsid w:val="00A41BAC"/>
    <w:rsid w:val="00A500A5"/>
    <w:rsid w:val="00A5501A"/>
    <w:rsid w:val="00A62A48"/>
    <w:rsid w:val="00A63D8A"/>
    <w:rsid w:val="00A674FC"/>
    <w:rsid w:val="00A6769C"/>
    <w:rsid w:val="00A7451D"/>
    <w:rsid w:val="00A76371"/>
    <w:rsid w:val="00A80C14"/>
    <w:rsid w:val="00A87D86"/>
    <w:rsid w:val="00AA5F26"/>
    <w:rsid w:val="00AB0947"/>
    <w:rsid w:val="00AB3ECE"/>
    <w:rsid w:val="00AB6B7E"/>
    <w:rsid w:val="00AB788E"/>
    <w:rsid w:val="00AC08F0"/>
    <w:rsid w:val="00AC1A28"/>
    <w:rsid w:val="00AC5A51"/>
    <w:rsid w:val="00AD01DF"/>
    <w:rsid w:val="00AD60A9"/>
    <w:rsid w:val="00AD71D9"/>
    <w:rsid w:val="00AE00D4"/>
    <w:rsid w:val="00AE25DB"/>
    <w:rsid w:val="00AF517A"/>
    <w:rsid w:val="00AF5BD0"/>
    <w:rsid w:val="00AF5DFD"/>
    <w:rsid w:val="00AF71D1"/>
    <w:rsid w:val="00B02130"/>
    <w:rsid w:val="00B124CA"/>
    <w:rsid w:val="00B13E28"/>
    <w:rsid w:val="00B1760F"/>
    <w:rsid w:val="00B2191A"/>
    <w:rsid w:val="00B23B63"/>
    <w:rsid w:val="00B24672"/>
    <w:rsid w:val="00B3130D"/>
    <w:rsid w:val="00B33E3A"/>
    <w:rsid w:val="00B377EA"/>
    <w:rsid w:val="00B445C3"/>
    <w:rsid w:val="00B457F4"/>
    <w:rsid w:val="00B465B2"/>
    <w:rsid w:val="00B47A3F"/>
    <w:rsid w:val="00B508C8"/>
    <w:rsid w:val="00B51161"/>
    <w:rsid w:val="00B512E3"/>
    <w:rsid w:val="00B64078"/>
    <w:rsid w:val="00B71E78"/>
    <w:rsid w:val="00B82D02"/>
    <w:rsid w:val="00B91063"/>
    <w:rsid w:val="00B9140B"/>
    <w:rsid w:val="00B95F90"/>
    <w:rsid w:val="00BA41BD"/>
    <w:rsid w:val="00BC2672"/>
    <w:rsid w:val="00BC3134"/>
    <w:rsid w:val="00BC4E9F"/>
    <w:rsid w:val="00BD0ED5"/>
    <w:rsid w:val="00BD5E90"/>
    <w:rsid w:val="00BD7AF7"/>
    <w:rsid w:val="00BE080B"/>
    <w:rsid w:val="00BE63A5"/>
    <w:rsid w:val="00BF1249"/>
    <w:rsid w:val="00BF1BD2"/>
    <w:rsid w:val="00BF3076"/>
    <w:rsid w:val="00BF46AA"/>
    <w:rsid w:val="00C012FD"/>
    <w:rsid w:val="00C07DA4"/>
    <w:rsid w:val="00C15D8E"/>
    <w:rsid w:val="00C15E0E"/>
    <w:rsid w:val="00C17DCD"/>
    <w:rsid w:val="00C24773"/>
    <w:rsid w:val="00C32514"/>
    <w:rsid w:val="00C404B3"/>
    <w:rsid w:val="00C40B4A"/>
    <w:rsid w:val="00C411D3"/>
    <w:rsid w:val="00C45F9B"/>
    <w:rsid w:val="00C55A1F"/>
    <w:rsid w:val="00C5750F"/>
    <w:rsid w:val="00C62CF5"/>
    <w:rsid w:val="00C62DF0"/>
    <w:rsid w:val="00C658E1"/>
    <w:rsid w:val="00C67A03"/>
    <w:rsid w:val="00C71D90"/>
    <w:rsid w:val="00C73859"/>
    <w:rsid w:val="00C81353"/>
    <w:rsid w:val="00C83069"/>
    <w:rsid w:val="00C83455"/>
    <w:rsid w:val="00C8496F"/>
    <w:rsid w:val="00C84CE4"/>
    <w:rsid w:val="00C93EA5"/>
    <w:rsid w:val="00C96375"/>
    <w:rsid w:val="00CA3BC2"/>
    <w:rsid w:val="00CA6D02"/>
    <w:rsid w:val="00CB196D"/>
    <w:rsid w:val="00CB3170"/>
    <w:rsid w:val="00CC01B0"/>
    <w:rsid w:val="00CC2571"/>
    <w:rsid w:val="00CC4E09"/>
    <w:rsid w:val="00CD3E1A"/>
    <w:rsid w:val="00CD4157"/>
    <w:rsid w:val="00CE08E9"/>
    <w:rsid w:val="00CE4F74"/>
    <w:rsid w:val="00CE6857"/>
    <w:rsid w:val="00CF0756"/>
    <w:rsid w:val="00CF4C45"/>
    <w:rsid w:val="00D03238"/>
    <w:rsid w:val="00D0477E"/>
    <w:rsid w:val="00D047BB"/>
    <w:rsid w:val="00D101DE"/>
    <w:rsid w:val="00D119E8"/>
    <w:rsid w:val="00D13273"/>
    <w:rsid w:val="00D14AAC"/>
    <w:rsid w:val="00D22BC1"/>
    <w:rsid w:val="00D26D3D"/>
    <w:rsid w:val="00D318AD"/>
    <w:rsid w:val="00D41AF4"/>
    <w:rsid w:val="00D41CF5"/>
    <w:rsid w:val="00D505B9"/>
    <w:rsid w:val="00D5562A"/>
    <w:rsid w:val="00D55E50"/>
    <w:rsid w:val="00D5618C"/>
    <w:rsid w:val="00D63544"/>
    <w:rsid w:val="00D67D19"/>
    <w:rsid w:val="00D73A02"/>
    <w:rsid w:val="00D75841"/>
    <w:rsid w:val="00D812B2"/>
    <w:rsid w:val="00D82E0F"/>
    <w:rsid w:val="00D837BA"/>
    <w:rsid w:val="00D86FD0"/>
    <w:rsid w:val="00D918B8"/>
    <w:rsid w:val="00D92891"/>
    <w:rsid w:val="00D94FA7"/>
    <w:rsid w:val="00D95944"/>
    <w:rsid w:val="00DA0008"/>
    <w:rsid w:val="00DA4CE1"/>
    <w:rsid w:val="00DB5C60"/>
    <w:rsid w:val="00DB66FB"/>
    <w:rsid w:val="00DD446D"/>
    <w:rsid w:val="00DD6D62"/>
    <w:rsid w:val="00DD71AA"/>
    <w:rsid w:val="00DD7C01"/>
    <w:rsid w:val="00DE5DA2"/>
    <w:rsid w:val="00E11E78"/>
    <w:rsid w:val="00E1245F"/>
    <w:rsid w:val="00E15B94"/>
    <w:rsid w:val="00E16246"/>
    <w:rsid w:val="00E208E7"/>
    <w:rsid w:val="00E44399"/>
    <w:rsid w:val="00E459F8"/>
    <w:rsid w:val="00E46EF9"/>
    <w:rsid w:val="00E5110A"/>
    <w:rsid w:val="00E5293F"/>
    <w:rsid w:val="00E62D86"/>
    <w:rsid w:val="00E64FC1"/>
    <w:rsid w:val="00E661B9"/>
    <w:rsid w:val="00E66A19"/>
    <w:rsid w:val="00E66D19"/>
    <w:rsid w:val="00E72161"/>
    <w:rsid w:val="00E72DFA"/>
    <w:rsid w:val="00E802CF"/>
    <w:rsid w:val="00E90E23"/>
    <w:rsid w:val="00E95E30"/>
    <w:rsid w:val="00E96ADD"/>
    <w:rsid w:val="00E97719"/>
    <w:rsid w:val="00EA6B3C"/>
    <w:rsid w:val="00EA7877"/>
    <w:rsid w:val="00EB1FDA"/>
    <w:rsid w:val="00EB7B98"/>
    <w:rsid w:val="00EC0D68"/>
    <w:rsid w:val="00EC12EA"/>
    <w:rsid w:val="00EC3A8A"/>
    <w:rsid w:val="00EC500A"/>
    <w:rsid w:val="00EC716F"/>
    <w:rsid w:val="00ED245B"/>
    <w:rsid w:val="00ED6805"/>
    <w:rsid w:val="00EE2552"/>
    <w:rsid w:val="00EE5A03"/>
    <w:rsid w:val="00EE5ADA"/>
    <w:rsid w:val="00EE6C56"/>
    <w:rsid w:val="00EF22DC"/>
    <w:rsid w:val="00EF565B"/>
    <w:rsid w:val="00EF5AA0"/>
    <w:rsid w:val="00F02960"/>
    <w:rsid w:val="00F04909"/>
    <w:rsid w:val="00F051B8"/>
    <w:rsid w:val="00F05837"/>
    <w:rsid w:val="00F05F93"/>
    <w:rsid w:val="00F15B92"/>
    <w:rsid w:val="00F228A5"/>
    <w:rsid w:val="00F24374"/>
    <w:rsid w:val="00F310D0"/>
    <w:rsid w:val="00F40C75"/>
    <w:rsid w:val="00F429FC"/>
    <w:rsid w:val="00F42AA2"/>
    <w:rsid w:val="00F4647B"/>
    <w:rsid w:val="00F500A5"/>
    <w:rsid w:val="00F64D45"/>
    <w:rsid w:val="00F662F8"/>
    <w:rsid w:val="00F66968"/>
    <w:rsid w:val="00F705A0"/>
    <w:rsid w:val="00F7757C"/>
    <w:rsid w:val="00F85A18"/>
    <w:rsid w:val="00FA5149"/>
    <w:rsid w:val="00FB2522"/>
    <w:rsid w:val="00FB3DC4"/>
    <w:rsid w:val="00FC1797"/>
    <w:rsid w:val="00FD0893"/>
    <w:rsid w:val="00FD4556"/>
    <w:rsid w:val="00FD4ACE"/>
    <w:rsid w:val="00FD6F6D"/>
    <w:rsid w:val="00FE11C8"/>
    <w:rsid w:val="00FE2996"/>
    <w:rsid w:val="00FE5C08"/>
    <w:rsid w:val="00FF2104"/>
    <w:rsid w:val="00FF2984"/>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391"/>
    <w:pPr>
      <w:tabs>
        <w:tab w:val="center" w:pos="4252"/>
        <w:tab w:val="right" w:pos="8504"/>
      </w:tabs>
      <w:snapToGrid w:val="0"/>
    </w:pPr>
  </w:style>
  <w:style w:type="character" w:customStyle="1" w:styleId="a4">
    <w:name w:val="ヘッダー (文字)"/>
    <w:basedOn w:val="a0"/>
    <w:link w:val="a3"/>
    <w:uiPriority w:val="99"/>
    <w:semiHidden/>
    <w:rsid w:val="005F4391"/>
  </w:style>
  <w:style w:type="paragraph" w:styleId="a5">
    <w:name w:val="footer"/>
    <w:basedOn w:val="a"/>
    <w:link w:val="a6"/>
    <w:uiPriority w:val="99"/>
    <w:unhideWhenUsed/>
    <w:rsid w:val="005F4391"/>
    <w:pPr>
      <w:tabs>
        <w:tab w:val="center" w:pos="4252"/>
        <w:tab w:val="right" w:pos="8504"/>
      </w:tabs>
      <w:snapToGrid w:val="0"/>
    </w:pPr>
  </w:style>
  <w:style w:type="character" w:customStyle="1" w:styleId="a6">
    <w:name w:val="フッター (文字)"/>
    <w:basedOn w:val="a0"/>
    <w:link w:val="a5"/>
    <w:uiPriority w:val="99"/>
    <w:rsid w:val="005F4391"/>
  </w:style>
  <w:style w:type="paragraph" w:styleId="a7">
    <w:name w:val="Date"/>
    <w:basedOn w:val="a"/>
    <w:next w:val="a"/>
    <w:link w:val="a8"/>
    <w:uiPriority w:val="99"/>
    <w:semiHidden/>
    <w:unhideWhenUsed/>
    <w:rsid w:val="00D67D19"/>
  </w:style>
  <w:style w:type="character" w:customStyle="1" w:styleId="a8">
    <w:name w:val="日付 (文字)"/>
    <w:basedOn w:val="a0"/>
    <w:link w:val="a7"/>
    <w:uiPriority w:val="99"/>
    <w:semiHidden/>
    <w:rsid w:val="00D67D19"/>
  </w:style>
  <w:style w:type="paragraph" w:styleId="a9">
    <w:name w:val="List Paragraph"/>
    <w:basedOn w:val="a"/>
    <w:uiPriority w:val="34"/>
    <w:qFormat/>
    <w:rsid w:val="00D67D19"/>
    <w:pPr>
      <w:ind w:leftChars="400" w:left="840"/>
    </w:pPr>
  </w:style>
  <w:style w:type="paragraph" w:styleId="aa">
    <w:name w:val="Balloon Text"/>
    <w:basedOn w:val="a"/>
    <w:link w:val="ab"/>
    <w:uiPriority w:val="99"/>
    <w:semiHidden/>
    <w:unhideWhenUsed/>
    <w:rsid w:val="007A6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966"/>
    <w:rPr>
      <w:rFonts w:asciiTheme="majorHAnsi" w:eastAsiaTheme="majorEastAsia" w:hAnsiTheme="majorHAnsi" w:cstheme="majorBidi"/>
      <w:sz w:val="18"/>
      <w:szCs w:val="18"/>
    </w:rPr>
  </w:style>
  <w:style w:type="table" w:styleId="ac">
    <w:name w:val="Table Grid"/>
    <w:basedOn w:val="a1"/>
    <w:uiPriority w:val="59"/>
    <w:rsid w:val="00077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5115">
      <w:bodyDiv w:val="1"/>
      <w:marLeft w:val="0"/>
      <w:marRight w:val="0"/>
      <w:marTop w:val="0"/>
      <w:marBottom w:val="0"/>
      <w:divBdr>
        <w:top w:val="none" w:sz="0" w:space="0" w:color="auto"/>
        <w:left w:val="none" w:sz="0" w:space="0" w:color="auto"/>
        <w:bottom w:val="none" w:sz="0" w:space="0" w:color="auto"/>
        <w:right w:val="none" w:sz="0" w:space="0" w:color="auto"/>
      </w:divBdr>
    </w:div>
    <w:div w:id="391462787">
      <w:bodyDiv w:val="1"/>
      <w:marLeft w:val="0"/>
      <w:marRight w:val="0"/>
      <w:marTop w:val="0"/>
      <w:marBottom w:val="0"/>
      <w:divBdr>
        <w:top w:val="none" w:sz="0" w:space="0" w:color="auto"/>
        <w:left w:val="none" w:sz="0" w:space="0" w:color="auto"/>
        <w:bottom w:val="none" w:sz="0" w:space="0" w:color="auto"/>
        <w:right w:val="none" w:sz="0" w:space="0" w:color="auto"/>
      </w:divBdr>
    </w:div>
    <w:div w:id="555822232">
      <w:bodyDiv w:val="1"/>
      <w:marLeft w:val="0"/>
      <w:marRight w:val="0"/>
      <w:marTop w:val="0"/>
      <w:marBottom w:val="0"/>
      <w:divBdr>
        <w:top w:val="none" w:sz="0" w:space="0" w:color="auto"/>
        <w:left w:val="none" w:sz="0" w:space="0" w:color="auto"/>
        <w:bottom w:val="none" w:sz="0" w:space="0" w:color="auto"/>
        <w:right w:val="none" w:sz="0" w:space="0" w:color="auto"/>
      </w:divBdr>
    </w:div>
    <w:div w:id="793981725">
      <w:bodyDiv w:val="1"/>
      <w:marLeft w:val="0"/>
      <w:marRight w:val="0"/>
      <w:marTop w:val="0"/>
      <w:marBottom w:val="0"/>
      <w:divBdr>
        <w:top w:val="none" w:sz="0" w:space="0" w:color="auto"/>
        <w:left w:val="none" w:sz="0" w:space="0" w:color="auto"/>
        <w:bottom w:val="none" w:sz="0" w:space="0" w:color="auto"/>
        <w:right w:val="none" w:sz="0" w:space="0" w:color="auto"/>
      </w:divBdr>
    </w:div>
    <w:div w:id="19451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F2864-0F66-42CA-9F2A-C37C3B37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762</Words>
  <Characters>4346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2014-07-01T21:04:00Z</cp:lastPrinted>
  <dcterms:created xsi:type="dcterms:W3CDTF">2014-07-10T07:07:00Z</dcterms:created>
  <dcterms:modified xsi:type="dcterms:W3CDTF">2014-07-10T07:07:00Z</dcterms:modified>
</cp:coreProperties>
</file>