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996F8B" w:rsidRDefault="003B5D15" w:rsidP="003B5D15">
      <w:pPr>
        <w:jc w:val="center"/>
        <w:rPr>
          <w:rFonts w:asciiTheme="majorEastAsia" w:eastAsiaTheme="majorEastAsia" w:hAnsiTheme="majorEastAsia" w:cs="Times New Roman"/>
          <w:b/>
          <w:sz w:val="24"/>
          <w:szCs w:val="24"/>
        </w:rPr>
      </w:pPr>
      <w:r w:rsidRPr="00996F8B">
        <w:rPr>
          <w:rFonts w:asciiTheme="majorEastAsia" w:eastAsiaTheme="majorEastAsia" w:hAnsiTheme="majorEastAsia" w:hint="eastAsia"/>
          <w:b/>
          <w:sz w:val="24"/>
          <w:szCs w:val="24"/>
        </w:rPr>
        <w:t>ウルグアイ経済（</w:t>
      </w:r>
      <w:r w:rsidR="006A443B">
        <w:rPr>
          <w:rFonts w:asciiTheme="majorEastAsia" w:eastAsiaTheme="majorEastAsia" w:hAnsiTheme="majorEastAsia" w:hint="eastAsia"/>
          <w:b/>
          <w:sz w:val="24"/>
          <w:szCs w:val="24"/>
        </w:rPr>
        <w:t>２０１４年</w:t>
      </w:r>
      <w:bookmarkStart w:id="0" w:name="_GoBack"/>
      <w:bookmarkEnd w:id="0"/>
      <w:r w:rsidR="00367309">
        <w:rPr>
          <w:rFonts w:asciiTheme="majorEastAsia" w:eastAsiaTheme="majorEastAsia" w:hAnsiTheme="majorEastAsia" w:hint="eastAsia"/>
          <w:b/>
          <w:sz w:val="24"/>
          <w:szCs w:val="24"/>
        </w:rPr>
        <w:t>６</w:t>
      </w:r>
      <w:r w:rsidRPr="00996F8B">
        <w:rPr>
          <w:rFonts w:asciiTheme="majorEastAsia" w:eastAsiaTheme="majorEastAsia" w:hAnsiTheme="majorEastAsia" w:hint="eastAsia"/>
          <w:b/>
          <w:sz w:val="24"/>
          <w:szCs w:val="24"/>
        </w:rPr>
        <w:t>月分）</w:t>
      </w:r>
    </w:p>
    <w:p w:rsidR="003B5D15" w:rsidRPr="00996F8B" w:rsidRDefault="003B5D15" w:rsidP="003B5D15">
      <w:pPr>
        <w:rPr>
          <w:rFonts w:asciiTheme="majorEastAsia" w:eastAsiaTheme="majorEastAsia" w:hAnsiTheme="majorEastAsia"/>
          <w:b/>
          <w:i/>
          <w:sz w:val="24"/>
          <w:szCs w:val="24"/>
        </w:rPr>
      </w:pPr>
    </w:p>
    <w:p w:rsidR="003B5D15" w:rsidRPr="00DA1DFB" w:rsidRDefault="003B5D15" w:rsidP="003B5D15">
      <w:pPr>
        <w:rPr>
          <w:rFonts w:asciiTheme="majorEastAsia" w:eastAsiaTheme="majorEastAsia" w:hAnsiTheme="majorEastAsia"/>
          <w:sz w:val="24"/>
          <w:szCs w:val="24"/>
        </w:rPr>
      </w:pPr>
      <w:r w:rsidRPr="00DA1DFB">
        <w:rPr>
          <w:rFonts w:asciiTheme="majorEastAsia" w:eastAsiaTheme="majorEastAsia" w:hAnsiTheme="majorEastAsia" w:hint="eastAsia"/>
          <w:sz w:val="24"/>
          <w:szCs w:val="24"/>
        </w:rPr>
        <w:t>【概況】</w:t>
      </w:r>
    </w:p>
    <w:p w:rsidR="003B5D15" w:rsidRPr="00370C0D" w:rsidRDefault="003B5D15" w:rsidP="003B5D15">
      <w:pPr>
        <w:rPr>
          <w:rFonts w:asciiTheme="majorEastAsia" w:eastAsiaTheme="majorEastAsia" w:hAnsiTheme="majorEastAsia"/>
          <w:sz w:val="24"/>
          <w:szCs w:val="24"/>
        </w:rPr>
      </w:pPr>
      <w:r w:rsidRPr="00370C0D">
        <w:rPr>
          <w:rFonts w:asciiTheme="majorEastAsia" w:eastAsiaTheme="majorEastAsia" w:hAnsiTheme="majorEastAsia" w:hint="eastAsia"/>
          <w:sz w:val="24"/>
          <w:szCs w:val="24"/>
        </w:rPr>
        <w:t>●対ドル為替レート</w:t>
      </w:r>
      <w:r w:rsidR="0048112F" w:rsidRPr="00370C0D">
        <w:rPr>
          <w:rFonts w:asciiTheme="majorEastAsia" w:eastAsiaTheme="majorEastAsia" w:hAnsiTheme="majorEastAsia" w:hint="eastAsia"/>
          <w:sz w:val="24"/>
          <w:szCs w:val="24"/>
        </w:rPr>
        <w:t>は</w:t>
      </w:r>
      <w:r w:rsidRPr="00370C0D">
        <w:rPr>
          <w:rFonts w:asciiTheme="majorEastAsia" w:eastAsiaTheme="majorEastAsia" w:hAnsiTheme="majorEastAsia" w:hint="eastAsia"/>
          <w:sz w:val="24"/>
          <w:szCs w:val="24"/>
        </w:rPr>
        <w:t>平均で</w:t>
      </w:r>
      <w:r w:rsidR="00390ECE" w:rsidRPr="00370C0D">
        <w:rPr>
          <w:rFonts w:asciiTheme="majorEastAsia" w:eastAsiaTheme="majorEastAsia" w:hAnsiTheme="majorEastAsia" w:hint="eastAsia"/>
          <w:sz w:val="24"/>
          <w:szCs w:val="24"/>
        </w:rPr>
        <w:t>22.95</w:t>
      </w:r>
      <w:r w:rsidRPr="00370C0D">
        <w:rPr>
          <w:rFonts w:asciiTheme="majorEastAsia" w:eastAsiaTheme="majorEastAsia" w:hAnsiTheme="majorEastAsia" w:hint="eastAsia"/>
          <w:sz w:val="24"/>
          <w:szCs w:val="24"/>
        </w:rPr>
        <w:t>ペソ</w:t>
      </w:r>
      <w:r w:rsidR="0048112F" w:rsidRPr="00370C0D">
        <w:rPr>
          <w:rFonts w:asciiTheme="majorEastAsia" w:eastAsiaTheme="majorEastAsia" w:hAnsiTheme="majorEastAsia" w:hint="eastAsia"/>
          <w:sz w:val="24"/>
          <w:szCs w:val="24"/>
        </w:rPr>
        <w:t>であ</w:t>
      </w:r>
      <w:r w:rsidRPr="00370C0D">
        <w:rPr>
          <w:rFonts w:asciiTheme="majorEastAsia" w:eastAsiaTheme="majorEastAsia" w:hAnsiTheme="majorEastAsia" w:hint="eastAsia"/>
          <w:sz w:val="24"/>
          <w:szCs w:val="24"/>
        </w:rPr>
        <w:t>り，前月比で</w:t>
      </w:r>
      <w:r w:rsidR="0041060A" w:rsidRPr="00370C0D">
        <w:rPr>
          <w:rFonts w:asciiTheme="majorEastAsia" w:eastAsiaTheme="majorEastAsia" w:hAnsiTheme="majorEastAsia" w:hint="eastAsia"/>
          <w:sz w:val="24"/>
          <w:szCs w:val="24"/>
        </w:rPr>
        <w:t>0.</w:t>
      </w:r>
      <w:r w:rsidR="00390ECE" w:rsidRPr="00370C0D">
        <w:rPr>
          <w:rFonts w:asciiTheme="majorEastAsia" w:eastAsiaTheme="majorEastAsia" w:hAnsiTheme="majorEastAsia" w:hint="eastAsia"/>
          <w:sz w:val="24"/>
          <w:szCs w:val="24"/>
        </w:rPr>
        <w:t>3</w:t>
      </w:r>
      <w:r w:rsidR="005C77F2" w:rsidRPr="00370C0D">
        <w:rPr>
          <w:rFonts w:asciiTheme="majorEastAsia" w:eastAsiaTheme="majorEastAsia" w:hAnsiTheme="majorEastAsia" w:hint="eastAsia"/>
          <w:sz w:val="24"/>
          <w:szCs w:val="24"/>
        </w:rPr>
        <w:t>%</w:t>
      </w:r>
      <w:r w:rsidR="00370C0D" w:rsidRPr="00370C0D">
        <w:rPr>
          <w:rFonts w:asciiTheme="majorEastAsia" w:eastAsiaTheme="majorEastAsia" w:hAnsiTheme="majorEastAsia" w:hint="eastAsia"/>
          <w:sz w:val="24"/>
          <w:szCs w:val="24"/>
        </w:rPr>
        <w:t>ドル安</w:t>
      </w:r>
      <w:r w:rsidR="00390ECE" w:rsidRPr="00370C0D">
        <w:rPr>
          <w:rFonts w:asciiTheme="majorEastAsia" w:eastAsiaTheme="majorEastAsia" w:hAnsiTheme="majorEastAsia" w:hint="eastAsia"/>
          <w:sz w:val="24"/>
          <w:szCs w:val="24"/>
        </w:rPr>
        <w:t>ペソ</w:t>
      </w:r>
      <w:r w:rsidRPr="00370C0D">
        <w:rPr>
          <w:rFonts w:asciiTheme="majorEastAsia" w:eastAsiaTheme="majorEastAsia" w:hAnsiTheme="majorEastAsia" w:hint="eastAsia"/>
          <w:sz w:val="24"/>
          <w:szCs w:val="24"/>
        </w:rPr>
        <w:t>高</w:t>
      </w:r>
      <w:r w:rsidR="00370C0D" w:rsidRPr="00370C0D">
        <w:rPr>
          <w:rFonts w:asciiTheme="majorEastAsia" w:eastAsiaTheme="majorEastAsia" w:hAnsiTheme="majorEastAsia" w:hint="eastAsia"/>
          <w:sz w:val="24"/>
          <w:szCs w:val="24"/>
        </w:rPr>
        <w:t>と</w:t>
      </w:r>
      <w:r w:rsidRPr="00370C0D">
        <w:rPr>
          <w:rFonts w:asciiTheme="majorEastAsia" w:eastAsiaTheme="majorEastAsia" w:hAnsiTheme="majorEastAsia" w:hint="eastAsia"/>
          <w:sz w:val="24"/>
          <w:szCs w:val="24"/>
        </w:rPr>
        <w:t>な</w:t>
      </w:r>
      <w:r w:rsidR="00370C0D" w:rsidRPr="00370C0D">
        <w:rPr>
          <w:rFonts w:asciiTheme="majorEastAsia" w:eastAsiaTheme="majorEastAsia" w:hAnsiTheme="majorEastAsia" w:hint="eastAsia"/>
          <w:sz w:val="24"/>
          <w:szCs w:val="24"/>
        </w:rPr>
        <w:t>り，</w:t>
      </w:r>
      <w:r w:rsidR="00DA1DFB">
        <w:rPr>
          <w:rFonts w:asciiTheme="majorEastAsia" w:eastAsiaTheme="majorEastAsia" w:hAnsiTheme="majorEastAsia" w:hint="eastAsia"/>
          <w:sz w:val="24"/>
          <w:szCs w:val="24"/>
        </w:rPr>
        <w:t>7</w:t>
      </w:r>
      <w:r w:rsidR="00370C0D" w:rsidRPr="00370C0D">
        <w:rPr>
          <w:rFonts w:asciiTheme="majorEastAsia" w:eastAsiaTheme="majorEastAsia" w:hAnsiTheme="majorEastAsia" w:hint="eastAsia"/>
          <w:sz w:val="24"/>
          <w:szCs w:val="24"/>
        </w:rPr>
        <w:t>カ月ぶりにドル安傾向となった。</w:t>
      </w:r>
    </w:p>
    <w:p w:rsidR="003B5D15" w:rsidRPr="00367309" w:rsidRDefault="003B5D15" w:rsidP="003B5D15">
      <w:pPr>
        <w:jc w:val="left"/>
        <w:rPr>
          <w:rFonts w:asciiTheme="majorEastAsia" w:eastAsiaTheme="majorEastAsia" w:hAnsiTheme="majorEastAsia"/>
          <w:i/>
          <w:sz w:val="24"/>
          <w:szCs w:val="24"/>
        </w:rPr>
      </w:pPr>
      <w:r w:rsidRPr="00C01CFC">
        <w:rPr>
          <w:rFonts w:asciiTheme="majorEastAsia" w:eastAsiaTheme="majorEastAsia" w:hAnsiTheme="majorEastAsia" w:hint="eastAsia"/>
          <w:sz w:val="24"/>
          <w:szCs w:val="24"/>
        </w:rPr>
        <w:t>●</w:t>
      </w:r>
      <w:r w:rsidRPr="00370C0D">
        <w:rPr>
          <w:rFonts w:asciiTheme="majorEastAsia" w:eastAsiaTheme="majorEastAsia" w:hAnsiTheme="majorEastAsia" w:hint="eastAsia"/>
          <w:sz w:val="24"/>
          <w:szCs w:val="24"/>
        </w:rPr>
        <w:t>消費者物価指数は</w:t>
      </w:r>
      <w:r w:rsidR="00370C0D">
        <w:rPr>
          <w:rFonts w:asciiTheme="majorEastAsia" w:eastAsiaTheme="majorEastAsia" w:hAnsiTheme="majorEastAsia" w:hint="eastAsia"/>
          <w:sz w:val="24"/>
          <w:szCs w:val="24"/>
        </w:rPr>
        <w:t>9</w:t>
      </w:r>
      <w:r w:rsidRPr="00370C0D">
        <w:rPr>
          <w:rFonts w:asciiTheme="majorEastAsia" w:eastAsiaTheme="majorEastAsia" w:hAnsiTheme="majorEastAsia" w:hint="eastAsia"/>
          <w:sz w:val="24"/>
          <w:szCs w:val="24"/>
        </w:rPr>
        <w:t>.</w:t>
      </w:r>
      <w:r w:rsidR="00370C0D" w:rsidRPr="00370C0D">
        <w:rPr>
          <w:rFonts w:asciiTheme="majorEastAsia" w:eastAsiaTheme="majorEastAsia" w:hAnsiTheme="majorEastAsia" w:hint="eastAsia"/>
          <w:sz w:val="24"/>
          <w:szCs w:val="24"/>
        </w:rPr>
        <w:t>08</w:t>
      </w:r>
      <w:r w:rsidRPr="00370C0D">
        <w:rPr>
          <w:rFonts w:asciiTheme="majorEastAsia" w:eastAsiaTheme="majorEastAsia" w:hAnsiTheme="majorEastAsia" w:hint="eastAsia"/>
          <w:sz w:val="24"/>
          <w:szCs w:val="24"/>
        </w:rPr>
        <w:t>%</w:t>
      </w:r>
      <w:r w:rsidR="00370C0D" w:rsidRPr="00370C0D">
        <w:rPr>
          <w:rFonts w:asciiTheme="majorEastAsia" w:eastAsiaTheme="majorEastAsia" w:hAnsiTheme="majorEastAsia" w:hint="eastAsia"/>
          <w:sz w:val="24"/>
          <w:szCs w:val="24"/>
        </w:rPr>
        <w:t>と</w:t>
      </w:r>
      <w:r w:rsidR="00DA1DFB">
        <w:rPr>
          <w:rFonts w:asciiTheme="majorEastAsia" w:eastAsiaTheme="majorEastAsia" w:hAnsiTheme="majorEastAsia" w:hint="eastAsia"/>
          <w:sz w:val="24"/>
          <w:szCs w:val="24"/>
        </w:rPr>
        <w:t>やや下がり，</w:t>
      </w:r>
      <w:r w:rsidR="00370C0D">
        <w:rPr>
          <w:rFonts w:asciiTheme="majorEastAsia" w:eastAsiaTheme="majorEastAsia" w:hAnsiTheme="majorEastAsia" w:hint="eastAsia"/>
          <w:sz w:val="24"/>
          <w:szCs w:val="24"/>
        </w:rPr>
        <w:t>依然</w:t>
      </w:r>
      <w:r w:rsidR="00DA1DFB">
        <w:rPr>
          <w:rFonts w:asciiTheme="majorEastAsia" w:eastAsiaTheme="majorEastAsia" w:hAnsiTheme="majorEastAsia" w:hint="eastAsia"/>
          <w:sz w:val="24"/>
          <w:szCs w:val="24"/>
        </w:rPr>
        <w:t>9%</w:t>
      </w:r>
      <w:r w:rsidR="00370C0D">
        <w:rPr>
          <w:rFonts w:asciiTheme="majorEastAsia" w:eastAsiaTheme="majorEastAsia" w:hAnsiTheme="majorEastAsia" w:hint="eastAsia"/>
          <w:sz w:val="24"/>
          <w:szCs w:val="24"/>
        </w:rPr>
        <w:t>ながら本年</w:t>
      </w:r>
      <w:r w:rsidR="00E81125">
        <w:rPr>
          <w:rFonts w:asciiTheme="majorEastAsia" w:eastAsiaTheme="majorEastAsia" w:hAnsiTheme="majorEastAsia" w:hint="eastAsia"/>
          <w:sz w:val="24"/>
          <w:szCs w:val="24"/>
        </w:rPr>
        <w:t>に入り</w:t>
      </w:r>
      <w:r w:rsidR="00370C0D">
        <w:rPr>
          <w:rFonts w:asciiTheme="majorEastAsia" w:eastAsiaTheme="majorEastAsia" w:hAnsiTheme="majorEastAsia" w:hint="eastAsia"/>
          <w:sz w:val="24"/>
          <w:szCs w:val="24"/>
        </w:rPr>
        <w:t>最低とな</w:t>
      </w:r>
      <w:r w:rsidR="00A3253D">
        <w:rPr>
          <w:rFonts w:asciiTheme="majorEastAsia" w:eastAsiaTheme="majorEastAsia" w:hAnsiTheme="majorEastAsia" w:hint="eastAsia"/>
          <w:sz w:val="24"/>
          <w:szCs w:val="24"/>
        </w:rPr>
        <w:t>った</w:t>
      </w:r>
      <w:r w:rsidR="00370C0D" w:rsidRPr="00370C0D">
        <w:rPr>
          <w:rFonts w:asciiTheme="majorEastAsia" w:eastAsiaTheme="majorEastAsia" w:hAnsiTheme="majorEastAsia" w:hint="eastAsia"/>
          <w:sz w:val="24"/>
          <w:szCs w:val="24"/>
        </w:rPr>
        <w:t>。</w:t>
      </w:r>
      <w:r w:rsidR="00370C0D">
        <w:rPr>
          <w:rFonts w:asciiTheme="majorEastAsia" w:eastAsiaTheme="majorEastAsia" w:hAnsiTheme="majorEastAsia" w:hint="eastAsia"/>
          <w:sz w:val="24"/>
          <w:szCs w:val="24"/>
        </w:rPr>
        <w:t>しかし，「食品・ノンアルコール飲料」</w:t>
      </w:r>
      <w:r w:rsidR="00E81125">
        <w:rPr>
          <w:rFonts w:asciiTheme="majorEastAsia" w:eastAsiaTheme="majorEastAsia" w:hAnsiTheme="majorEastAsia" w:hint="eastAsia"/>
          <w:sz w:val="24"/>
          <w:szCs w:val="24"/>
        </w:rPr>
        <w:t>，「衣服・靴」等の指数は前月を上回った。</w:t>
      </w:r>
    </w:p>
    <w:p w:rsidR="003B5D15" w:rsidRPr="00C01CFC" w:rsidRDefault="003B5D15" w:rsidP="003B5D15">
      <w:pPr>
        <w:rPr>
          <w:rFonts w:asciiTheme="majorEastAsia" w:eastAsiaTheme="majorEastAsia" w:hAnsiTheme="majorEastAsia"/>
          <w:sz w:val="24"/>
          <w:szCs w:val="24"/>
        </w:rPr>
      </w:pPr>
      <w:r w:rsidRPr="00C01CFC">
        <w:rPr>
          <w:rFonts w:asciiTheme="majorEastAsia" w:eastAsiaTheme="majorEastAsia" w:hAnsiTheme="majorEastAsia" w:hint="eastAsia"/>
          <w:sz w:val="24"/>
          <w:szCs w:val="24"/>
        </w:rPr>
        <w:t>●輸出額は前年同月比で</w:t>
      </w:r>
      <w:r w:rsidR="00C01CFC" w:rsidRPr="00C01CFC">
        <w:rPr>
          <w:rFonts w:asciiTheme="majorEastAsia" w:eastAsiaTheme="majorEastAsia" w:hAnsiTheme="majorEastAsia" w:hint="eastAsia"/>
          <w:sz w:val="24"/>
          <w:szCs w:val="24"/>
        </w:rPr>
        <w:t>22.7</w:t>
      </w:r>
      <w:r w:rsidRPr="00C01CFC">
        <w:rPr>
          <w:rFonts w:asciiTheme="majorEastAsia" w:eastAsiaTheme="majorEastAsia" w:hAnsiTheme="majorEastAsia" w:hint="eastAsia"/>
          <w:sz w:val="24"/>
          <w:szCs w:val="24"/>
        </w:rPr>
        <w:t>%</w:t>
      </w:r>
      <w:r w:rsidR="0041060A" w:rsidRPr="00C01CFC">
        <w:rPr>
          <w:rFonts w:asciiTheme="majorEastAsia" w:eastAsiaTheme="majorEastAsia" w:hAnsiTheme="majorEastAsia" w:hint="eastAsia"/>
          <w:sz w:val="24"/>
          <w:szCs w:val="24"/>
        </w:rPr>
        <w:t>増加した。</w:t>
      </w:r>
      <w:r w:rsidR="00AA2869" w:rsidRPr="00C01CFC">
        <w:rPr>
          <w:rFonts w:asciiTheme="majorEastAsia" w:eastAsiaTheme="majorEastAsia" w:hAnsiTheme="majorEastAsia" w:hint="eastAsia"/>
          <w:sz w:val="24"/>
          <w:szCs w:val="24"/>
        </w:rPr>
        <w:t>大豆</w:t>
      </w:r>
      <w:r w:rsidR="00C01CFC" w:rsidRPr="00C01CFC">
        <w:rPr>
          <w:rFonts w:asciiTheme="majorEastAsia" w:eastAsiaTheme="majorEastAsia" w:hAnsiTheme="majorEastAsia" w:hint="eastAsia"/>
          <w:sz w:val="24"/>
          <w:szCs w:val="24"/>
        </w:rPr>
        <w:t>が23</w:t>
      </w:r>
      <w:r w:rsidR="00A3253D">
        <w:rPr>
          <w:rFonts w:asciiTheme="majorEastAsia" w:eastAsiaTheme="majorEastAsia" w:hAnsiTheme="majorEastAsia" w:hint="eastAsia"/>
          <w:sz w:val="24"/>
          <w:szCs w:val="24"/>
        </w:rPr>
        <w:t>.1</w:t>
      </w:r>
      <w:r w:rsidR="00C01CFC" w:rsidRPr="00C01CFC">
        <w:rPr>
          <w:rFonts w:asciiTheme="majorEastAsia" w:eastAsiaTheme="majorEastAsia" w:hAnsiTheme="majorEastAsia" w:hint="eastAsia"/>
          <w:sz w:val="24"/>
          <w:szCs w:val="24"/>
        </w:rPr>
        <w:t>%，冷凍牛肉が46</w:t>
      </w:r>
      <w:r w:rsidR="00A3253D">
        <w:rPr>
          <w:rFonts w:asciiTheme="majorEastAsia" w:eastAsiaTheme="majorEastAsia" w:hAnsiTheme="majorEastAsia" w:hint="eastAsia"/>
          <w:sz w:val="24"/>
          <w:szCs w:val="24"/>
        </w:rPr>
        <w:t>.2</w:t>
      </w:r>
      <w:r w:rsidR="00C01CFC" w:rsidRPr="00C01CFC">
        <w:rPr>
          <w:rFonts w:asciiTheme="majorEastAsia" w:eastAsiaTheme="majorEastAsia" w:hAnsiTheme="majorEastAsia" w:hint="eastAsia"/>
          <w:sz w:val="24"/>
          <w:szCs w:val="24"/>
        </w:rPr>
        <w:t>％</w:t>
      </w:r>
      <w:r w:rsidR="0041060A" w:rsidRPr="00C01CFC">
        <w:rPr>
          <w:rFonts w:asciiTheme="majorEastAsia" w:eastAsiaTheme="majorEastAsia" w:hAnsiTheme="majorEastAsia" w:hint="eastAsia"/>
          <w:sz w:val="24"/>
          <w:szCs w:val="24"/>
        </w:rPr>
        <w:t>増加</w:t>
      </w:r>
      <w:r w:rsidR="00AA2869" w:rsidRPr="00C01CFC">
        <w:rPr>
          <w:rFonts w:asciiTheme="majorEastAsia" w:eastAsiaTheme="majorEastAsia" w:hAnsiTheme="majorEastAsia" w:hint="eastAsia"/>
          <w:sz w:val="24"/>
          <w:szCs w:val="24"/>
        </w:rPr>
        <w:t>したことが</w:t>
      </w:r>
      <w:r w:rsidR="00C01CFC" w:rsidRPr="00C01CFC">
        <w:rPr>
          <w:rFonts w:asciiTheme="majorEastAsia" w:eastAsiaTheme="majorEastAsia" w:hAnsiTheme="majorEastAsia" w:hint="eastAsia"/>
          <w:sz w:val="24"/>
          <w:szCs w:val="24"/>
        </w:rPr>
        <w:t>主な</w:t>
      </w:r>
      <w:r w:rsidR="00746EDA">
        <w:rPr>
          <w:rFonts w:asciiTheme="majorEastAsia" w:eastAsiaTheme="majorEastAsia" w:hAnsiTheme="majorEastAsia" w:hint="eastAsia"/>
          <w:sz w:val="24"/>
          <w:szCs w:val="24"/>
        </w:rPr>
        <w:t>要因</w:t>
      </w:r>
      <w:r w:rsidR="00AA2869" w:rsidRPr="00C01CFC">
        <w:rPr>
          <w:rFonts w:asciiTheme="majorEastAsia" w:eastAsiaTheme="majorEastAsia" w:hAnsiTheme="majorEastAsia" w:hint="eastAsia"/>
          <w:sz w:val="24"/>
          <w:szCs w:val="24"/>
        </w:rPr>
        <w:t>。</w:t>
      </w:r>
      <w:r w:rsidR="00CD445F" w:rsidRPr="00C01CFC">
        <w:rPr>
          <w:rFonts w:asciiTheme="majorEastAsia" w:eastAsiaTheme="majorEastAsia" w:hAnsiTheme="majorEastAsia" w:hint="eastAsia"/>
          <w:sz w:val="24"/>
          <w:szCs w:val="24"/>
        </w:rPr>
        <w:t>本年</w:t>
      </w:r>
      <w:r w:rsidR="00C01CFC" w:rsidRPr="00C01CFC">
        <w:rPr>
          <w:rFonts w:asciiTheme="majorEastAsia" w:eastAsiaTheme="majorEastAsia" w:hAnsiTheme="majorEastAsia" w:hint="eastAsia"/>
          <w:sz w:val="24"/>
          <w:szCs w:val="24"/>
        </w:rPr>
        <w:t>上半期の</w:t>
      </w:r>
      <w:r w:rsidR="00CD445F" w:rsidRPr="00C01CFC">
        <w:rPr>
          <w:rFonts w:asciiTheme="majorEastAsia" w:eastAsiaTheme="majorEastAsia" w:hAnsiTheme="majorEastAsia" w:hint="eastAsia"/>
          <w:sz w:val="24"/>
          <w:szCs w:val="24"/>
        </w:rPr>
        <w:t>輸出額</w:t>
      </w:r>
      <w:r w:rsidR="00C01CFC" w:rsidRPr="00C01CFC">
        <w:rPr>
          <w:rFonts w:asciiTheme="majorEastAsia" w:eastAsiaTheme="majorEastAsia" w:hAnsiTheme="majorEastAsia" w:hint="eastAsia"/>
          <w:sz w:val="24"/>
          <w:szCs w:val="24"/>
        </w:rPr>
        <w:t>は昨年同期比で7.8%増</w:t>
      </w:r>
      <w:r w:rsidR="006854CC">
        <w:rPr>
          <w:rFonts w:asciiTheme="majorEastAsia" w:eastAsiaTheme="majorEastAsia" w:hAnsiTheme="majorEastAsia" w:hint="eastAsia"/>
          <w:sz w:val="24"/>
          <w:szCs w:val="24"/>
        </w:rPr>
        <w:t>え，</w:t>
      </w:r>
      <w:r w:rsidR="00C01CFC" w:rsidRPr="00C01CFC">
        <w:rPr>
          <w:rFonts w:asciiTheme="majorEastAsia" w:eastAsiaTheme="majorEastAsia" w:hAnsiTheme="majorEastAsia" w:hint="eastAsia"/>
          <w:sz w:val="24"/>
          <w:szCs w:val="24"/>
        </w:rPr>
        <w:t>過去最高を記録した。主要</w:t>
      </w:r>
      <w:r w:rsidR="00746EDA">
        <w:rPr>
          <w:rFonts w:asciiTheme="majorEastAsia" w:eastAsiaTheme="majorEastAsia" w:hAnsiTheme="majorEastAsia" w:hint="eastAsia"/>
          <w:sz w:val="24"/>
          <w:szCs w:val="24"/>
        </w:rPr>
        <w:t>輸出</w:t>
      </w:r>
      <w:r w:rsidR="00CD445F" w:rsidRPr="00C01CFC">
        <w:rPr>
          <w:rFonts w:asciiTheme="majorEastAsia" w:eastAsiaTheme="majorEastAsia" w:hAnsiTheme="majorEastAsia" w:hint="eastAsia"/>
          <w:sz w:val="24"/>
          <w:szCs w:val="24"/>
        </w:rPr>
        <w:t>品目</w:t>
      </w:r>
      <w:r w:rsidR="00C01CFC" w:rsidRPr="00C01CFC">
        <w:rPr>
          <w:rFonts w:asciiTheme="majorEastAsia" w:eastAsiaTheme="majorEastAsia" w:hAnsiTheme="majorEastAsia" w:hint="eastAsia"/>
          <w:sz w:val="24"/>
          <w:szCs w:val="24"/>
        </w:rPr>
        <w:t>は</w:t>
      </w:r>
      <w:r w:rsidR="00CD445F" w:rsidRPr="00C01CFC">
        <w:rPr>
          <w:rFonts w:asciiTheme="majorEastAsia" w:eastAsiaTheme="majorEastAsia" w:hAnsiTheme="majorEastAsia" w:hint="eastAsia"/>
          <w:sz w:val="24"/>
          <w:szCs w:val="24"/>
        </w:rPr>
        <w:t>大豆（2</w:t>
      </w:r>
      <w:r w:rsidR="00C01CFC" w:rsidRPr="00C01CFC">
        <w:rPr>
          <w:rFonts w:asciiTheme="majorEastAsia" w:eastAsiaTheme="majorEastAsia" w:hAnsiTheme="majorEastAsia" w:hint="eastAsia"/>
          <w:sz w:val="24"/>
          <w:szCs w:val="24"/>
        </w:rPr>
        <w:t>5</w:t>
      </w:r>
      <w:r w:rsidR="00CD445F" w:rsidRPr="00C01CFC">
        <w:rPr>
          <w:rFonts w:asciiTheme="majorEastAsia" w:eastAsiaTheme="majorEastAsia" w:hAnsiTheme="majorEastAsia" w:hint="eastAsia"/>
          <w:sz w:val="24"/>
          <w:szCs w:val="24"/>
        </w:rPr>
        <w:t>%</w:t>
      </w:r>
      <w:r w:rsidR="00CD445F" w:rsidRPr="00C01CFC">
        <w:rPr>
          <w:rFonts w:asciiTheme="majorEastAsia" w:eastAsiaTheme="majorEastAsia" w:hAnsiTheme="majorEastAsia"/>
          <w:sz w:val="24"/>
          <w:szCs w:val="24"/>
        </w:rPr>
        <w:t>）</w:t>
      </w:r>
      <w:r w:rsidR="00CD445F" w:rsidRPr="00C01CFC">
        <w:rPr>
          <w:rFonts w:asciiTheme="majorEastAsia" w:eastAsiaTheme="majorEastAsia" w:hAnsiTheme="majorEastAsia" w:hint="eastAsia"/>
          <w:sz w:val="24"/>
          <w:szCs w:val="24"/>
        </w:rPr>
        <w:t>，冷凍牛肉(11%)，</w:t>
      </w:r>
      <w:r w:rsidR="00C01CFC" w:rsidRPr="00C01CFC">
        <w:rPr>
          <w:rFonts w:asciiTheme="majorEastAsia" w:eastAsiaTheme="majorEastAsia" w:hAnsiTheme="majorEastAsia" w:hint="eastAsia"/>
          <w:sz w:val="24"/>
          <w:szCs w:val="24"/>
        </w:rPr>
        <w:t>コメ（5%），</w:t>
      </w:r>
      <w:r w:rsidR="006854CC">
        <w:rPr>
          <w:rFonts w:asciiTheme="majorEastAsia" w:eastAsiaTheme="majorEastAsia" w:hAnsiTheme="majorEastAsia" w:hint="eastAsia"/>
          <w:sz w:val="24"/>
          <w:szCs w:val="24"/>
        </w:rPr>
        <w:t>濃縮</w:t>
      </w:r>
      <w:r w:rsidR="00AA2869" w:rsidRPr="00C01CFC">
        <w:rPr>
          <w:rFonts w:asciiTheme="majorEastAsia" w:eastAsiaTheme="majorEastAsia" w:hAnsiTheme="majorEastAsia" w:hint="eastAsia"/>
          <w:sz w:val="24"/>
          <w:szCs w:val="24"/>
        </w:rPr>
        <w:t>牛乳</w:t>
      </w:r>
      <w:r w:rsidR="00CD445F" w:rsidRPr="00C01CFC">
        <w:rPr>
          <w:rFonts w:asciiTheme="majorEastAsia" w:eastAsiaTheme="majorEastAsia" w:hAnsiTheme="majorEastAsia" w:hint="eastAsia"/>
          <w:sz w:val="24"/>
          <w:szCs w:val="24"/>
        </w:rPr>
        <w:t>（</w:t>
      </w:r>
      <w:r w:rsidR="006854CC">
        <w:rPr>
          <w:rFonts w:asciiTheme="majorEastAsia" w:eastAsiaTheme="majorEastAsia" w:hAnsiTheme="majorEastAsia" w:hint="eastAsia"/>
          <w:sz w:val="24"/>
          <w:szCs w:val="24"/>
        </w:rPr>
        <w:t>5%</w:t>
      </w:r>
      <w:r w:rsidR="00CD445F" w:rsidRPr="00C01CFC">
        <w:rPr>
          <w:rFonts w:asciiTheme="majorEastAsia" w:eastAsiaTheme="majorEastAsia" w:hAnsiTheme="majorEastAsia"/>
          <w:sz w:val="24"/>
          <w:szCs w:val="24"/>
        </w:rPr>
        <w:t>）</w:t>
      </w:r>
      <w:r w:rsidR="00CD445F" w:rsidRPr="00C01CFC">
        <w:rPr>
          <w:rFonts w:asciiTheme="majorEastAsia" w:eastAsiaTheme="majorEastAsia" w:hAnsiTheme="majorEastAsia" w:hint="eastAsia"/>
          <w:sz w:val="24"/>
          <w:szCs w:val="24"/>
        </w:rPr>
        <w:t>，</w:t>
      </w:r>
      <w:r w:rsidR="00C01CFC" w:rsidRPr="00C01CFC">
        <w:rPr>
          <w:rFonts w:asciiTheme="majorEastAsia" w:eastAsiaTheme="majorEastAsia" w:hAnsiTheme="majorEastAsia" w:hint="eastAsia"/>
          <w:sz w:val="24"/>
          <w:szCs w:val="24"/>
        </w:rPr>
        <w:t>生</w:t>
      </w:r>
      <w:r w:rsidR="006854CC">
        <w:rPr>
          <w:rFonts w:asciiTheme="majorEastAsia" w:eastAsiaTheme="majorEastAsia" w:hAnsiTheme="majorEastAsia" w:hint="eastAsia"/>
          <w:sz w:val="24"/>
          <w:szCs w:val="24"/>
        </w:rPr>
        <w:t>・</w:t>
      </w:r>
      <w:r w:rsidR="00C01CFC" w:rsidRPr="00C01CFC">
        <w:rPr>
          <w:rFonts w:asciiTheme="majorEastAsia" w:eastAsiaTheme="majorEastAsia" w:hAnsiTheme="majorEastAsia" w:hint="eastAsia"/>
          <w:sz w:val="24"/>
          <w:szCs w:val="24"/>
        </w:rPr>
        <w:t>冷蔵牛肉（4</w:t>
      </w:r>
      <w:r w:rsidR="00CD445F" w:rsidRPr="00C01CFC">
        <w:rPr>
          <w:rFonts w:asciiTheme="majorEastAsia" w:eastAsiaTheme="majorEastAsia" w:hAnsiTheme="majorEastAsia" w:hint="eastAsia"/>
          <w:sz w:val="24"/>
          <w:szCs w:val="24"/>
        </w:rPr>
        <w:t>%</w:t>
      </w:r>
      <w:r w:rsidR="00CD445F" w:rsidRPr="00C01CFC">
        <w:rPr>
          <w:rFonts w:asciiTheme="majorEastAsia" w:eastAsiaTheme="majorEastAsia" w:hAnsiTheme="majorEastAsia"/>
          <w:sz w:val="24"/>
          <w:szCs w:val="24"/>
        </w:rPr>
        <w:t>）</w:t>
      </w:r>
      <w:r w:rsidR="00C01CFC" w:rsidRPr="00C01CFC">
        <w:rPr>
          <w:rFonts w:asciiTheme="majorEastAsia" w:eastAsiaTheme="majorEastAsia" w:hAnsiTheme="majorEastAsia" w:hint="eastAsia"/>
          <w:sz w:val="24"/>
          <w:szCs w:val="24"/>
        </w:rPr>
        <w:t>，小麦（3%）等</w:t>
      </w:r>
      <w:r w:rsidR="00AA2869" w:rsidRPr="00C01CFC">
        <w:rPr>
          <w:rFonts w:asciiTheme="majorEastAsia" w:eastAsiaTheme="majorEastAsia" w:hAnsiTheme="majorEastAsia" w:hint="eastAsia"/>
          <w:sz w:val="24"/>
          <w:szCs w:val="24"/>
        </w:rPr>
        <w:t>。</w:t>
      </w:r>
    </w:p>
    <w:p w:rsidR="00263394" w:rsidRPr="00C01CFC" w:rsidRDefault="00263394" w:rsidP="003B5D15">
      <w:pPr>
        <w:rPr>
          <w:rFonts w:asciiTheme="majorEastAsia" w:eastAsiaTheme="majorEastAsia" w:hAnsiTheme="majorEastAsia"/>
          <w:sz w:val="24"/>
          <w:szCs w:val="24"/>
        </w:rPr>
      </w:pPr>
    </w:p>
    <w:p w:rsidR="003B5D15" w:rsidRPr="005246C9" w:rsidRDefault="003B5D15" w:rsidP="003B5D15">
      <w:pPr>
        <w:rPr>
          <w:rFonts w:asciiTheme="majorEastAsia" w:eastAsiaTheme="majorEastAsia" w:hAnsiTheme="majorEastAsia"/>
          <w:sz w:val="24"/>
          <w:szCs w:val="24"/>
        </w:rPr>
      </w:pPr>
      <w:r w:rsidRPr="005246C9">
        <w:rPr>
          <w:rFonts w:asciiTheme="majorEastAsia" w:eastAsiaTheme="majorEastAsia" w:hAnsiTheme="majorEastAsia" w:hint="eastAsia"/>
          <w:sz w:val="24"/>
          <w:szCs w:val="24"/>
        </w:rPr>
        <w:t>【トピック】</w:t>
      </w:r>
    </w:p>
    <w:p w:rsidR="00197D6A" w:rsidRPr="00B47EE1" w:rsidRDefault="00197D6A" w:rsidP="003B5D15">
      <w:pPr>
        <w:rPr>
          <w:rFonts w:asciiTheme="majorEastAsia" w:eastAsiaTheme="majorEastAsia" w:hAnsiTheme="majorEastAsia"/>
          <w:sz w:val="24"/>
          <w:szCs w:val="24"/>
        </w:rPr>
      </w:pPr>
      <w:r w:rsidRPr="00B47EE1">
        <w:rPr>
          <w:rFonts w:asciiTheme="majorEastAsia" w:eastAsiaTheme="majorEastAsia" w:hAnsiTheme="majorEastAsia" w:hint="eastAsia"/>
          <w:sz w:val="24"/>
          <w:szCs w:val="24"/>
        </w:rPr>
        <w:t>１　統計</w:t>
      </w:r>
    </w:p>
    <w:p w:rsidR="00197D6A" w:rsidRPr="00B47EE1" w:rsidRDefault="00197D6A" w:rsidP="00197D6A">
      <w:pPr>
        <w:rPr>
          <w:rFonts w:asciiTheme="majorEastAsia" w:eastAsiaTheme="majorEastAsia" w:hAnsiTheme="majorEastAsia"/>
          <w:sz w:val="24"/>
          <w:szCs w:val="24"/>
        </w:rPr>
      </w:pPr>
      <w:r w:rsidRPr="00B47EE1">
        <w:rPr>
          <w:rFonts w:asciiTheme="majorEastAsia" w:eastAsiaTheme="majorEastAsia" w:hAnsiTheme="majorEastAsia" w:hint="eastAsia"/>
          <w:sz w:val="24"/>
          <w:szCs w:val="24"/>
        </w:rPr>
        <w:t xml:space="preserve">　</w:t>
      </w:r>
      <w:r w:rsidR="00B47EE1" w:rsidRPr="00B47EE1">
        <w:rPr>
          <w:rFonts w:asciiTheme="majorEastAsia" w:eastAsiaTheme="majorEastAsia" w:hAnsiTheme="majorEastAsia" w:hint="eastAsia"/>
          <w:sz w:val="24"/>
          <w:szCs w:val="24"/>
        </w:rPr>
        <w:t>中銀によると，</w:t>
      </w:r>
      <w:r w:rsidR="00C540DC">
        <w:rPr>
          <w:rFonts w:asciiTheme="majorEastAsia" w:eastAsiaTheme="majorEastAsia" w:hAnsiTheme="majorEastAsia" w:hint="eastAsia"/>
          <w:sz w:val="24"/>
          <w:szCs w:val="24"/>
        </w:rPr>
        <w:t>第1四半期の</w:t>
      </w:r>
      <w:r w:rsidR="00257303">
        <w:rPr>
          <w:rFonts w:asciiTheme="majorEastAsia" w:eastAsiaTheme="majorEastAsia" w:hAnsiTheme="majorEastAsia" w:hint="eastAsia"/>
          <w:sz w:val="24"/>
          <w:szCs w:val="24"/>
        </w:rPr>
        <w:t>GDP</w:t>
      </w:r>
      <w:r w:rsidR="00C540DC">
        <w:rPr>
          <w:rFonts w:asciiTheme="majorEastAsia" w:eastAsiaTheme="majorEastAsia" w:hAnsiTheme="majorEastAsia" w:hint="eastAsia"/>
          <w:sz w:val="24"/>
          <w:szCs w:val="24"/>
        </w:rPr>
        <w:t>は前四半期比で0.4%</w:t>
      </w:r>
      <w:r w:rsidR="00257303">
        <w:rPr>
          <w:rFonts w:asciiTheme="majorEastAsia" w:eastAsiaTheme="majorEastAsia" w:hAnsiTheme="majorEastAsia" w:hint="eastAsia"/>
          <w:sz w:val="24"/>
          <w:szCs w:val="24"/>
        </w:rPr>
        <w:t>減</w:t>
      </w:r>
      <w:r w:rsidR="005246C9">
        <w:rPr>
          <w:rFonts w:asciiTheme="majorEastAsia" w:eastAsiaTheme="majorEastAsia" w:hAnsiTheme="majorEastAsia" w:hint="eastAsia"/>
          <w:sz w:val="24"/>
          <w:szCs w:val="24"/>
        </w:rPr>
        <w:t>（前年同期比では2.4%増）</w:t>
      </w:r>
      <w:r w:rsidR="00C540DC">
        <w:rPr>
          <w:rFonts w:asciiTheme="majorEastAsia" w:eastAsiaTheme="majorEastAsia" w:hAnsiTheme="majorEastAsia" w:hint="eastAsia"/>
          <w:sz w:val="24"/>
          <w:szCs w:val="24"/>
        </w:rPr>
        <w:t>となった。</w:t>
      </w:r>
      <w:r w:rsidR="00257303">
        <w:rPr>
          <w:rFonts w:asciiTheme="majorEastAsia" w:eastAsiaTheme="majorEastAsia" w:hAnsiTheme="majorEastAsia" w:hint="eastAsia"/>
          <w:sz w:val="24"/>
          <w:szCs w:val="24"/>
        </w:rPr>
        <w:t>電気・水道・ガス部門が27.8％増</w:t>
      </w:r>
      <w:r w:rsidR="00787A49">
        <w:rPr>
          <w:rFonts w:asciiTheme="majorEastAsia" w:eastAsiaTheme="majorEastAsia" w:hAnsiTheme="majorEastAsia" w:hint="eastAsia"/>
          <w:sz w:val="24"/>
          <w:szCs w:val="24"/>
        </w:rPr>
        <w:t>であった</w:t>
      </w:r>
      <w:r w:rsidR="00257303">
        <w:rPr>
          <w:rFonts w:asciiTheme="majorEastAsia" w:eastAsiaTheme="majorEastAsia" w:hAnsiTheme="majorEastAsia" w:hint="eastAsia"/>
          <w:sz w:val="24"/>
          <w:szCs w:val="24"/>
        </w:rPr>
        <w:t>ものの，</w:t>
      </w:r>
      <w:r w:rsidR="005246C9">
        <w:rPr>
          <w:rFonts w:asciiTheme="majorEastAsia" w:eastAsiaTheme="majorEastAsia" w:hAnsiTheme="majorEastAsia" w:hint="eastAsia"/>
          <w:sz w:val="24"/>
          <w:szCs w:val="24"/>
        </w:rPr>
        <w:t>UPM社</w:t>
      </w:r>
      <w:r w:rsidR="00787A49">
        <w:rPr>
          <w:rFonts w:asciiTheme="majorEastAsia" w:eastAsiaTheme="majorEastAsia" w:hAnsiTheme="majorEastAsia" w:hint="eastAsia"/>
          <w:sz w:val="24"/>
          <w:szCs w:val="24"/>
        </w:rPr>
        <w:t>の</w:t>
      </w:r>
      <w:r w:rsidR="005246C9">
        <w:rPr>
          <w:rFonts w:asciiTheme="majorEastAsia" w:eastAsiaTheme="majorEastAsia" w:hAnsiTheme="majorEastAsia" w:hint="eastAsia"/>
          <w:sz w:val="24"/>
          <w:szCs w:val="24"/>
        </w:rPr>
        <w:t>木材パルプ生産とペプシコ社のペプシ原料生産</w:t>
      </w:r>
      <w:r w:rsidR="00257303">
        <w:rPr>
          <w:rFonts w:asciiTheme="majorEastAsia" w:eastAsiaTheme="majorEastAsia" w:hAnsiTheme="majorEastAsia" w:hint="eastAsia"/>
          <w:sz w:val="24"/>
          <w:szCs w:val="24"/>
        </w:rPr>
        <w:t>がともに</w:t>
      </w:r>
      <w:r w:rsidR="005246C9">
        <w:rPr>
          <w:rFonts w:asciiTheme="majorEastAsia" w:eastAsiaTheme="majorEastAsia" w:hAnsiTheme="majorEastAsia" w:hint="eastAsia"/>
          <w:sz w:val="24"/>
          <w:szCs w:val="24"/>
        </w:rPr>
        <w:t>減産</w:t>
      </w:r>
      <w:r w:rsidR="00AE68B2">
        <w:rPr>
          <w:rFonts w:asciiTheme="majorEastAsia" w:eastAsiaTheme="majorEastAsia" w:hAnsiTheme="majorEastAsia" w:hint="eastAsia"/>
          <w:sz w:val="24"/>
          <w:szCs w:val="24"/>
        </w:rPr>
        <w:t>された</w:t>
      </w:r>
      <w:r w:rsidR="00257303">
        <w:rPr>
          <w:rFonts w:asciiTheme="majorEastAsia" w:eastAsiaTheme="majorEastAsia" w:hAnsiTheme="majorEastAsia" w:hint="eastAsia"/>
          <w:sz w:val="24"/>
          <w:szCs w:val="24"/>
        </w:rPr>
        <w:t>こと等で</w:t>
      </w:r>
      <w:r w:rsidR="005246C9">
        <w:rPr>
          <w:rFonts w:asciiTheme="majorEastAsia" w:eastAsiaTheme="majorEastAsia" w:hAnsiTheme="majorEastAsia" w:hint="eastAsia"/>
          <w:sz w:val="24"/>
          <w:szCs w:val="24"/>
        </w:rPr>
        <w:t>工業</w:t>
      </w:r>
      <w:r w:rsidR="00F47F1E">
        <w:rPr>
          <w:rFonts w:asciiTheme="majorEastAsia" w:eastAsiaTheme="majorEastAsia" w:hAnsiTheme="majorEastAsia" w:hint="eastAsia"/>
          <w:sz w:val="24"/>
          <w:szCs w:val="24"/>
        </w:rPr>
        <w:t>部門</w:t>
      </w:r>
      <w:r w:rsidR="00257303">
        <w:rPr>
          <w:rFonts w:asciiTheme="majorEastAsia" w:eastAsiaTheme="majorEastAsia" w:hAnsiTheme="majorEastAsia" w:hint="eastAsia"/>
          <w:sz w:val="24"/>
          <w:szCs w:val="24"/>
        </w:rPr>
        <w:t>が7.6％減となったのが</w:t>
      </w:r>
      <w:r w:rsidR="005246C9">
        <w:rPr>
          <w:rFonts w:asciiTheme="majorEastAsia" w:eastAsiaTheme="majorEastAsia" w:hAnsiTheme="majorEastAsia" w:hint="eastAsia"/>
          <w:sz w:val="24"/>
          <w:szCs w:val="24"/>
        </w:rPr>
        <w:t>主な要因。</w:t>
      </w:r>
    </w:p>
    <w:p w:rsidR="005A23C0" w:rsidRPr="00F47F1E" w:rsidRDefault="005A23C0" w:rsidP="005A23C0">
      <w:pPr>
        <w:ind w:firstLineChars="100" w:firstLine="240"/>
        <w:rPr>
          <w:rFonts w:asciiTheme="majorEastAsia" w:eastAsiaTheme="majorEastAsia" w:hAnsiTheme="majorEastAsia"/>
          <w:sz w:val="24"/>
          <w:szCs w:val="24"/>
        </w:rPr>
      </w:pPr>
    </w:p>
    <w:p w:rsidR="003B5D15" w:rsidRPr="008E57D9" w:rsidRDefault="0080298C" w:rsidP="003B5D15">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B5D15" w:rsidRPr="008E57D9">
        <w:rPr>
          <w:rFonts w:asciiTheme="majorEastAsia" w:eastAsiaTheme="majorEastAsia" w:hAnsiTheme="majorEastAsia" w:hint="eastAsia"/>
          <w:sz w:val="24"/>
          <w:szCs w:val="24"/>
        </w:rPr>
        <w:t xml:space="preserve">　</w:t>
      </w:r>
      <w:r w:rsidR="004B48A1" w:rsidRPr="008E57D9">
        <w:rPr>
          <w:rFonts w:asciiTheme="majorEastAsia" w:eastAsiaTheme="majorEastAsia" w:hAnsiTheme="majorEastAsia" w:hint="eastAsia"/>
          <w:sz w:val="24"/>
          <w:szCs w:val="24"/>
        </w:rPr>
        <w:t>金融</w:t>
      </w:r>
    </w:p>
    <w:p w:rsidR="008A69A2" w:rsidRDefault="008E57D9" w:rsidP="008E57D9">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10日，当国政府は，35年物ドル建てグローバル国債20億ドルを</w:t>
      </w:r>
      <w:r w:rsidR="008A69A2">
        <w:rPr>
          <w:rFonts w:ascii="ＭＳ ゴシック" w:eastAsia="ＭＳ ゴシック" w:cs="ＭＳ ゴシック" w:hint="eastAsia"/>
          <w:kern w:val="0"/>
          <w:sz w:val="24"/>
          <w:szCs w:val="24"/>
          <w:lang w:val="ja-JP"/>
        </w:rPr>
        <w:t>利率5.1%で発行した。「ウ」とし</w:t>
      </w:r>
    </w:p>
    <w:p w:rsidR="008E57D9" w:rsidRDefault="008E57D9" w:rsidP="008A69A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ては</w:t>
      </w:r>
      <w:r w:rsidR="008A69A2">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過去最長満期期間の国債であり，ラテンアメリカではメキシコ，ペルーと並ぶ「ウルトラ・ロング」国債発行国となった。政府は今回の国債発行と同時に，2015年から2045年に満期を迎えるドル建て国債の買い戻し（交換）を投資家にオファーし，右に該当する国債計約44.5億ドル分のうち約11.8億ドル分を買い戻し</w:t>
      </w:r>
      <w:r w:rsidR="008A69A2">
        <w:rPr>
          <w:rFonts w:ascii="ＭＳ ゴシック" w:eastAsia="ＭＳ ゴシック" w:cs="ＭＳ ゴシック" w:hint="eastAsia"/>
          <w:kern w:val="0"/>
          <w:sz w:val="24"/>
          <w:szCs w:val="24"/>
          <w:lang w:val="ja-JP"/>
        </w:rPr>
        <w:t>，国債の償還期限の分散化を行った。</w:t>
      </w:r>
    </w:p>
    <w:p w:rsidR="00C540DC" w:rsidRDefault="00C540DC" w:rsidP="007F17DE">
      <w:pPr>
        <w:rPr>
          <w:rFonts w:asciiTheme="majorEastAsia" w:eastAsiaTheme="majorEastAsia" w:hAnsiTheme="majorEastAsia"/>
          <w:sz w:val="24"/>
          <w:szCs w:val="24"/>
        </w:rPr>
      </w:pPr>
    </w:p>
    <w:p w:rsidR="007F17DE" w:rsidRDefault="0080298C" w:rsidP="007F17DE">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7F17DE">
        <w:rPr>
          <w:rFonts w:asciiTheme="majorEastAsia" w:eastAsiaTheme="majorEastAsia" w:hAnsiTheme="majorEastAsia" w:hint="eastAsia"/>
          <w:sz w:val="24"/>
          <w:szCs w:val="24"/>
        </w:rPr>
        <w:t xml:space="preserve">　海運</w:t>
      </w:r>
    </w:p>
    <w:p w:rsidR="007F17DE" w:rsidRDefault="008175A7" w:rsidP="008175A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7F17DE">
        <w:rPr>
          <w:rFonts w:asciiTheme="majorEastAsia" w:eastAsiaTheme="majorEastAsia" w:hAnsiTheme="majorEastAsia" w:hint="eastAsia"/>
          <w:sz w:val="24"/>
          <w:szCs w:val="24"/>
        </w:rPr>
        <w:t>海運協会によると，5月のモンテビデオ港でのコンテナ積み替え量は，前年同月比で9.3%減となり，4カ月連続で減少した。一方で，同月の輸出量は11.8%，輸入量は26.1%それぞれ増加した。</w:t>
      </w:r>
    </w:p>
    <w:p w:rsidR="007F17DE" w:rsidRDefault="008175A7" w:rsidP="007F17D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46EDA">
        <w:rPr>
          <w:rFonts w:asciiTheme="majorEastAsia" w:eastAsiaTheme="majorEastAsia" w:hAnsiTheme="majorEastAsia" w:hint="eastAsia"/>
          <w:sz w:val="24"/>
          <w:szCs w:val="24"/>
        </w:rPr>
        <w:t>国連ラテンアメリカ・カリブ経済委員会</w:t>
      </w:r>
      <w:r>
        <w:rPr>
          <w:rFonts w:asciiTheme="majorEastAsia" w:eastAsiaTheme="majorEastAsia" w:hAnsiTheme="majorEastAsia" w:hint="eastAsia"/>
          <w:sz w:val="24"/>
          <w:szCs w:val="24"/>
        </w:rPr>
        <w:t>によると，2013年のモンテビデオ港の</w:t>
      </w:r>
      <w:r w:rsidR="001B6F75">
        <w:rPr>
          <w:rFonts w:asciiTheme="majorEastAsia" w:eastAsiaTheme="majorEastAsia" w:hAnsiTheme="majorEastAsia" w:hint="eastAsia"/>
          <w:sz w:val="24"/>
          <w:szCs w:val="24"/>
        </w:rPr>
        <w:t>コンテナ</w:t>
      </w:r>
      <w:r>
        <w:rPr>
          <w:rFonts w:asciiTheme="majorEastAsia" w:eastAsiaTheme="majorEastAsia" w:hAnsiTheme="majorEastAsia" w:hint="eastAsia"/>
          <w:sz w:val="24"/>
          <w:szCs w:val="24"/>
        </w:rPr>
        <w:t>取扱量は</w:t>
      </w:r>
      <w:r w:rsidR="00DA1DFB">
        <w:rPr>
          <w:rFonts w:asciiTheme="majorEastAsia" w:eastAsiaTheme="majorEastAsia" w:hAnsiTheme="majorEastAsia" w:hint="eastAsia"/>
          <w:sz w:val="24"/>
          <w:szCs w:val="24"/>
        </w:rPr>
        <w:t>前年比で9.7%増え，</w:t>
      </w:r>
      <w:r>
        <w:rPr>
          <w:rFonts w:asciiTheme="majorEastAsia" w:eastAsiaTheme="majorEastAsia" w:hAnsiTheme="majorEastAsia" w:hint="eastAsia"/>
          <w:sz w:val="24"/>
          <w:szCs w:val="24"/>
        </w:rPr>
        <w:t>82.7万TEU</w:t>
      </w:r>
      <w:r w:rsidR="00DA1DFB">
        <w:rPr>
          <w:rFonts w:asciiTheme="majorEastAsia" w:eastAsiaTheme="majorEastAsia" w:hAnsiTheme="majorEastAsia" w:hint="eastAsia"/>
          <w:sz w:val="24"/>
          <w:szCs w:val="24"/>
        </w:rPr>
        <w:t>となり</w:t>
      </w:r>
      <w:r>
        <w:rPr>
          <w:rFonts w:asciiTheme="majorEastAsia" w:eastAsiaTheme="majorEastAsia" w:hAnsiTheme="majorEastAsia" w:hint="eastAsia"/>
          <w:sz w:val="24"/>
          <w:szCs w:val="24"/>
        </w:rPr>
        <w:t>，ラテンアメリカの港湾としては19</w:t>
      </w:r>
      <w:r w:rsidR="00F47F1E">
        <w:rPr>
          <w:rFonts w:asciiTheme="majorEastAsia" w:eastAsiaTheme="majorEastAsia" w:hAnsiTheme="majorEastAsia" w:hint="eastAsia"/>
          <w:sz w:val="24"/>
          <w:szCs w:val="24"/>
        </w:rPr>
        <w:t>位(前年は20位)</w:t>
      </w:r>
      <w:r w:rsidR="00DA1DFB">
        <w:rPr>
          <w:rFonts w:asciiTheme="majorEastAsia" w:eastAsiaTheme="majorEastAsia" w:hAnsiTheme="majorEastAsia" w:hint="eastAsia"/>
          <w:sz w:val="24"/>
          <w:szCs w:val="24"/>
        </w:rPr>
        <w:t>の取扱量</w:t>
      </w:r>
      <w:r w:rsidR="001B6F75">
        <w:rPr>
          <w:rFonts w:asciiTheme="majorEastAsia" w:eastAsiaTheme="majorEastAsia" w:hAnsiTheme="majorEastAsia" w:hint="eastAsia"/>
          <w:sz w:val="24"/>
          <w:szCs w:val="24"/>
        </w:rPr>
        <w:t>で</w:t>
      </w:r>
      <w:r w:rsidR="00DA1DFB">
        <w:rPr>
          <w:rFonts w:asciiTheme="majorEastAsia" w:eastAsiaTheme="majorEastAsia" w:hAnsiTheme="majorEastAsia" w:hint="eastAsia"/>
          <w:sz w:val="24"/>
          <w:szCs w:val="24"/>
        </w:rPr>
        <w:t>あった。</w:t>
      </w:r>
    </w:p>
    <w:p w:rsidR="00DA1DFB" w:rsidRDefault="00DA1DFB" w:rsidP="007F17DE">
      <w:pPr>
        <w:rPr>
          <w:rFonts w:asciiTheme="majorEastAsia" w:eastAsiaTheme="majorEastAsia" w:hAnsiTheme="majorEastAsia"/>
          <w:sz w:val="24"/>
          <w:szCs w:val="24"/>
        </w:rPr>
      </w:pPr>
    </w:p>
    <w:p w:rsidR="007F17DE" w:rsidRDefault="0080298C" w:rsidP="007F17DE">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F17DE">
        <w:rPr>
          <w:rFonts w:asciiTheme="majorEastAsia" w:eastAsiaTheme="majorEastAsia" w:hAnsiTheme="majorEastAsia" w:hint="eastAsia"/>
          <w:sz w:val="24"/>
          <w:szCs w:val="24"/>
        </w:rPr>
        <w:t xml:space="preserve">　木材パルプ</w:t>
      </w:r>
    </w:p>
    <w:p w:rsidR="00980813" w:rsidRDefault="007F17DE" w:rsidP="00C378B2">
      <w:pPr>
        <w:tabs>
          <w:tab w:val="left" w:pos="142"/>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24日，</w:t>
      </w:r>
      <w:r w:rsidR="00E3130B">
        <w:rPr>
          <w:rFonts w:asciiTheme="majorEastAsia" w:eastAsiaTheme="majorEastAsia" w:hAnsiTheme="majorEastAsia" w:hint="eastAsia"/>
          <w:sz w:val="24"/>
          <w:szCs w:val="24"/>
        </w:rPr>
        <w:t>コロニア県モンテス・デ・プラタ・フリーゾーンで，</w:t>
      </w:r>
      <w:r>
        <w:rPr>
          <w:rFonts w:asciiTheme="majorEastAsia" w:eastAsiaTheme="majorEastAsia" w:hAnsiTheme="majorEastAsia" w:hint="eastAsia"/>
          <w:sz w:val="24"/>
          <w:szCs w:val="24"/>
        </w:rPr>
        <w:t>スウェーデン・フィンランドの</w:t>
      </w:r>
      <w:proofErr w:type="spellStart"/>
      <w:r>
        <w:rPr>
          <w:rFonts w:asciiTheme="majorEastAsia" w:eastAsiaTheme="majorEastAsia" w:hAnsiTheme="majorEastAsia" w:hint="eastAsia"/>
          <w:sz w:val="24"/>
          <w:szCs w:val="24"/>
        </w:rPr>
        <w:t>Stora</w:t>
      </w:r>
      <w:proofErr w:type="spellEnd"/>
      <w:r>
        <w:rPr>
          <w:rFonts w:asciiTheme="majorEastAsia" w:eastAsiaTheme="majorEastAsia" w:hAnsiTheme="majorEastAsia" w:hint="eastAsia"/>
          <w:sz w:val="24"/>
          <w:szCs w:val="24"/>
        </w:rPr>
        <w:t xml:space="preserve"> Enzo社とチリのアラウコ社が出資するモンテス・デ・プラタ木材パルプ工場が操業を開始した。投資額は20億ドル。</w:t>
      </w:r>
      <w:r w:rsidR="00E3130B">
        <w:rPr>
          <w:rFonts w:asciiTheme="majorEastAsia" w:eastAsiaTheme="majorEastAsia" w:hAnsiTheme="majorEastAsia" w:hint="eastAsia"/>
          <w:sz w:val="24"/>
          <w:szCs w:val="24"/>
        </w:rPr>
        <w:t>敷地内に，専用埠頭とバイオマス発電所</w:t>
      </w:r>
      <w:r w:rsidR="0080298C">
        <w:rPr>
          <w:rFonts w:asciiTheme="majorEastAsia" w:eastAsiaTheme="majorEastAsia" w:hAnsiTheme="majorEastAsia" w:hint="eastAsia"/>
          <w:sz w:val="24"/>
          <w:szCs w:val="24"/>
        </w:rPr>
        <w:t>を</w:t>
      </w:r>
      <w:r w:rsidR="00E3130B">
        <w:rPr>
          <w:rFonts w:asciiTheme="majorEastAsia" w:eastAsiaTheme="majorEastAsia" w:hAnsiTheme="majorEastAsia" w:hint="eastAsia"/>
          <w:sz w:val="24"/>
          <w:szCs w:val="24"/>
        </w:rPr>
        <w:t>併設。</w:t>
      </w:r>
      <w:r w:rsidR="00C378B2">
        <w:rPr>
          <w:rFonts w:asciiTheme="majorEastAsia" w:eastAsiaTheme="majorEastAsia" w:hAnsiTheme="majorEastAsia" w:hint="eastAsia"/>
          <w:sz w:val="24"/>
          <w:szCs w:val="24"/>
        </w:rPr>
        <w:t>パルプの年間生産能力は130万トンで，</w:t>
      </w:r>
      <w:r w:rsidR="00E3130B">
        <w:rPr>
          <w:rFonts w:asciiTheme="majorEastAsia" w:eastAsiaTheme="majorEastAsia" w:hAnsiTheme="majorEastAsia" w:hint="eastAsia"/>
          <w:sz w:val="24"/>
          <w:szCs w:val="24"/>
        </w:rPr>
        <w:t>本年の生産予定量は50万トン。</w:t>
      </w:r>
      <w:r w:rsidR="0080298C">
        <w:rPr>
          <w:rFonts w:asciiTheme="majorEastAsia" w:eastAsiaTheme="majorEastAsia" w:hAnsiTheme="majorEastAsia" w:hint="eastAsia"/>
          <w:sz w:val="24"/>
          <w:szCs w:val="24"/>
        </w:rPr>
        <w:t>フィンランド資本の</w:t>
      </w:r>
      <w:r w:rsidR="00C378B2">
        <w:rPr>
          <w:rFonts w:asciiTheme="majorEastAsia" w:eastAsiaTheme="majorEastAsia" w:hAnsiTheme="majorEastAsia" w:hint="eastAsia"/>
          <w:sz w:val="24"/>
        </w:rPr>
        <w:t>UPM社工場（</w:t>
      </w:r>
      <w:r w:rsidR="00C378B2" w:rsidRPr="00F7718B">
        <w:rPr>
          <w:rFonts w:asciiTheme="majorEastAsia" w:eastAsiaTheme="majorEastAsia" w:hAnsiTheme="majorEastAsia" w:hint="eastAsia"/>
          <w:sz w:val="24"/>
        </w:rPr>
        <w:t>フライ・ベントス</w:t>
      </w:r>
      <w:r w:rsidR="00C378B2">
        <w:rPr>
          <w:rFonts w:asciiTheme="majorEastAsia" w:eastAsiaTheme="majorEastAsia" w:hAnsiTheme="majorEastAsia" w:hint="eastAsia"/>
          <w:sz w:val="24"/>
        </w:rPr>
        <w:t>・フリーゾーン）に次ぐ当国二番目の木材パルプ工場。</w:t>
      </w:r>
    </w:p>
    <w:p w:rsidR="00C378B2" w:rsidRPr="00C378B2" w:rsidRDefault="00C378B2" w:rsidP="00C540DC">
      <w:pPr>
        <w:ind w:firstLineChars="100" w:firstLine="240"/>
        <w:rPr>
          <w:rFonts w:asciiTheme="majorEastAsia" w:eastAsiaTheme="majorEastAsia" w:hAnsiTheme="majorEastAsia"/>
          <w:i/>
          <w:sz w:val="24"/>
          <w:szCs w:val="24"/>
        </w:rPr>
      </w:pPr>
    </w:p>
    <w:p w:rsidR="008E57D9" w:rsidRDefault="0080298C" w:rsidP="0036730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w:t>
      </w:r>
      <w:r w:rsidR="008E57D9">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hint="eastAsia"/>
          <w:kern w:val="0"/>
          <w:sz w:val="24"/>
          <w:szCs w:val="24"/>
          <w:lang w:val="ja-JP"/>
        </w:rPr>
        <w:t>深水港</w:t>
      </w:r>
      <w:r w:rsidR="00260C5E">
        <w:rPr>
          <w:rFonts w:ascii="ＭＳ ゴシック" w:eastAsia="ＭＳ ゴシック" w:cs="ＭＳ ゴシック" w:hint="eastAsia"/>
          <w:kern w:val="0"/>
          <w:sz w:val="24"/>
          <w:szCs w:val="24"/>
          <w:lang w:val="ja-JP"/>
        </w:rPr>
        <w:t>建設</w:t>
      </w:r>
    </w:p>
    <w:p w:rsidR="00E21FFD" w:rsidRDefault="00E21FFD" w:rsidP="0019707B">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9日，ウルグアイ政府深水港省庁間委員会は</w:t>
      </w:r>
      <w:r w:rsidR="00746EDA">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モンテビデオで開催されたメルコスール議会第13回臨時会合で，ロチャ県での深水港建設計画につき説明を行った。</w:t>
      </w:r>
      <w:r w:rsidR="0019707B">
        <w:rPr>
          <w:rFonts w:ascii="ＭＳ ゴシック" w:eastAsia="ＭＳ ゴシック" w:cs="ＭＳ ゴシック" w:hint="eastAsia"/>
          <w:kern w:val="0"/>
          <w:sz w:val="24"/>
          <w:szCs w:val="24"/>
          <w:lang w:val="ja-JP"/>
        </w:rPr>
        <w:t>ムヒカ大統領も演説を行い，同港建設がメルコスール地域のためになるとして各国の支援を訴えた。</w:t>
      </w:r>
    </w:p>
    <w:p w:rsidR="0019707B" w:rsidRDefault="0019707B" w:rsidP="0019707B">
      <w:pPr>
        <w:autoSpaceDE w:val="0"/>
        <w:autoSpaceDN w:val="0"/>
        <w:adjustRightInd w:val="0"/>
        <w:jc w:val="left"/>
        <w:rPr>
          <w:rFonts w:ascii="ＭＳ ゴシック" w:eastAsia="ＭＳ ゴシック" w:cs="ＭＳ ゴシック"/>
          <w:kern w:val="0"/>
          <w:sz w:val="24"/>
          <w:szCs w:val="24"/>
          <w:lang w:val="ja-JP"/>
        </w:rPr>
      </w:pPr>
    </w:p>
    <w:p w:rsidR="0019707B" w:rsidRDefault="0080298C" w:rsidP="0019707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w:t>
      </w:r>
      <w:r w:rsidR="0019707B">
        <w:rPr>
          <w:rFonts w:ascii="ＭＳ ゴシック" w:eastAsia="ＭＳ ゴシック" w:cs="ＭＳ ゴシック" w:hint="eastAsia"/>
          <w:kern w:val="0"/>
          <w:sz w:val="24"/>
          <w:szCs w:val="24"/>
          <w:lang w:val="ja-JP"/>
        </w:rPr>
        <w:t xml:space="preserve">　鉄鉱山開発</w:t>
      </w:r>
    </w:p>
    <w:p w:rsidR="008E57D9" w:rsidRDefault="008E57D9" w:rsidP="0019707B">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12日付各紙は，当国東部で</w:t>
      </w:r>
      <w:r w:rsidR="00E544CB">
        <w:rPr>
          <w:rFonts w:ascii="ＭＳ ゴシック" w:eastAsia="ＭＳ ゴシック" w:cs="ＭＳ ゴシック" w:hint="eastAsia"/>
          <w:kern w:val="0"/>
          <w:sz w:val="24"/>
          <w:szCs w:val="24"/>
          <w:lang w:val="ja-JP"/>
        </w:rPr>
        <w:t>露天掘り</w:t>
      </w:r>
      <w:r>
        <w:rPr>
          <w:rFonts w:ascii="ＭＳ ゴシック" w:eastAsia="ＭＳ ゴシック" w:cs="ＭＳ ゴシック" w:hint="eastAsia"/>
          <w:kern w:val="0"/>
          <w:sz w:val="24"/>
          <w:szCs w:val="24"/>
          <w:lang w:val="ja-JP"/>
        </w:rPr>
        <w:t>鉄鉱山の開発を計画しているインド系のアラティリ鉱山会社</w:t>
      </w:r>
      <w:r w:rsidR="009A39DA">
        <w:rPr>
          <w:rFonts w:ascii="ＭＳ ゴシック" w:eastAsia="ＭＳ ゴシック" w:cs="ＭＳ ゴシック" w:hint="eastAsia"/>
          <w:kern w:val="0"/>
          <w:sz w:val="24"/>
          <w:szCs w:val="24"/>
          <w:lang w:val="ja-JP"/>
        </w:rPr>
        <w:lastRenderedPageBreak/>
        <w:t>が</w:t>
      </w:r>
      <w:r w:rsidR="00E544CB">
        <w:rPr>
          <w:rFonts w:ascii="ＭＳ ゴシック" w:eastAsia="ＭＳ ゴシック" w:cs="ＭＳ ゴシック" w:hint="eastAsia"/>
          <w:kern w:val="0"/>
          <w:sz w:val="24"/>
          <w:szCs w:val="24"/>
          <w:lang w:val="ja-JP"/>
        </w:rPr>
        <w:t>，事前環境認可に必要な資料</w:t>
      </w:r>
      <w:r w:rsidR="009A39DA">
        <w:rPr>
          <w:rFonts w:ascii="ＭＳ ゴシック" w:eastAsia="ＭＳ ゴシック" w:cs="ＭＳ ゴシック" w:hint="eastAsia"/>
          <w:kern w:val="0"/>
          <w:sz w:val="24"/>
          <w:szCs w:val="24"/>
          <w:lang w:val="ja-JP"/>
        </w:rPr>
        <w:t>を住宅土地整備環境省</w:t>
      </w:r>
      <w:r w:rsidR="00E21FFD">
        <w:rPr>
          <w:rFonts w:ascii="ＭＳ ゴシック" w:eastAsia="ＭＳ ゴシック" w:cs="ＭＳ ゴシック" w:hint="eastAsia"/>
          <w:kern w:val="0"/>
          <w:sz w:val="24"/>
          <w:szCs w:val="24"/>
          <w:lang w:val="ja-JP"/>
        </w:rPr>
        <w:t>環境総局</w:t>
      </w:r>
      <w:r w:rsidR="009A39DA">
        <w:rPr>
          <w:rFonts w:ascii="ＭＳ ゴシック" w:eastAsia="ＭＳ ゴシック" w:cs="ＭＳ ゴシック" w:hint="eastAsia"/>
          <w:kern w:val="0"/>
          <w:sz w:val="24"/>
          <w:szCs w:val="24"/>
          <w:lang w:val="ja-JP"/>
        </w:rPr>
        <w:t>に提出して</w:t>
      </w:r>
      <w:r w:rsidR="00E21FFD">
        <w:rPr>
          <w:rFonts w:ascii="ＭＳ ゴシック" w:eastAsia="ＭＳ ゴシック" w:cs="ＭＳ ゴシック" w:hint="eastAsia"/>
          <w:kern w:val="0"/>
          <w:sz w:val="24"/>
          <w:szCs w:val="24"/>
          <w:lang w:val="ja-JP"/>
        </w:rPr>
        <w:t>おらず，</w:t>
      </w:r>
      <w:r w:rsidR="008A69A2">
        <w:rPr>
          <w:rFonts w:ascii="ＭＳ ゴシック" w:eastAsia="ＭＳ ゴシック" w:cs="ＭＳ ゴシック" w:hint="eastAsia"/>
          <w:kern w:val="0"/>
          <w:sz w:val="24"/>
          <w:szCs w:val="24"/>
          <w:lang w:val="ja-JP"/>
        </w:rPr>
        <w:t>開発計画が遅れている</w:t>
      </w:r>
      <w:r w:rsidR="00E21FFD">
        <w:rPr>
          <w:rFonts w:ascii="ＭＳ ゴシック" w:eastAsia="ＭＳ ゴシック" w:cs="ＭＳ ゴシック" w:hint="eastAsia"/>
          <w:kern w:val="0"/>
          <w:sz w:val="24"/>
          <w:szCs w:val="24"/>
          <w:lang w:val="ja-JP"/>
        </w:rPr>
        <w:t>と報じた。</w:t>
      </w:r>
      <w:r w:rsidR="008A69A2">
        <w:rPr>
          <w:rFonts w:ascii="ＭＳ ゴシック" w:eastAsia="ＭＳ ゴシック" w:cs="ＭＳ ゴシック" w:hint="eastAsia"/>
          <w:kern w:val="0"/>
          <w:sz w:val="24"/>
          <w:szCs w:val="24"/>
          <w:lang w:val="ja-JP"/>
        </w:rPr>
        <w:t>右</w:t>
      </w:r>
      <w:r w:rsidR="00E21FFD">
        <w:rPr>
          <w:rFonts w:ascii="ＭＳ ゴシック" w:eastAsia="ＭＳ ゴシック" w:cs="ＭＳ ゴシック" w:hint="eastAsia"/>
          <w:kern w:val="0"/>
          <w:sz w:val="24"/>
          <w:szCs w:val="24"/>
          <w:lang w:val="ja-JP"/>
        </w:rPr>
        <w:t>報道によると，同総局が「ア」社に提出を求めているのは同鉱山開発及び，同鉱山からロチャ県の深水港への鉄鉱石運搬用パイプライン建設に関する環境影響調査報告書の</w:t>
      </w:r>
      <w:r w:rsidR="00FC505C">
        <w:rPr>
          <w:rFonts w:ascii="ＭＳ ゴシック" w:eastAsia="ＭＳ ゴシック" w:cs="ＭＳ ゴシック" w:hint="eastAsia"/>
          <w:kern w:val="0"/>
          <w:sz w:val="24"/>
          <w:szCs w:val="24"/>
          <w:lang w:val="ja-JP"/>
        </w:rPr>
        <w:t>追加</w:t>
      </w:r>
      <w:r w:rsidR="00E21FFD">
        <w:rPr>
          <w:rFonts w:ascii="ＭＳ ゴシック" w:eastAsia="ＭＳ ゴシック" w:cs="ＭＳ ゴシック" w:hint="eastAsia"/>
          <w:kern w:val="0"/>
          <w:sz w:val="24"/>
          <w:szCs w:val="24"/>
          <w:lang w:val="ja-JP"/>
        </w:rPr>
        <w:t>資料。</w:t>
      </w:r>
      <w:r w:rsidR="00BD0621">
        <w:rPr>
          <w:rFonts w:ascii="ＭＳ ゴシック" w:eastAsia="ＭＳ ゴシック" w:cs="ＭＳ ゴシック" w:hint="eastAsia"/>
          <w:kern w:val="0"/>
          <w:sz w:val="24"/>
          <w:szCs w:val="24"/>
          <w:lang w:val="ja-JP"/>
        </w:rPr>
        <w:t>提出が遅れている理由として，パイプラインのルート変更等が挙げられているが，ムヒカ大統領の任期中</w:t>
      </w:r>
      <w:r w:rsidR="008A69A2">
        <w:rPr>
          <w:rFonts w:ascii="ＭＳ ゴシック" w:eastAsia="ＭＳ ゴシック" w:cs="ＭＳ ゴシック" w:hint="eastAsia"/>
          <w:kern w:val="0"/>
          <w:sz w:val="24"/>
          <w:szCs w:val="24"/>
          <w:lang w:val="ja-JP"/>
        </w:rPr>
        <w:t>における</w:t>
      </w:r>
      <w:r w:rsidR="00BD0621">
        <w:rPr>
          <w:rFonts w:ascii="ＭＳ ゴシック" w:eastAsia="ＭＳ ゴシック" w:cs="ＭＳ ゴシック" w:hint="eastAsia"/>
          <w:kern w:val="0"/>
          <w:sz w:val="24"/>
          <w:szCs w:val="24"/>
          <w:lang w:val="ja-JP"/>
        </w:rPr>
        <w:t>開発開始の見込みはなくなったとも報じられている。</w:t>
      </w:r>
    </w:p>
    <w:p w:rsidR="00DA2133" w:rsidRDefault="00DA2133" w:rsidP="00DA2133">
      <w:pPr>
        <w:autoSpaceDE w:val="0"/>
        <w:autoSpaceDN w:val="0"/>
        <w:adjustRightInd w:val="0"/>
        <w:jc w:val="left"/>
        <w:rPr>
          <w:rFonts w:ascii="ＭＳ ゴシック" w:eastAsia="ＭＳ ゴシック" w:cs="ＭＳ ゴシック"/>
          <w:kern w:val="0"/>
          <w:sz w:val="24"/>
          <w:szCs w:val="24"/>
          <w:lang w:val="ja-JP"/>
        </w:rPr>
      </w:pPr>
    </w:p>
    <w:p w:rsidR="00DA2133" w:rsidRPr="00367309" w:rsidRDefault="00260C5E" w:rsidP="00DA2133">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DA2133" w:rsidRPr="00367309">
        <w:rPr>
          <w:rFonts w:asciiTheme="majorEastAsia" w:eastAsiaTheme="majorEastAsia" w:hAnsiTheme="majorEastAsia" w:hint="eastAsia"/>
          <w:sz w:val="24"/>
          <w:szCs w:val="24"/>
        </w:rPr>
        <w:t xml:space="preserve">　日系企業</w:t>
      </w:r>
      <w:r w:rsidR="00DA2133">
        <w:rPr>
          <w:rFonts w:asciiTheme="majorEastAsia" w:eastAsiaTheme="majorEastAsia" w:hAnsiTheme="majorEastAsia" w:hint="eastAsia"/>
          <w:sz w:val="24"/>
          <w:szCs w:val="24"/>
        </w:rPr>
        <w:t>関連</w:t>
      </w:r>
    </w:p>
    <w:p w:rsidR="00DA2133" w:rsidRDefault="00DA2133" w:rsidP="00DA21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4日，ユーラスエナジー社(豊田通商及び東京電力が出資)が仏</w:t>
      </w:r>
      <w:r>
        <w:rPr>
          <w:rFonts w:ascii="ＭＳ ゴシック" w:eastAsia="ＭＳ ゴシック" w:cs="ＭＳ ゴシック"/>
          <w:kern w:val="0"/>
          <w:sz w:val="24"/>
          <w:szCs w:val="24"/>
          <w:lang w:val="ja-JP"/>
        </w:rPr>
        <w:t>Akuo Energy</w:t>
      </w:r>
      <w:r>
        <w:rPr>
          <w:rFonts w:ascii="ＭＳ ゴシック" w:eastAsia="ＭＳ ゴシック" w:cs="ＭＳ ゴシック" w:hint="eastAsia"/>
          <w:kern w:val="0"/>
          <w:sz w:val="24"/>
          <w:szCs w:val="24"/>
          <w:lang w:val="ja-JP"/>
        </w:rPr>
        <w:t>社と共同で建設</w:t>
      </w:r>
      <w:r w:rsidR="00534308">
        <w:rPr>
          <w:rFonts w:ascii="ＭＳ ゴシック" w:eastAsia="ＭＳ ゴシック" w:cs="ＭＳ ゴシック" w:hint="eastAsia"/>
          <w:kern w:val="0"/>
          <w:sz w:val="24"/>
          <w:szCs w:val="24"/>
          <w:lang w:val="ja-JP"/>
        </w:rPr>
        <w:t>中の</w:t>
      </w:r>
      <w:r>
        <w:rPr>
          <w:rFonts w:ascii="ＭＳ ゴシック" w:eastAsia="ＭＳ ゴシック" w:cs="ＭＳ ゴシック" w:hint="eastAsia"/>
          <w:kern w:val="0"/>
          <w:sz w:val="24"/>
          <w:szCs w:val="24"/>
          <w:lang w:val="ja-JP"/>
        </w:rPr>
        <w:t>ラバジェハ県のミナス風力発電所（風車14基，出力42メガワット）の「サイト・ツアー」が現地で開催され</w:t>
      </w:r>
      <w:r w:rsidR="00534308">
        <w:rPr>
          <w:rFonts w:ascii="ＭＳ ゴシック" w:eastAsia="ＭＳ ゴシック" w:cs="ＭＳ ゴシック" w:hint="eastAsia"/>
          <w:kern w:val="0"/>
          <w:sz w:val="24"/>
          <w:szCs w:val="24"/>
          <w:lang w:val="ja-JP"/>
        </w:rPr>
        <w:t>た。</w:t>
      </w:r>
    </w:p>
    <w:p w:rsidR="00DA2133" w:rsidRDefault="00DA2133" w:rsidP="005A23C0">
      <w:pPr>
        <w:autoSpaceDE w:val="0"/>
        <w:autoSpaceDN w:val="0"/>
        <w:adjustRightInd w:val="0"/>
        <w:jc w:val="left"/>
        <w:rPr>
          <w:rFonts w:ascii="ＭＳ ゴシック" w:eastAsia="ＭＳ ゴシック" w:cs="ＭＳ ゴシック"/>
          <w:kern w:val="0"/>
          <w:sz w:val="24"/>
          <w:szCs w:val="24"/>
          <w:lang w:val="ja-JP"/>
        </w:rPr>
      </w:pPr>
    </w:p>
    <w:p w:rsidR="00390ECE" w:rsidRPr="00787A49" w:rsidRDefault="00390ECE" w:rsidP="00390ECE">
      <w:pPr>
        <w:rPr>
          <w:rFonts w:asciiTheme="majorEastAsia" w:eastAsiaTheme="majorEastAsia" w:hAnsiTheme="majorEastAsia"/>
          <w:b/>
          <w:sz w:val="22"/>
        </w:rPr>
      </w:pPr>
    </w:p>
    <w:p w:rsidR="00390ECE" w:rsidRPr="00DB2AD8" w:rsidRDefault="00390ECE" w:rsidP="00390ECE">
      <w:pPr>
        <w:rPr>
          <w:rFonts w:asciiTheme="majorEastAsia" w:eastAsiaTheme="majorEastAsia" w:hAnsiTheme="majorEastAsia"/>
          <w:b/>
          <w:sz w:val="22"/>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F47F1E" w:rsidRDefault="00F47F1E" w:rsidP="00390ECE">
      <w:pPr>
        <w:jc w:val="center"/>
        <w:rPr>
          <w:rFonts w:asciiTheme="majorEastAsia" w:eastAsiaTheme="majorEastAsia" w:hAnsiTheme="majorEastAsia"/>
          <w:b/>
          <w:sz w:val="24"/>
          <w:szCs w:val="24"/>
        </w:rPr>
      </w:pPr>
    </w:p>
    <w:p w:rsidR="00390ECE" w:rsidRPr="00903440" w:rsidRDefault="00390ECE" w:rsidP="00390ECE">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t>主な経済指標</w:t>
      </w:r>
    </w:p>
    <w:tbl>
      <w:tblPr>
        <w:tblStyle w:val="a3"/>
        <w:tblpPr w:leftFromText="141" w:rightFromText="141" w:vertAnchor="text" w:tblpX="-136" w:tblpY="1"/>
        <w:tblOverlap w:val="never"/>
        <w:tblW w:w="10526" w:type="dxa"/>
        <w:tblLook w:val="04A0" w:firstRow="1" w:lastRow="0" w:firstColumn="1" w:lastColumn="0" w:noHBand="0" w:noVBand="1"/>
      </w:tblPr>
      <w:tblGrid>
        <w:gridCol w:w="2394"/>
        <w:gridCol w:w="1161"/>
        <w:gridCol w:w="1162"/>
        <w:gridCol w:w="1162"/>
        <w:gridCol w:w="1161"/>
        <w:gridCol w:w="1162"/>
        <w:gridCol w:w="1162"/>
        <w:gridCol w:w="1162"/>
      </w:tblGrid>
      <w:tr w:rsidR="00390ECE" w:rsidRPr="00713FF7" w:rsidTr="00C01CFC">
        <w:tc>
          <w:tcPr>
            <w:tcW w:w="2394" w:type="dxa"/>
          </w:tcPr>
          <w:p w:rsidR="00390ECE" w:rsidRPr="009600FF" w:rsidRDefault="00390ECE" w:rsidP="00C01CFC">
            <w:pPr>
              <w:rPr>
                <w:rFonts w:asciiTheme="majorEastAsia" w:eastAsiaTheme="majorEastAsia" w:hAnsiTheme="majorEastAsia"/>
                <w:sz w:val="24"/>
                <w:szCs w:val="24"/>
                <w:lang w:val="es-UY"/>
              </w:rPr>
            </w:pPr>
          </w:p>
        </w:tc>
        <w:tc>
          <w:tcPr>
            <w:tcW w:w="1161"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62"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62"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61"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62"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62"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62"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r>
      <w:tr w:rsidR="00390ECE" w:rsidRPr="00713FF7" w:rsidTr="00C01CFC">
        <w:tc>
          <w:tcPr>
            <w:tcW w:w="2394" w:type="dxa"/>
          </w:tcPr>
          <w:p w:rsidR="00390ECE" w:rsidRPr="00021261" w:rsidRDefault="00390ECE" w:rsidP="00C01CFC">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61"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9.10</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1161"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9.08</w:t>
            </w:r>
          </w:p>
        </w:tc>
      </w:tr>
      <w:tr w:rsidR="00390ECE" w:rsidRPr="00713FF7" w:rsidTr="00C01CFC">
        <w:tc>
          <w:tcPr>
            <w:tcW w:w="2394" w:type="dxa"/>
          </w:tcPr>
          <w:p w:rsidR="00390ECE" w:rsidRPr="00021261" w:rsidRDefault="00390ECE" w:rsidP="00C01CFC">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61" w:type="dxa"/>
          </w:tcPr>
          <w:p w:rsidR="00390ECE" w:rsidRDefault="00390ECE" w:rsidP="00C01CFC">
            <w:pPr>
              <w:jc w:val="center"/>
              <w:rPr>
                <w:rFonts w:asciiTheme="majorEastAsia" w:eastAsiaTheme="majorEastAsia" w:hAnsiTheme="majorEastAsia"/>
                <w:sz w:val="24"/>
                <w:szCs w:val="24"/>
                <w:highlight w:val="yellow"/>
              </w:rPr>
            </w:pPr>
            <w:r w:rsidRPr="00FF63A6">
              <w:rPr>
                <w:rFonts w:asciiTheme="majorEastAsia" w:eastAsiaTheme="majorEastAsia" w:hAnsiTheme="majorEastAsia"/>
                <w:sz w:val="24"/>
                <w:szCs w:val="24"/>
              </w:rPr>
              <w:t>6.1</w:t>
            </w:r>
          </w:p>
        </w:tc>
        <w:tc>
          <w:tcPr>
            <w:tcW w:w="1162" w:type="dxa"/>
          </w:tcPr>
          <w:p w:rsidR="00390ECE" w:rsidRDefault="00390ECE" w:rsidP="00C01CFC">
            <w:pPr>
              <w:jc w:val="center"/>
              <w:rPr>
                <w:rFonts w:asciiTheme="majorEastAsia" w:eastAsiaTheme="majorEastAsia" w:hAnsiTheme="majorEastAsia"/>
                <w:sz w:val="24"/>
                <w:szCs w:val="24"/>
                <w:highlight w:val="yellow"/>
              </w:rPr>
            </w:pPr>
            <w:r w:rsidRPr="00187823">
              <w:rPr>
                <w:rFonts w:asciiTheme="majorEastAsia" w:eastAsiaTheme="majorEastAsia" w:hAnsiTheme="majorEastAsia"/>
                <w:sz w:val="24"/>
                <w:szCs w:val="24"/>
              </w:rPr>
              <w:t>6.9</w:t>
            </w:r>
          </w:p>
        </w:tc>
        <w:tc>
          <w:tcPr>
            <w:tcW w:w="1162" w:type="dxa"/>
          </w:tcPr>
          <w:p w:rsidR="00390ECE" w:rsidRDefault="00390ECE" w:rsidP="00C01CFC">
            <w:pPr>
              <w:jc w:val="center"/>
              <w:rPr>
                <w:rFonts w:asciiTheme="majorEastAsia" w:eastAsiaTheme="majorEastAsia" w:hAnsiTheme="majorEastAsia"/>
                <w:sz w:val="24"/>
                <w:szCs w:val="24"/>
                <w:highlight w:val="yellow"/>
              </w:rPr>
            </w:pPr>
            <w:r w:rsidRPr="00CD1476">
              <w:rPr>
                <w:rFonts w:asciiTheme="majorEastAsia" w:eastAsiaTheme="majorEastAsia" w:hAnsiTheme="majorEastAsia"/>
                <w:sz w:val="24"/>
                <w:szCs w:val="24"/>
              </w:rPr>
              <w:t>7.0</w:t>
            </w:r>
          </w:p>
        </w:tc>
        <w:tc>
          <w:tcPr>
            <w:tcW w:w="1161" w:type="dxa"/>
          </w:tcPr>
          <w:p w:rsidR="00390ECE" w:rsidRPr="0046663D"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6.3</w:t>
            </w:r>
          </w:p>
        </w:tc>
        <w:tc>
          <w:tcPr>
            <w:tcW w:w="1162" w:type="dxa"/>
          </w:tcPr>
          <w:p w:rsidR="00390ECE" w:rsidRPr="00F316EA"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162" w:type="dxa"/>
          </w:tcPr>
          <w:p w:rsidR="00390ECE" w:rsidRPr="00F316EA"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162" w:type="dxa"/>
          </w:tcPr>
          <w:p w:rsidR="00390ECE" w:rsidRPr="00F316EA" w:rsidRDefault="00390ECE" w:rsidP="00C01CFC">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390ECE" w:rsidRPr="00713FF7" w:rsidTr="00C01CFC">
        <w:tc>
          <w:tcPr>
            <w:tcW w:w="2394" w:type="dxa"/>
          </w:tcPr>
          <w:p w:rsidR="00390ECE" w:rsidRPr="00021261" w:rsidRDefault="00390ECE" w:rsidP="00C01CFC">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61" w:type="dxa"/>
          </w:tcPr>
          <w:p w:rsidR="00390ECE" w:rsidRPr="00F33DCB"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12.1</w:t>
            </w:r>
          </w:p>
        </w:tc>
        <w:tc>
          <w:tcPr>
            <w:tcW w:w="1162" w:type="dxa"/>
          </w:tcPr>
          <w:p w:rsidR="00390ECE" w:rsidRPr="00F33DCB"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11.7</w:t>
            </w:r>
          </w:p>
        </w:tc>
        <w:tc>
          <w:tcPr>
            <w:tcW w:w="1162" w:type="dxa"/>
          </w:tcPr>
          <w:p w:rsidR="00390ECE" w:rsidRPr="00F33DCB"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161" w:type="dxa"/>
          </w:tcPr>
          <w:p w:rsidR="00390ECE" w:rsidRPr="00F33DCB"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11.7</w:t>
            </w:r>
          </w:p>
        </w:tc>
        <w:tc>
          <w:tcPr>
            <w:tcW w:w="1162" w:type="dxa"/>
          </w:tcPr>
          <w:p w:rsidR="00390ECE" w:rsidRPr="00F316EA"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11.9</w:t>
            </w:r>
          </w:p>
        </w:tc>
        <w:tc>
          <w:tcPr>
            <w:tcW w:w="1162" w:type="dxa"/>
          </w:tcPr>
          <w:p w:rsidR="00390ECE" w:rsidRPr="00F316EA"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162" w:type="dxa"/>
          </w:tcPr>
          <w:p w:rsidR="00390ECE" w:rsidRPr="00F316EA" w:rsidRDefault="00390ECE" w:rsidP="00C01CFC">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390ECE" w:rsidRPr="00713FF7" w:rsidTr="00C01CFC">
        <w:tc>
          <w:tcPr>
            <w:tcW w:w="2394" w:type="dxa"/>
          </w:tcPr>
          <w:p w:rsidR="00390ECE" w:rsidRPr="00021261" w:rsidRDefault="00390ECE" w:rsidP="00C01CFC">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61"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21.36</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21.65</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22.37</w:t>
            </w:r>
          </w:p>
        </w:tc>
        <w:tc>
          <w:tcPr>
            <w:tcW w:w="1161"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22.64</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22.85</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23.02</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22.95</w:t>
            </w:r>
          </w:p>
        </w:tc>
      </w:tr>
      <w:tr w:rsidR="00390ECE" w:rsidRPr="00713FF7" w:rsidTr="00C01CFC">
        <w:tc>
          <w:tcPr>
            <w:tcW w:w="2394" w:type="dxa"/>
          </w:tcPr>
          <w:p w:rsidR="00390ECE" w:rsidRPr="00021261" w:rsidRDefault="00390ECE" w:rsidP="00C01CFC">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61"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6</w:t>
            </w:r>
            <w:r>
              <w:rPr>
                <w:rFonts w:asciiTheme="majorEastAsia" w:eastAsiaTheme="majorEastAsia" w:hAnsiTheme="majorEastAsia" w:hint="eastAsia"/>
                <w:sz w:val="24"/>
                <w:szCs w:val="24"/>
              </w:rPr>
              <w:t>,</w:t>
            </w:r>
            <w:r>
              <w:rPr>
                <w:rFonts w:asciiTheme="majorEastAsia" w:eastAsiaTheme="majorEastAsia" w:hAnsiTheme="majorEastAsia"/>
                <w:sz w:val="24"/>
                <w:szCs w:val="24"/>
              </w:rPr>
              <w:t>190</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372</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589</w:t>
            </w:r>
          </w:p>
        </w:tc>
        <w:tc>
          <w:tcPr>
            <w:tcW w:w="1161"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601</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4.600</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4.999</w:t>
            </w:r>
          </w:p>
        </w:tc>
        <w:tc>
          <w:tcPr>
            <w:tcW w:w="1162" w:type="dxa"/>
          </w:tcPr>
          <w:p w:rsidR="00390ECE" w:rsidRDefault="00390ECE" w:rsidP="00C01CFC">
            <w:pPr>
              <w:jc w:val="center"/>
              <w:rPr>
                <w:rFonts w:asciiTheme="majorEastAsia" w:eastAsiaTheme="majorEastAsia" w:hAnsiTheme="majorEastAsia"/>
                <w:sz w:val="24"/>
                <w:szCs w:val="24"/>
              </w:rPr>
            </w:pPr>
            <w:r>
              <w:rPr>
                <w:rFonts w:asciiTheme="majorEastAsia" w:eastAsiaTheme="majorEastAsia" w:hAnsiTheme="majorEastAsia"/>
                <w:sz w:val="24"/>
                <w:szCs w:val="24"/>
              </w:rPr>
              <w:t>5.047</w:t>
            </w:r>
          </w:p>
        </w:tc>
      </w:tr>
    </w:tbl>
    <w:p w:rsidR="00390ECE" w:rsidRDefault="00390ECE" w:rsidP="00390ECE">
      <w:pPr>
        <w:tabs>
          <w:tab w:val="left" w:pos="142"/>
        </w:tabs>
        <w:jc w:val="left"/>
        <w:rPr>
          <w:rFonts w:asciiTheme="majorEastAsia" w:eastAsiaTheme="majorEastAsia" w:hAnsiTheme="majorEastAsia"/>
          <w:sz w:val="20"/>
          <w:szCs w:val="20"/>
        </w:rPr>
      </w:pPr>
    </w:p>
    <w:p w:rsidR="00390ECE" w:rsidRPr="00041CD4" w:rsidRDefault="00390ECE" w:rsidP="00390ECE">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出所：国家統計院(INE)、ウルグアイ自動車コンセッション協会（ACAU</w:t>
      </w:r>
      <w:r w:rsidRPr="00041CD4">
        <w:rPr>
          <w:rFonts w:asciiTheme="majorEastAsia" w:eastAsiaTheme="majorEastAsia" w:hAnsiTheme="majorEastAsia"/>
          <w:sz w:val="20"/>
          <w:szCs w:val="20"/>
        </w:rPr>
        <w:t>）</w:t>
      </w:r>
    </w:p>
    <w:p w:rsidR="00390ECE" w:rsidRDefault="00390ECE" w:rsidP="00390ECE">
      <w:pPr>
        <w:tabs>
          <w:tab w:val="left" w:pos="1320"/>
        </w:tabs>
        <w:jc w:val="left"/>
        <w:rPr>
          <w:rFonts w:asciiTheme="majorEastAsia" w:eastAsiaTheme="majorEastAsia" w:hAnsiTheme="majorEastAsia"/>
          <w:sz w:val="20"/>
          <w:szCs w:val="20"/>
          <w:lang w:val="es-UY"/>
        </w:rPr>
      </w:pPr>
    </w:p>
    <w:p w:rsidR="00390ECE" w:rsidRPr="00DB2AD8" w:rsidRDefault="00390ECE" w:rsidP="00390ECE">
      <w:pPr>
        <w:jc w:val="left"/>
        <w:rPr>
          <w:rFonts w:asciiTheme="majorEastAsia" w:eastAsiaTheme="majorEastAsia" w:hAnsiTheme="majorEastAsia"/>
          <w:sz w:val="22"/>
        </w:rPr>
      </w:pPr>
    </w:p>
    <w:p w:rsidR="00390ECE" w:rsidRPr="00A816A5" w:rsidRDefault="00390ECE" w:rsidP="00390ECE">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598" w:type="dxa"/>
        <w:tblLook w:val="04A0" w:firstRow="1" w:lastRow="0" w:firstColumn="1" w:lastColumn="0" w:noHBand="0" w:noVBand="1"/>
      </w:tblPr>
      <w:tblGrid>
        <w:gridCol w:w="2943"/>
        <w:gridCol w:w="1093"/>
        <w:gridCol w:w="1094"/>
        <w:gridCol w:w="1093"/>
        <w:gridCol w:w="1094"/>
        <w:gridCol w:w="1093"/>
        <w:gridCol w:w="1094"/>
        <w:gridCol w:w="1094"/>
      </w:tblGrid>
      <w:tr w:rsidR="00390ECE" w:rsidRPr="00713FF7" w:rsidTr="00C01CFC">
        <w:tc>
          <w:tcPr>
            <w:tcW w:w="2943" w:type="dxa"/>
          </w:tcPr>
          <w:p w:rsidR="00390ECE" w:rsidRPr="00713FF7" w:rsidRDefault="00390ECE" w:rsidP="00C01CFC">
            <w:pPr>
              <w:jc w:val="center"/>
              <w:rPr>
                <w:rFonts w:asciiTheme="majorEastAsia" w:eastAsiaTheme="majorEastAsia" w:hAnsiTheme="majorEastAsia"/>
                <w:sz w:val="24"/>
                <w:szCs w:val="24"/>
                <w:lang w:eastAsia="zh-TW"/>
              </w:rPr>
            </w:pPr>
          </w:p>
        </w:tc>
        <w:tc>
          <w:tcPr>
            <w:tcW w:w="1093"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12 </w:t>
            </w:r>
            <w:r>
              <w:rPr>
                <w:rFonts w:asciiTheme="majorEastAsia" w:eastAsiaTheme="majorEastAsia" w:hAnsiTheme="majorEastAsia" w:hint="eastAsia"/>
                <w:sz w:val="24"/>
                <w:szCs w:val="24"/>
              </w:rPr>
              <w:t>月</w:t>
            </w:r>
          </w:p>
        </w:tc>
        <w:tc>
          <w:tcPr>
            <w:tcW w:w="1094"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093"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094"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093"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094"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094" w:type="dxa"/>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9.10</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9.08</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10.35</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10.65</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10.17</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2.77</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2.45</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2.38</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2.35</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2.33</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2.37</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4.66</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3.58</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3.88</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4.42</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4.35</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3.73</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8.98</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12.92</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10.76</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9.94</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9.96</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10.03</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9.89</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13.65</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12.89</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13.19</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10.61</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9.38</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10.09</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10.37</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10.45</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10.27</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6.59</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6.74</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6.70</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10.13</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11.74</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13.37</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13.51</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13.23</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0.31</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0.34</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0.55</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-3.93</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-4.10</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-4.06</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8.81</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8.84</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9.86</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8.40</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6.86</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6.84</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11.74</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13.39</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13.44</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13.35</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13.28</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13.25</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9.03</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10.24</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10.75</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10.85</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11.45</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11.05</w:t>
            </w:r>
          </w:p>
        </w:tc>
      </w:tr>
      <w:tr w:rsidR="00390ECE" w:rsidRPr="00713FF7" w:rsidTr="00C01CFC">
        <w:tc>
          <w:tcPr>
            <w:tcW w:w="2943" w:type="dxa"/>
          </w:tcPr>
          <w:p w:rsidR="00390ECE" w:rsidRPr="007332F5" w:rsidRDefault="00390ECE" w:rsidP="00C01CFC">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財・サービス</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8.54</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8.47</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8.42</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8.92</w:t>
            </w:r>
          </w:p>
        </w:tc>
        <w:tc>
          <w:tcPr>
            <w:tcW w:w="1093"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8.90</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9.61</w:t>
            </w:r>
          </w:p>
        </w:tc>
        <w:tc>
          <w:tcPr>
            <w:tcW w:w="1094" w:type="dxa"/>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r>
    </w:tbl>
    <w:p w:rsidR="00390ECE" w:rsidRDefault="00390ECE" w:rsidP="00390ECE">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390ECE" w:rsidRPr="008B6396" w:rsidRDefault="00390ECE" w:rsidP="00390ECE">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390ECE" w:rsidRPr="00ED2934" w:rsidRDefault="00390ECE" w:rsidP="00390ECE">
      <w:pPr>
        <w:tabs>
          <w:tab w:val="left" w:pos="4020"/>
        </w:tabs>
        <w:ind w:firstLineChars="1950" w:firstLine="4698"/>
        <w:rPr>
          <w:rFonts w:asciiTheme="majorEastAsia" w:eastAsiaTheme="majorEastAsia" w:hAnsiTheme="majorEastAsia"/>
          <w:b/>
          <w:sz w:val="24"/>
          <w:szCs w:val="24"/>
          <w:lang w:val="es-UY" w:eastAsia="zh-TW"/>
        </w:rPr>
      </w:pPr>
    </w:p>
    <w:p w:rsidR="00390ECE" w:rsidRDefault="00390ECE" w:rsidP="00390ECE">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10490" w:type="dxa"/>
        <w:tblInd w:w="-214" w:type="dxa"/>
        <w:tblLayout w:type="fixed"/>
        <w:tblCellMar>
          <w:left w:w="70" w:type="dxa"/>
          <w:right w:w="70" w:type="dxa"/>
        </w:tblCellMar>
        <w:tblLook w:val="04A0" w:firstRow="1" w:lastRow="0" w:firstColumn="1" w:lastColumn="0" w:noHBand="0" w:noVBand="1"/>
      </w:tblPr>
      <w:tblGrid>
        <w:gridCol w:w="993"/>
        <w:gridCol w:w="2977"/>
        <w:gridCol w:w="1086"/>
        <w:gridCol w:w="1087"/>
        <w:gridCol w:w="1087"/>
        <w:gridCol w:w="1086"/>
        <w:gridCol w:w="1087"/>
        <w:gridCol w:w="1087"/>
      </w:tblGrid>
      <w:tr w:rsidR="00390ECE" w:rsidRPr="008C0FD3" w:rsidTr="00C01CFC">
        <w:trPr>
          <w:trHeight w:val="300"/>
        </w:trPr>
        <w:tc>
          <w:tcPr>
            <w:tcW w:w="39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0ECE" w:rsidRPr="008C0FD3" w:rsidRDefault="00390ECE" w:rsidP="00C01CFC">
            <w:pPr>
              <w:widowControl/>
              <w:jc w:val="center"/>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086" w:type="dxa"/>
            <w:tcBorders>
              <w:top w:val="single" w:sz="4" w:space="0" w:color="auto"/>
              <w:left w:val="nil"/>
              <w:bottom w:val="single" w:sz="4" w:space="0" w:color="auto"/>
              <w:right w:val="single" w:sz="4" w:space="0" w:color="auto"/>
            </w:tcBorders>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087" w:type="dxa"/>
            <w:tcBorders>
              <w:top w:val="single" w:sz="4" w:space="0" w:color="auto"/>
              <w:left w:val="nil"/>
              <w:bottom w:val="single" w:sz="4" w:space="0" w:color="auto"/>
              <w:right w:val="single" w:sz="4" w:space="0" w:color="auto"/>
            </w:tcBorders>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087" w:type="dxa"/>
            <w:tcBorders>
              <w:top w:val="single" w:sz="4" w:space="0" w:color="auto"/>
              <w:left w:val="nil"/>
              <w:bottom w:val="single" w:sz="4" w:space="0" w:color="auto"/>
              <w:right w:val="single" w:sz="4" w:space="0" w:color="auto"/>
            </w:tcBorders>
          </w:tcPr>
          <w:p w:rsidR="00390ECE" w:rsidRDefault="00390ECE" w:rsidP="00C01CFC">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r>
      <w:tr w:rsidR="00390ECE" w:rsidRPr="0018647E" w:rsidTr="00C01CFC">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 xml:space="preserve">輸出　　　</w:t>
            </w:r>
          </w:p>
        </w:tc>
        <w:tc>
          <w:tcPr>
            <w:tcW w:w="297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1086"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579</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584</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Calibri" w:eastAsia="Times New Roman" w:hAnsi="Calibri" w:cs="Calibri"/>
                <w:color w:val="000000"/>
                <w:kern w:val="0"/>
                <w:sz w:val="22"/>
                <w:lang w:val="es-UY"/>
              </w:rPr>
            </w:pPr>
            <w:r>
              <w:rPr>
                <w:rFonts w:ascii="Calibri" w:hAnsi="Calibri" w:cs="Calibri" w:hint="eastAsia"/>
                <w:color w:val="000000"/>
                <w:kern w:val="0"/>
                <w:sz w:val="22"/>
                <w:lang w:val="es-UY"/>
              </w:rPr>
              <w:t xml:space="preserve">　</w:t>
            </w:r>
            <w:r w:rsidRPr="00CD1199">
              <w:rPr>
                <w:rFonts w:asciiTheme="majorEastAsia" w:eastAsiaTheme="majorEastAsia" w:hAnsiTheme="majorEastAsia"/>
                <w:sz w:val="24"/>
                <w:szCs w:val="24"/>
              </w:rPr>
              <w:t>713</w:t>
            </w:r>
          </w:p>
        </w:tc>
        <w:tc>
          <w:tcPr>
            <w:tcW w:w="1086" w:type="dxa"/>
            <w:tcBorders>
              <w:top w:val="nil"/>
              <w:left w:val="nil"/>
              <w:bottom w:val="single" w:sz="4" w:space="0" w:color="auto"/>
              <w:right w:val="single" w:sz="4" w:space="0" w:color="auto"/>
            </w:tcBorders>
            <w:vAlign w:val="center"/>
          </w:tcPr>
          <w:p w:rsidR="00390ECE" w:rsidRPr="008C0FD3" w:rsidRDefault="00390ECE" w:rsidP="00C01CFC">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07096E">
              <w:rPr>
                <w:rFonts w:asciiTheme="majorEastAsia" w:eastAsiaTheme="majorEastAsia" w:hAnsiTheme="majorEastAsia"/>
                <w:sz w:val="24"/>
                <w:szCs w:val="24"/>
              </w:rPr>
              <w:t>1</w:t>
            </w:r>
            <w:r>
              <w:rPr>
                <w:rFonts w:asciiTheme="majorEastAsia" w:eastAsiaTheme="majorEastAsia" w:hAnsiTheme="majorEastAsia"/>
                <w:sz w:val="24"/>
                <w:szCs w:val="24"/>
              </w:rPr>
              <w:t>,</w:t>
            </w:r>
            <w:r w:rsidRPr="0007096E">
              <w:rPr>
                <w:rFonts w:asciiTheme="majorEastAsia" w:eastAsiaTheme="majorEastAsia" w:hAnsiTheme="majorEastAsia"/>
                <w:sz w:val="24"/>
                <w:szCs w:val="24"/>
              </w:rPr>
              <w:t>052</w:t>
            </w:r>
          </w:p>
        </w:tc>
        <w:tc>
          <w:tcPr>
            <w:tcW w:w="1087" w:type="dxa"/>
            <w:tcBorders>
              <w:top w:val="nil"/>
              <w:left w:val="nil"/>
              <w:bottom w:val="single" w:sz="4" w:space="0" w:color="auto"/>
              <w:right w:val="single" w:sz="4" w:space="0" w:color="auto"/>
            </w:tcBorders>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c>
          <w:tcPr>
            <w:tcW w:w="1087" w:type="dxa"/>
            <w:tcBorders>
              <w:top w:val="nil"/>
              <w:left w:val="nil"/>
              <w:bottom w:val="single" w:sz="4" w:space="0" w:color="auto"/>
              <w:right w:val="single" w:sz="4" w:space="0" w:color="auto"/>
            </w:tcBorders>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1,125</w:t>
            </w:r>
          </w:p>
        </w:tc>
      </w:tr>
      <w:tr w:rsidR="00390ECE" w:rsidRPr="008C0FD3" w:rsidTr="00C01CFC">
        <w:trPr>
          <w:trHeight w:val="480"/>
        </w:trPr>
        <w:tc>
          <w:tcPr>
            <w:tcW w:w="993" w:type="dxa"/>
            <w:vMerge/>
            <w:tcBorders>
              <w:top w:val="nil"/>
              <w:left w:val="single" w:sz="4" w:space="0" w:color="auto"/>
              <w:bottom w:val="single" w:sz="4" w:space="0" w:color="000000"/>
              <w:right w:val="single" w:sz="4" w:space="0" w:color="auto"/>
            </w:tcBorders>
            <w:vAlign w:val="center"/>
            <w:hideMark/>
          </w:tcPr>
          <w:p w:rsidR="00390ECE" w:rsidRPr="008C0FD3" w:rsidRDefault="00390ECE" w:rsidP="00C01CFC">
            <w:pPr>
              <w:jc w:val="center"/>
              <w:rPr>
                <w:rFonts w:asciiTheme="majorEastAsia" w:eastAsiaTheme="majorEastAsia" w:hAnsiTheme="majorEastAsia"/>
                <w:sz w:val="22"/>
              </w:rPr>
            </w:pPr>
          </w:p>
        </w:tc>
        <w:tc>
          <w:tcPr>
            <w:tcW w:w="297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1086"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-11</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3</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8</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1</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r>
              <w:rPr>
                <w:rFonts w:asciiTheme="majorEastAsia" w:eastAsiaTheme="majorEastAsia" w:hAnsiTheme="majorEastAsia"/>
                <w:sz w:val="24"/>
                <w:szCs w:val="24"/>
              </w:rPr>
              <w:t>16</w:t>
            </w:r>
            <w:r>
              <w:rPr>
                <w:rFonts w:asciiTheme="majorEastAsia" w:eastAsiaTheme="majorEastAsia" w:hAnsiTheme="majorEastAsia" w:hint="eastAsia"/>
                <w:sz w:val="24"/>
                <w:szCs w:val="24"/>
              </w:rPr>
              <w:t>.2</w:t>
            </w:r>
          </w:p>
        </w:tc>
        <w:tc>
          <w:tcPr>
            <w:tcW w:w="1086" w:type="dxa"/>
            <w:tcBorders>
              <w:top w:val="nil"/>
              <w:left w:val="nil"/>
              <w:bottom w:val="single" w:sz="4" w:space="0" w:color="auto"/>
              <w:right w:val="single" w:sz="4" w:space="0" w:color="auto"/>
            </w:tcBorders>
            <w:vAlign w:val="center"/>
          </w:tcPr>
          <w:p w:rsidR="00390ECE" w:rsidRPr="00DC75C8"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-0,5</w:t>
            </w:r>
          </w:p>
        </w:tc>
        <w:tc>
          <w:tcPr>
            <w:tcW w:w="1087" w:type="dxa"/>
            <w:tcBorders>
              <w:top w:val="nil"/>
              <w:left w:val="nil"/>
              <w:bottom w:val="single" w:sz="4" w:space="0" w:color="auto"/>
              <w:right w:val="single" w:sz="4" w:space="0" w:color="auto"/>
            </w:tcBorders>
            <w:vAlign w:val="center"/>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1087" w:type="dxa"/>
            <w:tcBorders>
              <w:top w:val="nil"/>
              <w:left w:val="nil"/>
              <w:bottom w:val="single" w:sz="4" w:space="0" w:color="auto"/>
              <w:right w:val="single" w:sz="4" w:space="0" w:color="auto"/>
            </w:tcBorders>
            <w:vAlign w:val="center"/>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22,7</w:t>
            </w:r>
          </w:p>
        </w:tc>
      </w:tr>
      <w:tr w:rsidR="00390ECE" w:rsidRPr="0018647E" w:rsidTr="00C01CFC">
        <w:trPr>
          <w:trHeight w:val="480"/>
        </w:trPr>
        <w:tc>
          <w:tcPr>
            <w:tcW w:w="993" w:type="dxa"/>
            <w:vMerge/>
            <w:tcBorders>
              <w:top w:val="nil"/>
              <w:left w:val="single" w:sz="4" w:space="0" w:color="auto"/>
              <w:bottom w:val="single" w:sz="4" w:space="0" w:color="000000"/>
              <w:right w:val="single" w:sz="4" w:space="0" w:color="auto"/>
            </w:tcBorders>
            <w:vAlign w:val="center"/>
            <w:hideMark/>
          </w:tcPr>
          <w:p w:rsidR="00390ECE" w:rsidRPr="008C0FD3" w:rsidRDefault="00390ECE" w:rsidP="00C01CFC">
            <w:pPr>
              <w:jc w:val="center"/>
              <w:rPr>
                <w:rFonts w:asciiTheme="majorEastAsia" w:eastAsiaTheme="majorEastAsia" w:hAnsiTheme="majorEastAsia"/>
                <w:sz w:val="22"/>
              </w:rPr>
            </w:pPr>
          </w:p>
        </w:tc>
        <w:tc>
          <w:tcPr>
            <w:tcW w:w="297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1086"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579</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139</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r w:rsidRPr="00CD1199">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CD1199">
              <w:rPr>
                <w:rFonts w:asciiTheme="majorEastAsia" w:eastAsiaTheme="majorEastAsia" w:hAnsiTheme="majorEastAsia"/>
                <w:sz w:val="24"/>
                <w:szCs w:val="24"/>
              </w:rPr>
              <w:t>831</w:t>
            </w:r>
          </w:p>
        </w:tc>
        <w:tc>
          <w:tcPr>
            <w:tcW w:w="1086" w:type="dxa"/>
            <w:tcBorders>
              <w:top w:val="nil"/>
              <w:left w:val="nil"/>
              <w:bottom w:val="single" w:sz="4" w:space="0" w:color="auto"/>
              <w:right w:val="single" w:sz="4" w:space="0" w:color="auto"/>
            </w:tcBorders>
            <w:vAlign w:val="center"/>
          </w:tcPr>
          <w:p w:rsidR="00390ECE" w:rsidRPr="008C0FD3" w:rsidRDefault="00390ECE" w:rsidP="00C01CFC">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35377F">
              <w:rPr>
                <w:rFonts w:asciiTheme="majorEastAsia" w:eastAsiaTheme="majorEastAsia" w:hAnsiTheme="majorEastAsia"/>
                <w:sz w:val="24"/>
                <w:szCs w:val="24"/>
              </w:rPr>
              <w:t>2</w:t>
            </w:r>
            <w:r>
              <w:rPr>
                <w:rFonts w:asciiTheme="majorEastAsia" w:eastAsiaTheme="majorEastAsia" w:hAnsiTheme="majorEastAsia"/>
                <w:sz w:val="24"/>
                <w:szCs w:val="24"/>
              </w:rPr>
              <w:t>,</w:t>
            </w:r>
            <w:r w:rsidRPr="0035377F">
              <w:rPr>
                <w:rFonts w:asciiTheme="majorEastAsia" w:eastAsiaTheme="majorEastAsia" w:hAnsiTheme="majorEastAsia"/>
                <w:sz w:val="24"/>
                <w:szCs w:val="24"/>
              </w:rPr>
              <w:t>858</w:t>
            </w:r>
          </w:p>
        </w:tc>
        <w:tc>
          <w:tcPr>
            <w:tcW w:w="1087" w:type="dxa"/>
            <w:tcBorders>
              <w:top w:val="nil"/>
              <w:left w:val="nil"/>
              <w:bottom w:val="single" w:sz="4" w:space="0" w:color="auto"/>
              <w:right w:val="single" w:sz="4" w:space="0" w:color="auto"/>
            </w:tcBorders>
            <w:vAlign w:val="center"/>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3,948</w:t>
            </w:r>
          </w:p>
        </w:tc>
        <w:tc>
          <w:tcPr>
            <w:tcW w:w="1087" w:type="dxa"/>
            <w:tcBorders>
              <w:top w:val="nil"/>
              <w:left w:val="nil"/>
              <w:bottom w:val="single" w:sz="4" w:space="0" w:color="auto"/>
              <w:right w:val="single" w:sz="4" w:space="0" w:color="auto"/>
            </w:tcBorders>
            <w:vAlign w:val="center"/>
          </w:tcPr>
          <w:p w:rsidR="00390ECE"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4,981</w:t>
            </w:r>
          </w:p>
        </w:tc>
      </w:tr>
      <w:tr w:rsidR="00390ECE" w:rsidRPr="0018647E" w:rsidTr="00C01CFC">
        <w:trPr>
          <w:trHeight w:val="480"/>
        </w:trPr>
        <w:tc>
          <w:tcPr>
            <w:tcW w:w="993" w:type="dxa"/>
            <w:vMerge/>
            <w:tcBorders>
              <w:top w:val="nil"/>
              <w:left w:val="single" w:sz="4" w:space="0" w:color="auto"/>
              <w:bottom w:val="single" w:sz="4" w:space="0" w:color="000000"/>
              <w:right w:val="single" w:sz="4" w:space="0" w:color="auto"/>
            </w:tcBorders>
            <w:vAlign w:val="center"/>
            <w:hideMark/>
          </w:tcPr>
          <w:p w:rsidR="00390ECE" w:rsidRPr="008C0FD3" w:rsidRDefault="00390ECE" w:rsidP="00C01CFC">
            <w:pPr>
              <w:jc w:val="center"/>
              <w:rPr>
                <w:rFonts w:asciiTheme="majorEastAsia" w:eastAsiaTheme="majorEastAsia" w:hAnsiTheme="majorEastAsia"/>
                <w:sz w:val="22"/>
              </w:rPr>
            </w:pPr>
          </w:p>
        </w:tc>
        <w:tc>
          <w:tcPr>
            <w:tcW w:w="297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1086"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-11</w:t>
            </w: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-0,3</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8C0FD3">
              <w:rPr>
                <w:rFonts w:asciiTheme="majorEastAsia" w:eastAsiaTheme="majorEastAsia" w:hAnsiTheme="majorEastAsia"/>
                <w:sz w:val="24"/>
                <w:szCs w:val="24"/>
              </w:rPr>
              <w:t> </w:t>
            </w:r>
            <w:r w:rsidRPr="00CD1199">
              <w:rPr>
                <w:rFonts w:asciiTheme="majorEastAsia" w:eastAsiaTheme="majorEastAsia" w:hAnsiTheme="majorEastAsia"/>
                <w:sz w:val="24"/>
                <w:szCs w:val="24"/>
              </w:rPr>
              <w:t>5,6</w:t>
            </w:r>
          </w:p>
        </w:tc>
        <w:tc>
          <w:tcPr>
            <w:tcW w:w="1086" w:type="dxa"/>
            <w:tcBorders>
              <w:top w:val="nil"/>
              <w:left w:val="nil"/>
              <w:bottom w:val="single" w:sz="4" w:space="0" w:color="auto"/>
              <w:right w:val="single" w:sz="4" w:space="0" w:color="auto"/>
            </w:tcBorders>
            <w:vAlign w:val="center"/>
          </w:tcPr>
          <w:p w:rsidR="00390ECE" w:rsidRPr="008C0FD3"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3,6</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5,0</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r>
      <w:tr w:rsidR="00390ECE" w:rsidRPr="008C0FD3" w:rsidTr="00C01CFC">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97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1086"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835</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733</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 xml:space="preserve"> </w:t>
            </w:r>
            <w:r w:rsidRPr="0059306E">
              <w:rPr>
                <w:rFonts w:asciiTheme="majorEastAsia" w:eastAsiaTheme="majorEastAsia" w:hAnsiTheme="majorEastAsia"/>
                <w:i/>
                <w:sz w:val="24"/>
                <w:szCs w:val="24"/>
              </w:rPr>
              <w:t xml:space="preserve"> </w:t>
            </w:r>
            <w:r w:rsidRPr="00D40B48">
              <w:rPr>
                <w:rFonts w:asciiTheme="majorEastAsia" w:eastAsiaTheme="majorEastAsia" w:hAnsiTheme="majorEastAsia"/>
                <w:sz w:val="24"/>
                <w:szCs w:val="24"/>
              </w:rPr>
              <w:t>714</w:t>
            </w:r>
          </w:p>
        </w:tc>
        <w:tc>
          <w:tcPr>
            <w:tcW w:w="1086" w:type="dxa"/>
            <w:tcBorders>
              <w:top w:val="nil"/>
              <w:left w:val="nil"/>
              <w:bottom w:val="single" w:sz="4" w:space="0" w:color="auto"/>
              <w:right w:val="single" w:sz="4" w:space="0" w:color="auto"/>
            </w:tcBorders>
            <w:vAlign w:val="center"/>
          </w:tcPr>
          <w:p w:rsidR="00390ECE" w:rsidRPr="008C0FD3"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755</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809</w:t>
            </w:r>
          </w:p>
        </w:tc>
      </w:tr>
      <w:tr w:rsidR="00390ECE" w:rsidRPr="008C0FD3" w:rsidTr="00C01CFC">
        <w:trPr>
          <w:trHeight w:val="300"/>
        </w:trPr>
        <w:tc>
          <w:tcPr>
            <w:tcW w:w="993" w:type="dxa"/>
            <w:vMerge/>
            <w:tcBorders>
              <w:top w:val="nil"/>
              <w:left w:val="single" w:sz="4" w:space="0" w:color="auto"/>
              <w:bottom w:val="single" w:sz="4" w:space="0" w:color="000000"/>
              <w:right w:val="single" w:sz="4" w:space="0" w:color="auto"/>
            </w:tcBorders>
            <w:vAlign w:val="center"/>
            <w:hideMark/>
          </w:tcPr>
          <w:p w:rsidR="00390ECE" w:rsidRPr="008C0FD3" w:rsidRDefault="00390ECE" w:rsidP="00C01CFC">
            <w:pPr>
              <w:jc w:val="center"/>
              <w:rPr>
                <w:rFonts w:asciiTheme="majorEastAsia" w:eastAsiaTheme="majorEastAsia" w:hAnsiTheme="majorEastAsia"/>
                <w:sz w:val="22"/>
              </w:rPr>
            </w:pPr>
          </w:p>
        </w:tc>
        <w:tc>
          <w:tcPr>
            <w:tcW w:w="297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1086"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13</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1</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12</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6</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 xml:space="preserve"> </w:t>
            </w:r>
            <w:r w:rsidRPr="00D40B48">
              <w:rPr>
                <w:rFonts w:asciiTheme="majorEastAsia" w:eastAsiaTheme="majorEastAsia" w:hAnsiTheme="majorEastAsia"/>
                <w:sz w:val="24"/>
                <w:szCs w:val="24"/>
              </w:rPr>
              <w:t>- 1</w:t>
            </w:r>
            <w:r>
              <w:rPr>
                <w:rFonts w:asciiTheme="majorEastAsia" w:eastAsiaTheme="majorEastAsia" w:hAnsiTheme="majorEastAsia" w:hint="eastAsia"/>
                <w:sz w:val="24"/>
                <w:szCs w:val="24"/>
              </w:rPr>
              <w:t>.</w:t>
            </w:r>
            <w:r w:rsidRPr="00D40B48">
              <w:rPr>
                <w:rFonts w:asciiTheme="majorEastAsia" w:eastAsiaTheme="majorEastAsia" w:hAnsiTheme="majorEastAsia"/>
                <w:sz w:val="24"/>
                <w:szCs w:val="24"/>
              </w:rPr>
              <w:t>7</w:t>
            </w:r>
          </w:p>
        </w:tc>
        <w:tc>
          <w:tcPr>
            <w:tcW w:w="1086" w:type="dxa"/>
            <w:tcBorders>
              <w:top w:val="nil"/>
              <w:left w:val="nil"/>
              <w:bottom w:val="single" w:sz="4" w:space="0" w:color="auto"/>
              <w:right w:val="single" w:sz="4" w:space="0" w:color="auto"/>
            </w:tcBorders>
            <w:vAlign w:val="center"/>
          </w:tcPr>
          <w:p w:rsidR="00390ECE" w:rsidRPr="008C0FD3"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-14,5</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9,9</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21,5</w:t>
            </w:r>
          </w:p>
        </w:tc>
      </w:tr>
      <w:tr w:rsidR="00390ECE" w:rsidRPr="008C0FD3" w:rsidTr="00C01CFC">
        <w:trPr>
          <w:trHeight w:val="300"/>
        </w:trPr>
        <w:tc>
          <w:tcPr>
            <w:tcW w:w="993" w:type="dxa"/>
            <w:vMerge/>
            <w:tcBorders>
              <w:top w:val="nil"/>
              <w:left w:val="single" w:sz="4" w:space="0" w:color="auto"/>
              <w:bottom w:val="single" w:sz="4" w:space="0" w:color="000000"/>
              <w:right w:val="single" w:sz="4" w:space="0" w:color="auto"/>
            </w:tcBorders>
            <w:vAlign w:val="center"/>
            <w:hideMark/>
          </w:tcPr>
          <w:p w:rsidR="00390ECE" w:rsidRPr="008C0FD3" w:rsidRDefault="00390ECE" w:rsidP="00C01CFC">
            <w:pPr>
              <w:jc w:val="center"/>
              <w:rPr>
                <w:rFonts w:asciiTheme="majorEastAsia" w:eastAsiaTheme="majorEastAsia" w:hAnsiTheme="majorEastAsia"/>
                <w:sz w:val="22"/>
              </w:rPr>
            </w:pPr>
          </w:p>
        </w:tc>
        <w:tc>
          <w:tcPr>
            <w:tcW w:w="297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1086"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835</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569</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sidRPr="00013ADB">
              <w:rPr>
                <w:rFonts w:asciiTheme="majorEastAsia" w:eastAsiaTheme="majorEastAsia" w:hAnsiTheme="majorEastAsia"/>
                <w:sz w:val="24"/>
                <w:szCs w:val="24"/>
              </w:rPr>
              <w:t>2</w:t>
            </w:r>
            <w:r>
              <w:rPr>
                <w:rFonts w:asciiTheme="majorEastAsia" w:eastAsiaTheme="majorEastAsia" w:hAnsiTheme="majorEastAsia" w:hint="eastAsia"/>
                <w:sz w:val="24"/>
                <w:szCs w:val="24"/>
              </w:rPr>
              <w:t>,</w:t>
            </w:r>
            <w:r w:rsidRPr="00013ADB">
              <w:rPr>
                <w:rFonts w:asciiTheme="majorEastAsia" w:eastAsiaTheme="majorEastAsia" w:hAnsiTheme="majorEastAsia"/>
                <w:sz w:val="24"/>
                <w:szCs w:val="24"/>
              </w:rPr>
              <w:t>282</w:t>
            </w:r>
          </w:p>
        </w:tc>
        <w:tc>
          <w:tcPr>
            <w:tcW w:w="1086" w:type="dxa"/>
            <w:tcBorders>
              <w:top w:val="nil"/>
              <w:left w:val="nil"/>
              <w:bottom w:val="single" w:sz="4" w:space="0" w:color="auto"/>
              <w:right w:val="single" w:sz="4" w:space="0" w:color="auto"/>
            </w:tcBorders>
            <w:vAlign w:val="center"/>
          </w:tcPr>
          <w:p w:rsidR="00390ECE" w:rsidRPr="008C0FD3"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3,035</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3,879</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4.687</w:t>
            </w:r>
          </w:p>
        </w:tc>
      </w:tr>
      <w:tr w:rsidR="00390ECE" w:rsidRPr="008C0FD3" w:rsidTr="00C01CFC">
        <w:trPr>
          <w:trHeight w:val="540"/>
        </w:trPr>
        <w:tc>
          <w:tcPr>
            <w:tcW w:w="993" w:type="dxa"/>
            <w:vMerge/>
            <w:tcBorders>
              <w:top w:val="nil"/>
              <w:left w:val="single" w:sz="4" w:space="0" w:color="auto"/>
              <w:bottom w:val="single" w:sz="4" w:space="0" w:color="000000"/>
              <w:right w:val="single" w:sz="4" w:space="0" w:color="auto"/>
            </w:tcBorders>
            <w:vAlign w:val="center"/>
            <w:hideMark/>
          </w:tcPr>
          <w:p w:rsidR="00390ECE" w:rsidRPr="008C0FD3" w:rsidRDefault="00390ECE" w:rsidP="00C01CFC">
            <w:pPr>
              <w:jc w:val="center"/>
              <w:rPr>
                <w:rFonts w:asciiTheme="majorEastAsia" w:eastAsiaTheme="majorEastAsia" w:hAnsiTheme="majorEastAsia"/>
                <w:sz w:val="22"/>
              </w:rPr>
            </w:pPr>
          </w:p>
        </w:tc>
        <w:tc>
          <w:tcPr>
            <w:tcW w:w="297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1086"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13</w:t>
            </w:r>
            <w:r>
              <w:rPr>
                <w:rFonts w:asciiTheme="majorEastAsia" w:eastAsiaTheme="majorEastAsia" w:hAnsiTheme="majorEastAsia" w:hint="eastAsia"/>
                <w:sz w:val="24"/>
                <w:szCs w:val="24"/>
              </w:rPr>
              <w:t>.</w:t>
            </w:r>
            <w:r>
              <w:rPr>
                <w:rFonts w:asciiTheme="majorEastAsia" w:eastAsiaTheme="majorEastAsia" w:hAnsiTheme="majorEastAsia"/>
                <w:sz w:val="24"/>
                <w:szCs w:val="24"/>
              </w:rPr>
              <w:t>1</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12</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8</w:t>
            </w:r>
          </w:p>
        </w:tc>
        <w:tc>
          <w:tcPr>
            <w:tcW w:w="1087" w:type="dxa"/>
            <w:tcBorders>
              <w:top w:val="nil"/>
              <w:left w:val="nil"/>
              <w:bottom w:val="single" w:sz="4" w:space="0" w:color="auto"/>
              <w:right w:val="single" w:sz="4" w:space="0" w:color="auto"/>
            </w:tcBorders>
            <w:shd w:val="clear" w:color="auto" w:fill="auto"/>
            <w:noWrap/>
            <w:vAlign w:val="center"/>
            <w:hideMark/>
          </w:tcPr>
          <w:p w:rsidR="00390ECE" w:rsidRPr="008C0FD3" w:rsidRDefault="00390ECE" w:rsidP="00C01CFC">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sidRPr="00D40B48">
              <w:rPr>
                <w:rFonts w:asciiTheme="majorEastAsia" w:eastAsiaTheme="majorEastAsia" w:hAnsiTheme="majorEastAsia"/>
                <w:sz w:val="24"/>
                <w:szCs w:val="24"/>
              </w:rPr>
              <w:t xml:space="preserve">  7</w:t>
            </w:r>
            <w:r>
              <w:rPr>
                <w:rFonts w:asciiTheme="majorEastAsia" w:eastAsiaTheme="majorEastAsia" w:hAnsiTheme="majorEastAsia" w:hint="eastAsia"/>
                <w:sz w:val="24"/>
                <w:szCs w:val="24"/>
              </w:rPr>
              <w:t>.</w:t>
            </w:r>
            <w:r w:rsidRPr="00D40B48">
              <w:rPr>
                <w:rFonts w:asciiTheme="majorEastAsia" w:eastAsiaTheme="majorEastAsia" w:hAnsiTheme="majorEastAsia"/>
                <w:sz w:val="24"/>
                <w:szCs w:val="24"/>
              </w:rPr>
              <w:t>8</w:t>
            </w:r>
          </w:p>
        </w:tc>
        <w:tc>
          <w:tcPr>
            <w:tcW w:w="1086" w:type="dxa"/>
            <w:tcBorders>
              <w:top w:val="nil"/>
              <w:left w:val="nil"/>
              <w:bottom w:val="single" w:sz="4" w:space="0" w:color="auto"/>
              <w:right w:val="single" w:sz="4" w:space="0" w:color="auto"/>
            </w:tcBorders>
            <w:vAlign w:val="center"/>
          </w:tcPr>
          <w:p w:rsidR="00390ECE" w:rsidRPr="008C0FD3"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1,2</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2,9</w:t>
            </w:r>
          </w:p>
        </w:tc>
        <w:tc>
          <w:tcPr>
            <w:tcW w:w="1087" w:type="dxa"/>
            <w:tcBorders>
              <w:top w:val="nil"/>
              <w:left w:val="nil"/>
              <w:bottom w:val="single" w:sz="4" w:space="0" w:color="auto"/>
              <w:right w:val="single" w:sz="4" w:space="0" w:color="auto"/>
            </w:tcBorders>
            <w:vAlign w:val="center"/>
          </w:tcPr>
          <w:p w:rsidR="00390ECE" w:rsidRDefault="00390ECE" w:rsidP="00C01CFC">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5,7</w:t>
            </w:r>
          </w:p>
        </w:tc>
      </w:tr>
    </w:tbl>
    <w:p w:rsidR="00390ECE" w:rsidRDefault="00390ECE" w:rsidP="00390ECE">
      <w:pPr>
        <w:tabs>
          <w:tab w:val="left" w:pos="1320"/>
        </w:tabs>
        <w:ind w:leftChars="-135" w:left="1" w:hangingChars="142" w:hanging="284"/>
        <w:rPr>
          <w:rFonts w:asciiTheme="majorEastAsia" w:eastAsiaTheme="majorEastAsia" w:hAnsiTheme="majorEastAsia"/>
          <w:sz w:val="20"/>
          <w:szCs w:val="20"/>
        </w:rPr>
      </w:pPr>
    </w:p>
    <w:p w:rsidR="00390ECE" w:rsidRPr="00897E39" w:rsidRDefault="00390ECE" w:rsidP="00390ECE">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390ECE" w:rsidRDefault="00390ECE" w:rsidP="00390ECE">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ab/>
      </w:r>
    </w:p>
    <w:p w:rsidR="00390ECE" w:rsidRDefault="00390ECE" w:rsidP="00390ECE">
      <w:pPr>
        <w:tabs>
          <w:tab w:val="left" w:pos="1276"/>
        </w:tabs>
        <w:jc w:val="center"/>
        <w:rPr>
          <w:rFonts w:asciiTheme="majorEastAsia" w:eastAsiaTheme="majorEastAsia" w:hAnsiTheme="majorEastAsia"/>
          <w:b/>
          <w:sz w:val="24"/>
          <w:szCs w:val="24"/>
        </w:rPr>
      </w:pPr>
    </w:p>
    <w:p w:rsidR="00390ECE" w:rsidRPr="0014016E" w:rsidRDefault="00390ECE" w:rsidP="00390ECE">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t>製造業指数(%)</w:t>
      </w:r>
    </w:p>
    <w:tbl>
      <w:tblPr>
        <w:tblStyle w:val="a3"/>
        <w:tblW w:w="10363" w:type="dxa"/>
        <w:tblInd w:w="-34" w:type="dxa"/>
        <w:tblLook w:val="04A0" w:firstRow="1" w:lastRow="0" w:firstColumn="1" w:lastColumn="0" w:noHBand="0" w:noVBand="1"/>
      </w:tblPr>
      <w:tblGrid>
        <w:gridCol w:w="2317"/>
        <w:gridCol w:w="1341"/>
        <w:gridCol w:w="1341"/>
        <w:gridCol w:w="1341"/>
        <w:gridCol w:w="1341"/>
        <w:gridCol w:w="1341"/>
        <w:gridCol w:w="1341"/>
      </w:tblGrid>
      <w:tr w:rsidR="00390ECE" w:rsidRPr="00713FF7" w:rsidTr="00C01CFC">
        <w:tc>
          <w:tcPr>
            <w:tcW w:w="2317" w:type="dxa"/>
            <w:shd w:val="clear" w:color="auto" w:fill="auto"/>
          </w:tcPr>
          <w:p w:rsidR="00390ECE" w:rsidRPr="00713FF7" w:rsidRDefault="00390ECE" w:rsidP="00C01CFC">
            <w:pPr>
              <w:tabs>
                <w:tab w:val="left" w:pos="1276"/>
              </w:tabs>
              <w:ind w:left="-546"/>
              <w:jc w:val="center"/>
              <w:rPr>
                <w:rFonts w:asciiTheme="majorEastAsia" w:eastAsiaTheme="majorEastAsia" w:hAnsiTheme="majorEastAsia"/>
                <w:sz w:val="24"/>
                <w:szCs w:val="24"/>
              </w:rPr>
            </w:pPr>
          </w:p>
        </w:tc>
        <w:tc>
          <w:tcPr>
            <w:tcW w:w="1341" w:type="dxa"/>
          </w:tcPr>
          <w:p w:rsidR="00390ECE" w:rsidRDefault="00390ECE" w:rsidP="00C01CF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341" w:type="dxa"/>
          </w:tcPr>
          <w:p w:rsidR="00390ECE" w:rsidRDefault="00390ECE" w:rsidP="00C01CF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341" w:type="dxa"/>
          </w:tcPr>
          <w:p w:rsidR="00390ECE" w:rsidRDefault="00390ECE" w:rsidP="00C01CF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341" w:type="dxa"/>
          </w:tcPr>
          <w:p w:rsidR="00390ECE" w:rsidRDefault="00390ECE" w:rsidP="00C01CF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341" w:type="dxa"/>
          </w:tcPr>
          <w:p w:rsidR="00390ECE" w:rsidRDefault="00390ECE" w:rsidP="00C01CF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341" w:type="dxa"/>
          </w:tcPr>
          <w:p w:rsidR="00390ECE" w:rsidRDefault="00390ECE" w:rsidP="00C01CFC">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-5.25</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2.16</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-5.96</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-4.56</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-4.01</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-7.25</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-11.21</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-10.06</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-4.49</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-22.57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-11.94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20.17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23.58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23.96</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-10.31</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-10.84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-12.01</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5.98</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-12.33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-13.16</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-12.71</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-11.02</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-18.68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-17.96</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-4.37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8.24</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-9.21</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r>
      <w:tr w:rsidR="00390ECE" w:rsidRPr="00713FF7" w:rsidTr="00C01CFC">
        <w:tc>
          <w:tcPr>
            <w:tcW w:w="2317" w:type="dxa"/>
            <w:shd w:val="clear" w:color="auto" w:fill="auto"/>
          </w:tcPr>
          <w:p w:rsidR="00390ECE" w:rsidRPr="00B777D6" w:rsidRDefault="00390ECE" w:rsidP="00C01CFC">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-0.86</w:t>
            </w:r>
          </w:p>
        </w:tc>
      </w:tr>
      <w:tr w:rsidR="00390ECE" w:rsidRPr="00713FF7" w:rsidTr="00C01CFC">
        <w:tc>
          <w:tcPr>
            <w:tcW w:w="2317" w:type="dxa"/>
            <w:shd w:val="clear" w:color="auto" w:fill="auto"/>
          </w:tcPr>
          <w:p w:rsidR="00390ECE" w:rsidRPr="00B777D6" w:rsidRDefault="00390ECE" w:rsidP="00C01CFC">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-0.90</w:t>
            </w:r>
          </w:p>
        </w:tc>
      </w:tr>
      <w:tr w:rsidR="00390ECE" w:rsidRPr="00713FF7" w:rsidTr="00C01CFC">
        <w:tc>
          <w:tcPr>
            <w:tcW w:w="2317" w:type="dxa"/>
            <w:shd w:val="clear" w:color="auto" w:fill="auto"/>
          </w:tcPr>
          <w:p w:rsidR="00390ECE" w:rsidRPr="00B777D6" w:rsidRDefault="00390ECE" w:rsidP="00C01CFC">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77.75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52.32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78.02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56.90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35.19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24.48</w:t>
            </w:r>
          </w:p>
        </w:tc>
      </w:tr>
      <w:tr w:rsidR="00390ECE" w:rsidRPr="00713FF7" w:rsidTr="00C01CFC">
        <w:tc>
          <w:tcPr>
            <w:tcW w:w="2317" w:type="dxa"/>
            <w:shd w:val="clear" w:color="auto" w:fill="auto"/>
          </w:tcPr>
          <w:p w:rsidR="00390ECE" w:rsidRPr="00B777D6" w:rsidRDefault="00390ECE" w:rsidP="00C01CFC">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-22.01</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-15.00</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-14.45</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-14.76</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-8.85</w:t>
            </w:r>
          </w:p>
        </w:tc>
      </w:tr>
      <w:tr w:rsidR="00390ECE" w:rsidRPr="00713FF7" w:rsidTr="00C01CFC">
        <w:tc>
          <w:tcPr>
            <w:tcW w:w="2317" w:type="dxa"/>
            <w:shd w:val="clear" w:color="auto" w:fill="auto"/>
          </w:tcPr>
          <w:p w:rsidR="00390ECE" w:rsidRPr="00B777D6" w:rsidRDefault="00390ECE" w:rsidP="00C01CFC">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13.92</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17.24</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13.49</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2.73</w:t>
            </w:r>
          </w:p>
        </w:tc>
        <w:tc>
          <w:tcPr>
            <w:tcW w:w="1341" w:type="dxa"/>
          </w:tcPr>
          <w:p w:rsidR="00390ECE" w:rsidRDefault="00390ECE" w:rsidP="00C01CFC">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r>
    </w:tbl>
    <w:p w:rsidR="00390ECE" w:rsidRDefault="00390ECE" w:rsidP="00390ECE">
      <w:pPr>
        <w:tabs>
          <w:tab w:val="left" w:pos="1276"/>
        </w:tabs>
        <w:ind w:left="1680" w:hanging="1680"/>
        <w:jc w:val="left"/>
        <w:rPr>
          <w:rFonts w:asciiTheme="majorEastAsia" w:eastAsiaTheme="majorEastAsia" w:hAnsiTheme="majorEastAsia"/>
          <w:sz w:val="20"/>
          <w:szCs w:val="20"/>
        </w:rPr>
      </w:pPr>
    </w:p>
    <w:p w:rsidR="00390ECE" w:rsidRPr="00B555C5" w:rsidRDefault="00390ECE" w:rsidP="00390ECE">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390ECE" w:rsidRPr="00903440" w:rsidRDefault="00390ECE" w:rsidP="00390ECE">
      <w:pPr>
        <w:rPr>
          <w:rFonts w:asciiTheme="majorEastAsia" w:eastAsiaTheme="majorEastAsia" w:hAnsiTheme="majorEastAsia"/>
          <w:sz w:val="24"/>
          <w:szCs w:val="24"/>
          <w:lang w:eastAsia="zh-TW"/>
        </w:rPr>
      </w:pPr>
    </w:p>
    <w:p w:rsidR="00390ECE" w:rsidRPr="00903440" w:rsidRDefault="00390ECE" w:rsidP="00390ECE">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sectPr w:rsidR="00390ECE" w:rsidRPr="00903440" w:rsidSect="00D93620">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FC" w:rsidRDefault="00C01CFC" w:rsidP="00A94279">
      <w:r>
        <w:separator/>
      </w:r>
    </w:p>
  </w:endnote>
  <w:endnote w:type="continuationSeparator" w:id="0">
    <w:p w:rsidR="00C01CFC" w:rsidRDefault="00C01CFC"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C01CFC" w:rsidRDefault="00C01CFC">
        <w:pPr>
          <w:pStyle w:val="a6"/>
          <w:jc w:val="center"/>
        </w:pPr>
        <w:r>
          <w:fldChar w:fldCharType="begin"/>
        </w:r>
        <w:r>
          <w:instrText>PAGE   \* MERGEFORMAT</w:instrText>
        </w:r>
        <w:r>
          <w:fldChar w:fldCharType="separate"/>
        </w:r>
        <w:r w:rsidR="006A443B" w:rsidRPr="006A443B">
          <w:rPr>
            <w:noProof/>
            <w:lang w:val="ja-JP"/>
          </w:rPr>
          <w:t>1</w:t>
        </w:r>
        <w:r>
          <w:fldChar w:fldCharType="end"/>
        </w:r>
      </w:p>
    </w:sdtContent>
  </w:sdt>
  <w:p w:rsidR="00C01CFC" w:rsidRDefault="00C01C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FC" w:rsidRDefault="00C01CFC" w:rsidP="00A94279">
      <w:r>
        <w:separator/>
      </w:r>
    </w:p>
  </w:footnote>
  <w:footnote w:type="continuationSeparator" w:id="0">
    <w:p w:rsidR="00C01CFC" w:rsidRDefault="00C01CFC"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21261"/>
    <w:rsid w:val="0003357F"/>
    <w:rsid w:val="00041CD4"/>
    <w:rsid w:val="00066A12"/>
    <w:rsid w:val="0007293B"/>
    <w:rsid w:val="0009085D"/>
    <w:rsid w:val="000917B6"/>
    <w:rsid w:val="00094C35"/>
    <w:rsid w:val="000A5809"/>
    <w:rsid w:val="000B144E"/>
    <w:rsid w:val="000D05B1"/>
    <w:rsid w:val="000D2B21"/>
    <w:rsid w:val="000E5786"/>
    <w:rsid w:val="000F4A14"/>
    <w:rsid w:val="000F659B"/>
    <w:rsid w:val="00111C0F"/>
    <w:rsid w:val="00113825"/>
    <w:rsid w:val="00114C87"/>
    <w:rsid w:val="001229A7"/>
    <w:rsid w:val="0012521F"/>
    <w:rsid w:val="0012591A"/>
    <w:rsid w:val="00133E3B"/>
    <w:rsid w:val="0013489D"/>
    <w:rsid w:val="00156879"/>
    <w:rsid w:val="0015691A"/>
    <w:rsid w:val="00185A5C"/>
    <w:rsid w:val="0019707B"/>
    <w:rsid w:val="00197D6A"/>
    <w:rsid w:val="001A70F9"/>
    <w:rsid w:val="001B5C3C"/>
    <w:rsid w:val="001B6F75"/>
    <w:rsid w:val="001C22A1"/>
    <w:rsid w:val="001C2CCB"/>
    <w:rsid w:val="001C41D4"/>
    <w:rsid w:val="001C7604"/>
    <w:rsid w:val="001D7C68"/>
    <w:rsid w:val="001E6C8B"/>
    <w:rsid w:val="001F161E"/>
    <w:rsid w:val="001F55ED"/>
    <w:rsid w:val="001F6182"/>
    <w:rsid w:val="00204C7E"/>
    <w:rsid w:val="00212995"/>
    <w:rsid w:val="0022636F"/>
    <w:rsid w:val="0022670A"/>
    <w:rsid w:val="002432C0"/>
    <w:rsid w:val="002543DA"/>
    <w:rsid w:val="00257303"/>
    <w:rsid w:val="00257917"/>
    <w:rsid w:val="00260C5E"/>
    <w:rsid w:val="00263394"/>
    <w:rsid w:val="0026569B"/>
    <w:rsid w:val="00271845"/>
    <w:rsid w:val="00282E52"/>
    <w:rsid w:val="00285A60"/>
    <w:rsid w:val="002950EF"/>
    <w:rsid w:val="002A2A5C"/>
    <w:rsid w:val="002B0C60"/>
    <w:rsid w:val="002B1F76"/>
    <w:rsid w:val="002B3AC8"/>
    <w:rsid w:val="002B464C"/>
    <w:rsid w:val="002B5C01"/>
    <w:rsid w:val="002C1E94"/>
    <w:rsid w:val="002E085E"/>
    <w:rsid w:val="002E70B2"/>
    <w:rsid w:val="00305C6D"/>
    <w:rsid w:val="00322311"/>
    <w:rsid w:val="00327064"/>
    <w:rsid w:val="0033106A"/>
    <w:rsid w:val="00367309"/>
    <w:rsid w:val="00370C0D"/>
    <w:rsid w:val="00371F6C"/>
    <w:rsid w:val="00373629"/>
    <w:rsid w:val="00375F3C"/>
    <w:rsid w:val="00377A54"/>
    <w:rsid w:val="00390ECE"/>
    <w:rsid w:val="00394AB1"/>
    <w:rsid w:val="003A7C84"/>
    <w:rsid w:val="003B5D15"/>
    <w:rsid w:val="003C23A5"/>
    <w:rsid w:val="003C3B0C"/>
    <w:rsid w:val="003C7473"/>
    <w:rsid w:val="003D2312"/>
    <w:rsid w:val="003D2E49"/>
    <w:rsid w:val="003E0DA2"/>
    <w:rsid w:val="00401203"/>
    <w:rsid w:val="0040174A"/>
    <w:rsid w:val="00404064"/>
    <w:rsid w:val="0041060A"/>
    <w:rsid w:val="00416342"/>
    <w:rsid w:val="004234FF"/>
    <w:rsid w:val="00435ED6"/>
    <w:rsid w:val="00442CBE"/>
    <w:rsid w:val="00453CD8"/>
    <w:rsid w:val="00455A83"/>
    <w:rsid w:val="0045644A"/>
    <w:rsid w:val="004620AF"/>
    <w:rsid w:val="00464148"/>
    <w:rsid w:val="00465BFA"/>
    <w:rsid w:val="00475C5F"/>
    <w:rsid w:val="00476736"/>
    <w:rsid w:val="0048112F"/>
    <w:rsid w:val="00493E30"/>
    <w:rsid w:val="00494934"/>
    <w:rsid w:val="00497F2D"/>
    <w:rsid w:val="004B2EC2"/>
    <w:rsid w:val="004B48A1"/>
    <w:rsid w:val="004B4DC2"/>
    <w:rsid w:val="004C1107"/>
    <w:rsid w:val="004D4594"/>
    <w:rsid w:val="004E59D2"/>
    <w:rsid w:val="004E651A"/>
    <w:rsid w:val="004E7313"/>
    <w:rsid w:val="004F3417"/>
    <w:rsid w:val="004F5D22"/>
    <w:rsid w:val="0050771F"/>
    <w:rsid w:val="00514DBD"/>
    <w:rsid w:val="00516F9D"/>
    <w:rsid w:val="00517352"/>
    <w:rsid w:val="00520751"/>
    <w:rsid w:val="005220C2"/>
    <w:rsid w:val="005246C9"/>
    <w:rsid w:val="00524D4E"/>
    <w:rsid w:val="00534308"/>
    <w:rsid w:val="00541E5C"/>
    <w:rsid w:val="005435AD"/>
    <w:rsid w:val="005441D9"/>
    <w:rsid w:val="005503EF"/>
    <w:rsid w:val="00551072"/>
    <w:rsid w:val="00556528"/>
    <w:rsid w:val="00564479"/>
    <w:rsid w:val="005776C1"/>
    <w:rsid w:val="005905F4"/>
    <w:rsid w:val="00594ADF"/>
    <w:rsid w:val="005A23C0"/>
    <w:rsid w:val="005A2989"/>
    <w:rsid w:val="005B756E"/>
    <w:rsid w:val="005C06AC"/>
    <w:rsid w:val="005C755F"/>
    <w:rsid w:val="005C77F2"/>
    <w:rsid w:val="005E0A46"/>
    <w:rsid w:val="005E7D1C"/>
    <w:rsid w:val="005F4348"/>
    <w:rsid w:val="00603A9B"/>
    <w:rsid w:val="00623A56"/>
    <w:rsid w:val="00624556"/>
    <w:rsid w:val="00631EF6"/>
    <w:rsid w:val="006348E9"/>
    <w:rsid w:val="00677632"/>
    <w:rsid w:val="00682A54"/>
    <w:rsid w:val="006854CC"/>
    <w:rsid w:val="00692F56"/>
    <w:rsid w:val="006A01C2"/>
    <w:rsid w:val="006A3730"/>
    <w:rsid w:val="006A443B"/>
    <w:rsid w:val="006A764B"/>
    <w:rsid w:val="006B2252"/>
    <w:rsid w:val="006C2E57"/>
    <w:rsid w:val="006C5A35"/>
    <w:rsid w:val="006C6A6B"/>
    <w:rsid w:val="006E68DE"/>
    <w:rsid w:val="006F4BE2"/>
    <w:rsid w:val="006F5B81"/>
    <w:rsid w:val="00703628"/>
    <w:rsid w:val="00712FD9"/>
    <w:rsid w:val="00713FF7"/>
    <w:rsid w:val="007263FD"/>
    <w:rsid w:val="00735406"/>
    <w:rsid w:val="00744656"/>
    <w:rsid w:val="0074678E"/>
    <w:rsid w:val="00746EDA"/>
    <w:rsid w:val="00754603"/>
    <w:rsid w:val="00757454"/>
    <w:rsid w:val="00760BFF"/>
    <w:rsid w:val="00762F0C"/>
    <w:rsid w:val="00766D67"/>
    <w:rsid w:val="00774D25"/>
    <w:rsid w:val="00777BFF"/>
    <w:rsid w:val="00783C14"/>
    <w:rsid w:val="00787A49"/>
    <w:rsid w:val="0079060A"/>
    <w:rsid w:val="007A24D4"/>
    <w:rsid w:val="007A4E1B"/>
    <w:rsid w:val="007B170F"/>
    <w:rsid w:val="007B5EC9"/>
    <w:rsid w:val="007C169E"/>
    <w:rsid w:val="007C31E2"/>
    <w:rsid w:val="007D02F2"/>
    <w:rsid w:val="007D0AD2"/>
    <w:rsid w:val="007D6289"/>
    <w:rsid w:val="007D7CF1"/>
    <w:rsid w:val="007F17DE"/>
    <w:rsid w:val="007F3113"/>
    <w:rsid w:val="0080298C"/>
    <w:rsid w:val="00811431"/>
    <w:rsid w:val="008175A7"/>
    <w:rsid w:val="00820670"/>
    <w:rsid w:val="008300D3"/>
    <w:rsid w:val="00840799"/>
    <w:rsid w:val="00850E5E"/>
    <w:rsid w:val="008556D1"/>
    <w:rsid w:val="00867BF1"/>
    <w:rsid w:val="00867C24"/>
    <w:rsid w:val="00873ECE"/>
    <w:rsid w:val="0088032C"/>
    <w:rsid w:val="00882C0E"/>
    <w:rsid w:val="00897E39"/>
    <w:rsid w:val="008A6889"/>
    <w:rsid w:val="008A69A2"/>
    <w:rsid w:val="008A6C56"/>
    <w:rsid w:val="008B1612"/>
    <w:rsid w:val="008B6396"/>
    <w:rsid w:val="008C03AD"/>
    <w:rsid w:val="008C2E74"/>
    <w:rsid w:val="008C3757"/>
    <w:rsid w:val="008C40DB"/>
    <w:rsid w:val="008D1233"/>
    <w:rsid w:val="008D3D37"/>
    <w:rsid w:val="008E12F7"/>
    <w:rsid w:val="008E5054"/>
    <w:rsid w:val="008E57D9"/>
    <w:rsid w:val="008F3591"/>
    <w:rsid w:val="008F7BC6"/>
    <w:rsid w:val="00900E10"/>
    <w:rsid w:val="00903440"/>
    <w:rsid w:val="00911110"/>
    <w:rsid w:val="00930BCE"/>
    <w:rsid w:val="0093309B"/>
    <w:rsid w:val="00940965"/>
    <w:rsid w:val="00943F2E"/>
    <w:rsid w:val="00951138"/>
    <w:rsid w:val="00951FCA"/>
    <w:rsid w:val="00955952"/>
    <w:rsid w:val="00956134"/>
    <w:rsid w:val="009600FF"/>
    <w:rsid w:val="009603AF"/>
    <w:rsid w:val="0096761D"/>
    <w:rsid w:val="00970B09"/>
    <w:rsid w:val="009725D8"/>
    <w:rsid w:val="009728F2"/>
    <w:rsid w:val="0097322B"/>
    <w:rsid w:val="00973BBD"/>
    <w:rsid w:val="00980813"/>
    <w:rsid w:val="00984A3C"/>
    <w:rsid w:val="00993558"/>
    <w:rsid w:val="00995BDC"/>
    <w:rsid w:val="00995FD9"/>
    <w:rsid w:val="00996F8B"/>
    <w:rsid w:val="009A39DA"/>
    <w:rsid w:val="009A4FD8"/>
    <w:rsid w:val="009C0239"/>
    <w:rsid w:val="009D267A"/>
    <w:rsid w:val="009E262C"/>
    <w:rsid w:val="00A2197E"/>
    <w:rsid w:val="00A27593"/>
    <w:rsid w:val="00A31119"/>
    <w:rsid w:val="00A3253D"/>
    <w:rsid w:val="00A43E6F"/>
    <w:rsid w:val="00A53D08"/>
    <w:rsid w:val="00A6086F"/>
    <w:rsid w:val="00A61A78"/>
    <w:rsid w:val="00A66F61"/>
    <w:rsid w:val="00A816A5"/>
    <w:rsid w:val="00A91F1B"/>
    <w:rsid w:val="00A94279"/>
    <w:rsid w:val="00AA2869"/>
    <w:rsid w:val="00AB0BDF"/>
    <w:rsid w:val="00AB4A5E"/>
    <w:rsid w:val="00AC382F"/>
    <w:rsid w:val="00AC3BFE"/>
    <w:rsid w:val="00AC4506"/>
    <w:rsid w:val="00AD02F6"/>
    <w:rsid w:val="00AD0B23"/>
    <w:rsid w:val="00AD28B6"/>
    <w:rsid w:val="00AE2EE6"/>
    <w:rsid w:val="00AE68B2"/>
    <w:rsid w:val="00B00CFC"/>
    <w:rsid w:val="00B03F3F"/>
    <w:rsid w:val="00B070E7"/>
    <w:rsid w:val="00B10E46"/>
    <w:rsid w:val="00B134F4"/>
    <w:rsid w:val="00B16323"/>
    <w:rsid w:val="00B2075A"/>
    <w:rsid w:val="00B23B56"/>
    <w:rsid w:val="00B375E2"/>
    <w:rsid w:val="00B37F1C"/>
    <w:rsid w:val="00B47EE1"/>
    <w:rsid w:val="00B555C5"/>
    <w:rsid w:val="00B62814"/>
    <w:rsid w:val="00B67868"/>
    <w:rsid w:val="00B70922"/>
    <w:rsid w:val="00B71505"/>
    <w:rsid w:val="00B777D6"/>
    <w:rsid w:val="00B803EB"/>
    <w:rsid w:val="00B878D2"/>
    <w:rsid w:val="00B9018B"/>
    <w:rsid w:val="00BB4413"/>
    <w:rsid w:val="00BC5CCA"/>
    <w:rsid w:val="00BD0621"/>
    <w:rsid w:val="00BD39DB"/>
    <w:rsid w:val="00BE55E9"/>
    <w:rsid w:val="00BE61B6"/>
    <w:rsid w:val="00BF4E44"/>
    <w:rsid w:val="00C007F5"/>
    <w:rsid w:val="00C01CFC"/>
    <w:rsid w:val="00C02B88"/>
    <w:rsid w:val="00C02D09"/>
    <w:rsid w:val="00C15DF8"/>
    <w:rsid w:val="00C252D1"/>
    <w:rsid w:val="00C277E5"/>
    <w:rsid w:val="00C303D2"/>
    <w:rsid w:val="00C378B2"/>
    <w:rsid w:val="00C4107E"/>
    <w:rsid w:val="00C447C1"/>
    <w:rsid w:val="00C50A28"/>
    <w:rsid w:val="00C540DC"/>
    <w:rsid w:val="00C54BFA"/>
    <w:rsid w:val="00C559B2"/>
    <w:rsid w:val="00C61184"/>
    <w:rsid w:val="00C72D0C"/>
    <w:rsid w:val="00C76BD3"/>
    <w:rsid w:val="00C86CC1"/>
    <w:rsid w:val="00C92132"/>
    <w:rsid w:val="00CA2459"/>
    <w:rsid w:val="00CC320E"/>
    <w:rsid w:val="00CD2574"/>
    <w:rsid w:val="00CD38C0"/>
    <w:rsid w:val="00CD445F"/>
    <w:rsid w:val="00CE0958"/>
    <w:rsid w:val="00CE3A9E"/>
    <w:rsid w:val="00CE6747"/>
    <w:rsid w:val="00CF3621"/>
    <w:rsid w:val="00D00962"/>
    <w:rsid w:val="00D10ACB"/>
    <w:rsid w:val="00D11DD2"/>
    <w:rsid w:val="00D26FF2"/>
    <w:rsid w:val="00D317FC"/>
    <w:rsid w:val="00D350F1"/>
    <w:rsid w:val="00D41302"/>
    <w:rsid w:val="00D47F4F"/>
    <w:rsid w:val="00D56611"/>
    <w:rsid w:val="00D83F69"/>
    <w:rsid w:val="00D93620"/>
    <w:rsid w:val="00D94A20"/>
    <w:rsid w:val="00D950CC"/>
    <w:rsid w:val="00DA1DFB"/>
    <w:rsid w:val="00DA2133"/>
    <w:rsid w:val="00DB508B"/>
    <w:rsid w:val="00DC32EE"/>
    <w:rsid w:val="00DC5E87"/>
    <w:rsid w:val="00DD2DBB"/>
    <w:rsid w:val="00DE0197"/>
    <w:rsid w:val="00DE0B4D"/>
    <w:rsid w:val="00DF30EA"/>
    <w:rsid w:val="00DF37B7"/>
    <w:rsid w:val="00E03061"/>
    <w:rsid w:val="00E032AB"/>
    <w:rsid w:val="00E21FFD"/>
    <w:rsid w:val="00E2590C"/>
    <w:rsid w:val="00E2774F"/>
    <w:rsid w:val="00E3130B"/>
    <w:rsid w:val="00E544CB"/>
    <w:rsid w:val="00E5477A"/>
    <w:rsid w:val="00E70CF5"/>
    <w:rsid w:val="00E732CC"/>
    <w:rsid w:val="00E81125"/>
    <w:rsid w:val="00E836F4"/>
    <w:rsid w:val="00E83CB0"/>
    <w:rsid w:val="00E9501B"/>
    <w:rsid w:val="00EB7C02"/>
    <w:rsid w:val="00EC0EA3"/>
    <w:rsid w:val="00EC2B28"/>
    <w:rsid w:val="00EC606D"/>
    <w:rsid w:val="00ED14D6"/>
    <w:rsid w:val="00ED2934"/>
    <w:rsid w:val="00EE587C"/>
    <w:rsid w:val="00EE6BE2"/>
    <w:rsid w:val="00F00B66"/>
    <w:rsid w:val="00F00F52"/>
    <w:rsid w:val="00F041DE"/>
    <w:rsid w:val="00F1196D"/>
    <w:rsid w:val="00F214A0"/>
    <w:rsid w:val="00F231BE"/>
    <w:rsid w:val="00F31341"/>
    <w:rsid w:val="00F316EA"/>
    <w:rsid w:val="00F32D15"/>
    <w:rsid w:val="00F33936"/>
    <w:rsid w:val="00F33DCB"/>
    <w:rsid w:val="00F4701B"/>
    <w:rsid w:val="00F47DAD"/>
    <w:rsid w:val="00F47F1E"/>
    <w:rsid w:val="00F56800"/>
    <w:rsid w:val="00F62281"/>
    <w:rsid w:val="00F66008"/>
    <w:rsid w:val="00F71255"/>
    <w:rsid w:val="00F734C9"/>
    <w:rsid w:val="00F77A6B"/>
    <w:rsid w:val="00F8396A"/>
    <w:rsid w:val="00F83ACA"/>
    <w:rsid w:val="00F86D6E"/>
    <w:rsid w:val="00FB6EFC"/>
    <w:rsid w:val="00FC505C"/>
    <w:rsid w:val="00FE5B0A"/>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438D8-8222-41E1-90F5-CBFE9DA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3441</Characters>
  <Application>Microsoft Office Word</Application>
  <DocSecurity>0</DocSecurity>
  <Lines>28</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2014-07-14T20:15:00Z</cp:lastPrinted>
  <dcterms:created xsi:type="dcterms:W3CDTF">2014-07-16T11:39:00Z</dcterms:created>
  <dcterms:modified xsi:type="dcterms:W3CDTF">2014-07-16T11:39:00Z</dcterms:modified>
</cp:coreProperties>
</file>