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4A" w:rsidRDefault="00CA494A" w:rsidP="00CA494A">
      <w:pPr>
        <w:jc w:val="center"/>
        <w:rPr>
          <w:rFonts w:hint="eastAsia"/>
        </w:rPr>
      </w:pPr>
      <w:r>
        <w:rPr>
          <w:rFonts w:hint="eastAsia"/>
        </w:rPr>
        <w:t>パナマ経済（２０１４年６月）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２０１４年６月のパナマ経済の主な動き</w:t>
      </w:r>
      <w:r>
        <w:rPr>
          <w:rFonts w:hint="eastAsia"/>
        </w:rPr>
        <w:t>は</w:t>
      </w:r>
      <w:r>
        <w:rPr>
          <w:rFonts w:hint="eastAsia"/>
        </w:rPr>
        <w:t>以下の通り。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主な出来事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●１０日、世界銀行は、最新の「２０１４年世界経済見通し」を発表し、同年のパナマの　経済成長率を前回の７．３％から６．８％に下方修正した。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●２７日、金融活動作業部会（ＦＡＴＦ）は、マネーロンダリング及びテロ資金供与撲滅　（ＡＭＬ／ＣＦＴ）対策が不十分な国としてパナマをグレーリストに掲載した。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●会計検査院によると、第１四半期の実質ＧＤＰは、８６億３，６４０万ドル（前年同期　比５．８％増）に達した。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●３０日、イスラエルとの二重課税防止条約が発効した。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１．経済一般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（１）ラ米の都市投資魅力度指数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コロンビアのロサリオ大学競争力戦略考察センターとチリの</w:t>
      </w:r>
      <w:proofErr w:type="spellStart"/>
      <w:r>
        <w:rPr>
          <w:rFonts w:hint="eastAsia"/>
        </w:rPr>
        <w:t>Inteligencia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Negocios</w:t>
      </w:r>
      <w:proofErr w:type="spellEnd"/>
      <w:r>
        <w:rPr>
          <w:rFonts w:hint="eastAsia"/>
        </w:rPr>
        <w:t>社がラ米の都市投資魅力度指数ランキングを発表し、パナマシティは７１．４点でサンティアゴ、サンパウロ、メキシコシティ、ボゴタ、リマ、モンテレーに次いで第７位となった。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（２）コパ航空のモントリオール～パナマシティ間直行便の就航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３日、コパ航空は、同日モントリオール～パナマシティ間直行便が初就航したと発表した。今後週４便体制で運航する。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（３）１～５月期の新車販売台数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パナマ自動車販売業協会によると、１～５月期の新車販売台数は２３，７２１台（前年同期比５．９％増）に達した。１位トヨタ（５，８８３台、同２５．５％増）、２位現代（４，０８６台、同１３．０％減）、３位起亜（３，７０８台、同２９．４％増）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（４）１～５月期のコロン・フリーゾーンの取扱額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コロン・フリーゾーン庁は、１～５月期の同フリーゾーンの取扱額が、輸入４１億７，１００万ドル（前年同期比２０．０％減）、再輸出４９億３，４４０万ドル（同１７．１％減）の計９１億５４０万ドル（同１８．５％減）に減少したと発表した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（５）第１四半期の海外送金額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会計検査院によると、第１四半期のパナマからの海外送金額が１億８，２０３万ドル（前年同期比８．５％増）に達した。主な海外送金先はコロンビア、中国、ニカラグア、ドミ</w:t>
      </w:r>
      <w:r>
        <w:rPr>
          <w:rFonts w:hint="eastAsia"/>
        </w:rPr>
        <w:lastRenderedPageBreak/>
        <w:t>ニカ共和国、米国など。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（６）１～４月期の建設・増築・改築額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会計検査院によると、１～４月期の建設・増築・改築総額は６億５，２２０万ドル（前年同期比２３．８％増）に達した。住宅部門が３億２６５万ドル（同６．３％減）に減少した一方、非住宅部門は３億４，９５５万ドル（同７１．６％増）に増加した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（７）１～４月期のパナマ国内港湾におけるコンテナ取扱高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海運庁によると、１～４月期のパナマ国内港湾におけるコンテナ取扱高は２１８万９，７５６ＴＥＵ（前年同期比５．３％増）に達した。主な港別の内訳は以下の通り。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バルボア港：　　　９９万５，８９３ＴＥＵ（同　３．１％増）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マンサニージョ港：６６万　　４６８ＴＥＵ（同　２．１％増）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クリストバル港：　２５万６，６３４ＴＥＵ（同２０．０％増）</w:t>
      </w:r>
    </w:p>
    <w:p w:rsidR="00CA494A" w:rsidRDefault="00CA494A" w:rsidP="00CA494A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ＣＣＴ：　　　　　１８万６，２７８ＴＥＵ（同　９．６％減）</w:t>
      </w:r>
    </w:p>
    <w:p w:rsidR="00CA494A" w:rsidRDefault="00CA494A" w:rsidP="00CA494A">
      <w:pPr>
        <w:rPr>
          <w:lang w:eastAsia="zh-TW"/>
        </w:rPr>
      </w:pP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（８）ＣＥＰＡＬによる２０１３年のラ米・カリブのコンテナ取扱高ランキング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２５日、ＣＥＰＡＬは、２０１３年のラ米・カリブのコンテナ取扱高ランキングを発表し、コロン港（マンサニージョ港、クリストバル港、ＣＣＴ）が３３７万４，００９ＴＥＵ（前年比４．１％減）で１位を維持、２位は３２２万１，３４８ＴＥＵ（同８．８％増）のサントス港で、バルボア港が３１８万７，３８７ＴＥＵ（同３．５％減）で３位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（９）１～５月期のパナマ訪問者数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観光庁によると、１～５月期のパナマ訪問者数は１００万５，３８６人（前年同期比３．５％増）に達した。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（１０）４月末時点のパナマ国際銀行センターの資産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銀行監督庁は、４月末時点のパナマ国際銀行センター（パナマ国内の全銀行）の資産が９９４億２，２１７万ドル（前年同時点比５．５％増）に達したと発表した。好調な経済によって貸出しが増加したことが主な要因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（１１）金融活動作業部会のグレーリストへの掲載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２７日、金融活動作業部会（ＦＡＴＦ）は、マネーロンダリング及びテロ資金供与撲滅（ＡＭＬ／ＣＦＴ）基準に関するコンプライアンスの見直しを行い、パナマがＡＭＬ／ＣＦＴ対策が不十分な国としてグレーリストに掲載された。これを受けパナマは、ＦＡＴＦ及び南米金融活動作業部会（ＧＡＦＩＳＵＤ）と共に戦略的なＡＭＬ／ＣＦＴの不備を是正するとの政治的コミットメントをした。</w:t>
      </w:r>
    </w:p>
    <w:p w:rsidR="00CA494A" w:rsidRDefault="00CA494A" w:rsidP="00CA494A"/>
    <w:p w:rsidR="00CA494A" w:rsidRDefault="00CA494A" w:rsidP="00CA494A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２．通商、自由貿易協定、国際経済関連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（１）メキシコとのＦＴＡに関する法案の第１読会の通過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メキシコとのＦＴＡに関する法案が、第１読会を通過した。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（２）イスラエルとの二重課税防止条約の発効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３０日、イスラエルとの二重課税防止条約が発効した。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３．パナマ運河及びインフラ関連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（１）チャンギノーラⅡ水力発電所の入札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５日、伯ノルベルト・オデブレヒト社の子会社オデブレヒト・エナジー・ルクセンブルク社は、チャンギノーラⅡ水力発電所の建設工事を１１億４００万ドルで落札した。発電能力は２１３．６ＭＷ。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（２）パナマ運河拡張工事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１０日、パナマ運河庁は、５月末時点の運河拡張工事の全体進捗率が７６．３％に達したと発表した。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４．経済指標、経済見通し等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（１）４月の基礎食料品バスケット価格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経済財務省は、４月の基礎食料品バスケット価格が３３９．８８ドル（前年同月比４．１％増）に達したと発表した。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（２）世界銀行による「２０１４年世界経済見通し」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１０日、世界銀行は、最新の「２０１４年世界経済見通し」を発表し、同年のパナマの経済成長率を前回の７．３％から６．８％に下方修正したが、ラ米・カリブで最も高い成長率となると予測した。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（３）５月の消費者物価指数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会計検査院によると、５月の消費者物価指数は前年同月比３．２％増加した。主な増加項目は、教育費（４．８％増）、食料品（４．７％増）、医療（３．７％増）、住居費（３．５％増）など。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（４）第１四半期の海外直接投資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会計検査院によると、第１四半期の海外直接投資は１２億６，４１０万ドル（前年同期比２．１％増）に達した。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（５）１～４月期の月例経済活動指数</w:t>
      </w:r>
    </w:p>
    <w:p w:rsidR="00CA494A" w:rsidRDefault="00CA494A" w:rsidP="00CA494A">
      <w:pPr>
        <w:rPr>
          <w:rFonts w:hint="eastAsia"/>
        </w:rPr>
      </w:pPr>
      <w:r>
        <w:rPr>
          <w:rFonts w:hint="eastAsia"/>
        </w:rPr>
        <w:t>会計検査院は、１～４月期の月例経済活動指数が前年同期比３．９１％増加したと発表した。</w:t>
      </w:r>
    </w:p>
    <w:p w:rsidR="00CA494A" w:rsidRDefault="00CA494A" w:rsidP="00CA494A"/>
    <w:p w:rsidR="00CA494A" w:rsidRDefault="00CA494A" w:rsidP="00CA494A">
      <w:pPr>
        <w:rPr>
          <w:rFonts w:hint="eastAsia"/>
        </w:rPr>
      </w:pPr>
      <w:r>
        <w:rPr>
          <w:rFonts w:hint="eastAsia"/>
        </w:rPr>
        <w:t>（６）第１四半期の実質ＧＤＰ</w:t>
      </w:r>
    </w:p>
    <w:p w:rsidR="00C948C7" w:rsidRDefault="00CA494A" w:rsidP="00CA494A">
      <w:r>
        <w:rPr>
          <w:rFonts w:hint="eastAsia"/>
        </w:rPr>
        <w:t>会計検査院によると、第１四半期の実質ＧＤＰは、８６億３，６４０万ドル（前年同期比５．８％増）に達した。</w:t>
      </w:r>
      <w:bookmarkStart w:id="0" w:name="_GoBack"/>
      <w:bookmarkEnd w:id="0"/>
      <w:r>
        <w:rPr>
          <w:rFonts w:hint="eastAsia"/>
        </w:rPr>
        <w:t>（了）</w:t>
      </w:r>
    </w:p>
    <w:sectPr w:rsidR="00C94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A"/>
    <w:rsid w:val="00C948C7"/>
    <w:rsid w:val="00C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1</cp:revision>
  <dcterms:created xsi:type="dcterms:W3CDTF">2014-07-16T11:23:00Z</dcterms:created>
  <dcterms:modified xsi:type="dcterms:W3CDTF">2014-07-16T11:29:00Z</dcterms:modified>
</cp:coreProperties>
</file>