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1.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charts/chart1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485A" w:rsidRDefault="00F16078" w:rsidP="00F552D0">
      <w:pPr>
        <w:ind w:firstLineChars="900" w:firstLine="1890"/>
        <w:rPr>
          <w:rFonts w:ascii="Century" w:eastAsia="ＭＳ 明朝" w:hAnsi="Century" w:cs="Times New Roman"/>
        </w:rPr>
      </w:pPr>
      <w:r w:rsidRPr="00F16078">
        <w:rPr>
          <w:rFonts w:ascii="Century" w:eastAsia="ＭＳ 明朝" w:hAnsi="Century" w:cs="Times New Roman" w:hint="eastAsia"/>
        </w:rPr>
        <w:t>コスタリカ経済</w:t>
      </w:r>
      <w:r w:rsidR="00400C8B">
        <w:rPr>
          <w:rFonts w:ascii="Century" w:eastAsia="ＭＳ 明朝" w:hAnsi="Century" w:cs="Times New Roman" w:hint="eastAsia"/>
        </w:rPr>
        <w:t>（</w:t>
      </w:r>
      <w:r w:rsidRPr="00F16078">
        <w:rPr>
          <w:rFonts w:ascii="Century" w:eastAsia="ＭＳ 明朝" w:hAnsi="Century" w:cs="Times New Roman"/>
        </w:rPr>
        <w:t>2014</w:t>
      </w:r>
      <w:r w:rsidRPr="00F16078">
        <w:rPr>
          <w:rFonts w:ascii="Century" w:eastAsia="ＭＳ 明朝" w:hAnsi="Century" w:cs="Times New Roman" w:hint="eastAsia"/>
        </w:rPr>
        <w:t>年</w:t>
      </w:r>
      <w:r>
        <w:rPr>
          <w:rFonts w:ascii="Century" w:eastAsia="ＭＳ 明朝" w:hAnsi="Century" w:cs="Times New Roman" w:hint="eastAsia"/>
        </w:rPr>
        <w:t>5</w:t>
      </w:r>
      <w:r w:rsidR="00F552D0">
        <w:rPr>
          <w:rFonts w:ascii="Century" w:eastAsia="ＭＳ 明朝" w:hAnsi="Century" w:cs="Times New Roman" w:hint="eastAsia"/>
        </w:rPr>
        <w:t>・</w:t>
      </w:r>
      <w:r w:rsidR="00794B8F">
        <w:rPr>
          <w:rFonts w:ascii="Century" w:eastAsia="ＭＳ 明朝" w:hAnsi="Century" w:cs="Times New Roman" w:hint="eastAsia"/>
        </w:rPr>
        <w:t>6</w:t>
      </w:r>
      <w:r>
        <w:rPr>
          <w:rFonts w:ascii="Century" w:eastAsia="ＭＳ 明朝" w:hAnsi="Century" w:cs="Times New Roman" w:hint="eastAsia"/>
        </w:rPr>
        <w:t>月</w:t>
      </w:r>
      <w:r w:rsidRPr="00F16078">
        <w:rPr>
          <w:rFonts w:ascii="Century" w:eastAsia="ＭＳ 明朝" w:hAnsi="Century" w:cs="Times New Roman" w:hint="eastAsia"/>
        </w:rPr>
        <w:t>）</w:t>
      </w:r>
    </w:p>
    <w:p w:rsidR="00F16078" w:rsidRDefault="006F485A" w:rsidP="00400C8B">
      <w:pPr>
        <w:jc w:val="center"/>
        <w:rPr>
          <w:rFonts w:ascii="Century" w:eastAsia="ＭＳ 明朝" w:hAnsi="Century" w:cs="Times New Roman"/>
          <w:b/>
          <w:sz w:val="18"/>
          <w:szCs w:val="18"/>
        </w:rPr>
      </w:pPr>
      <w:r>
        <w:rPr>
          <w:rFonts w:ascii="Century" w:eastAsia="ＭＳ 明朝" w:hAnsi="Century" w:cs="Times New Roman" w:hint="eastAsia"/>
        </w:rPr>
        <w:t xml:space="preserve">　　　　　　　　　　　　　　　　　　　　　　　　　　　　　　　　　　</w:t>
      </w:r>
    </w:p>
    <w:p w:rsidR="007B5AA5" w:rsidRPr="00F16078" w:rsidRDefault="007B5AA5" w:rsidP="00F16078">
      <w:pPr>
        <w:ind w:firstLineChars="3400" w:firstLine="6144"/>
        <w:rPr>
          <w:rFonts w:ascii="Century" w:eastAsia="ＭＳ 明朝" w:hAnsi="Century" w:cs="Times New Roman"/>
          <w:b/>
          <w:sz w:val="18"/>
          <w:szCs w:val="18"/>
        </w:rPr>
      </w:pPr>
    </w:p>
    <w:p w:rsidR="006F485A" w:rsidRDefault="007B5AA5" w:rsidP="007B5AA5">
      <w:pPr>
        <w:rPr>
          <w:rFonts w:ascii="Century" w:eastAsia="ＭＳ 明朝" w:hAnsi="Century" w:cs="Times New Roman"/>
          <w:sz w:val="18"/>
          <w:szCs w:val="18"/>
        </w:rPr>
      </w:pPr>
      <w:r w:rsidRPr="007B5AA5">
        <w:rPr>
          <w:rFonts w:ascii="Century" w:eastAsia="ＭＳ 明朝" w:hAnsi="Century" w:cs="Times New Roman" w:hint="eastAsia"/>
          <w:sz w:val="18"/>
          <w:szCs w:val="18"/>
        </w:rPr>
        <w:t>※出典</w:t>
      </w:r>
      <w:r w:rsidRPr="007B5AA5">
        <w:rPr>
          <w:rFonts w:ascii="Century" w:eastAsia="ＭＳ 明朝" w:hAnsi="Century" w:cs="Times New Roman" w:hint="eastAsia"/>
          <w:sz w:val="18"/>
          <w:szCs w:val="18"/>
        </w:rPr>
        <w:t>:</w:t>
      </w:r>
      <w:r w:rsidR="00407C66">
        <w:rPr>
          <w:rFonts w:ascii="Century" w:eastAsia="ＭＳ 明朝" w:hAnsi="Century" w:cs="Times New Roman" w:hint="eastAsia"/>
          <w:sz w:val="18"/>
          <w:szCs w:val="18"/>
        </w:rPr>
        <w:t>コスタリカ中央銀行、</w:t>
      </w:r>
      <w:r w:rsidRPr="007B5AA5">
        <w:rPr>
          <w:rFonts w:ascii="Century" w:eastAsia="ＭＳ 明朝" w:hAnsi="Century" w:cs="Times New Roman" w:hint="eastAsia"/>
          <w:sz w:val="18"/>
          <w:szCs w:val="18"/>
        </w:rPr>
        <w:t>財務省</w:t>
      </w:r>
      <w:r w:rsidR="00407C66">
        <w:rPr>
          <w:rFonts w:ascii="Century" w:eastAsia="ＭＳ 明朝" w:hAnsi="Century" w:cs="Times New Roman" w:hint="eastAsia"/>
          <w:sz w:val="18"/>
          <w:szCs w:val="18"/>
        </w:rPr>
        <w:t>、貿易促進機構</w:t>
      </w:r>
      <w:r w:rsidR="00407C66">
        <w:rPr>
          <w:rFonts w:ascii="Century" w:eastAsia="ＭＳ 明朝" w:hAnsi="Century" w:cs="Times New Roman" w:hint="eastAsia"/>
          <w:sz w:val="18"/>
          <w:szCs w:val="18"/>
        </w:rPr>
        <w:t>(PROCOMER)</w:t>
      </w:r>
      <w:r w:rsidRPr="007B5AA5">
        <w:rPr>
          <w:rFonts w:ascii="Century" w:eastAsia="ＭＳ 明朝" w:hAnsi="Century" w:cs="Times New Roman" w:hint="eastAsia"/>
          <w:sz w:val="18"/>
          <w:szCs w:val="18"/>
        </w:rPr>
        <w:t>(5-6</w:t>
      </w:r>
      <w:r w:rsidRPr="007B5AA5">
        <w:rPr>
          <w:rFonts w:ascii="Century" w:eastAsia="ＭＳ 明朝" w:hAnsi="Century" w:cs="Times New Roman" w:hint="eastAsia"/>
          <w:sz w:val="18"/>
          <w:szCs w:val="18"/>
        </w:rPr>
        <w:t>月分数値</w:t>
      </w:r>
      <w:r w:rsidRPr="007B5AA5">
        <w:rPr>
          <w:rFonts w:ascii="Century" w:eastAsia="ＭＳ 明朝" w:hAnsi="Century" w:cs="Times New Roman" w:hint="eastAsia"/>
          <w:sz w:val="18"/>
          <w:szCs w:val="18"/>
        </w:rPr>
        <w:t>)</w:t>
      </w:r>
    </w:p>
    <w:p w:rsidR="00F16078" w:rsidRPr="007B5AA5" w:rsidRDefault="007B5AA5" w:rsidP="007B5AA5">
      <w:pPr>
        <w:rPr>
          <w:rFonts w:ascii="Century" w:eastAsia="ＭＳ 明朝" w:hAnsi="Century" w:cs="Times New Roman"/>
          <w:sz w:val="18"/>
          <w:szCs w:val="18"/>
        </w:rPr>
      </w:pPr>
      <w:r w:rsidRPr="007B5AA5">
        <w:rPr>
          <w:rFonts w:ascii="Century" w:eastAsia="ＭＳ 明朝" w:hAnsi="Century" w:cs="Times New Roman" w:hint="eastAsia"/>
          <w:sz w:val="18"/>
          <w:szCs w:val="18"/>
        </w:rPr>
        <w:t>主な出来事については当地新聞記事</w:t>
      </w:r>
      <w:r w:rsidR="00BD4B5A">
        <w:rPr>
          <w:rStyle w:val="ab"/>
          <w:rFonts w:ascii="Century" w:eastAsia="ＭＳ 明朝" w:hAnsi="Century" w:cs="Times New Roman"/>
          <w:sz w:val="18"/>
          <w:szCs w:val="18"/>
        </w:rPr>
        <w:footnoteReference w:id="1"/>
      </w:r>
      <w:r w:rsidRPr="007B5AA5">
        <w:rPr>
          <w:rFonts w:ascii="Century" w:eastAsia="ＭＳ 明朝" w:hAnsi="Century" w:cs="Times New Roman" w:hint="eastAsia"/>
          <w:sz w:val="18"/>
          <w:szCs w:val="18"/>
        </w:rPr>
        <w:t xml:space="preserve"> </w:t>
      </w:r>
      <w:r w:rsidRPr="007B5AA5">
        <w:rPr>
          <w:rFonts w:ascii="Century" w:eastAsia="ＭＳ 明朝" w:hAnsi="Century" w:cs="Times New Roman" w:hint="eastAsia"/>
          <w:sz w:val="18"/>
          <w:szCs w:val="18"/>
        </w:rPr>
        <w:t>及び貿易省プレスリリースによる。</w:t>
      </w:r>
    </w:p>
    <w:p w:rsidR="00B27641" w:rsidRPr="00B27641" w:rsidRDefault="00B27641" w:rsidP="00B27641">
      <w:pPr>
        <w:rPr>
          <w:rFonts w:ascii="Century" w:eastAsia="ＭＳ 明朝" w:hAnsi="Century" w:cs="Times New Roman"/>
        </w:rPr>
      </w:pPr>
      <w:r w:rsidRPr="00B27641">
        <w:rPr>
          <w:rFonts w:ascii="Century" w:eastAsia="ＭＳ 明朝" w:hAnsi="Century" w:cs="Times New Roman"/>
        </w:rPr>
        <w:t>1</w:t>
      </w:r>
      <w:r w:rsidRPr="00B27641">
        <w:rPr>
          <w:rFonts w:ascii="Century" w:eastAsia="ＭＳ 明朝" w:hAnsi="Century" w:cs="Times New Roman" w:hint="eastAsia"/>
        </w:rPr>
        <w:t xml:space="preserve">　経済活動指標</w:t>
      </w:r>
    </w:p>
    <w:p w:rsidR="001668EE" w:rsidRPr="00C95BF3" w:rsidRDefault="004F5F93" w:rsidP="004F5F93">
      <w:pPr>
        <w:jc w:val="left"/>
        <w:rPr>
          <w:rFonts w:ascii="Century" w:eastAsia="ＭＳ 明朝" w:hAnsi="Century" w:cs="Times New Roman"/>
          <w:color w:val="000000" w:themeColor="text1"/>
        </w:rPr>
      </w:pPr>
      <w:r w:rsidRPr="00C95BF3">
        <w:rPr>
          <w:rFonts w:ascii="Century" w:eastAsia="ＭＳ 明朝" w:hAnsi="Century" w:cs="Times New Roman" w:hint="eastAsia"/>
          <w:color w:val="000000" w:themeColor="text1"/>
        </w:rPr>
        <w:t>●</w:t>
      </w:r>
      <w:r w:rsidRPr="00C95BF3">
        <w:rPr>
          <w:rFonts w:ascii="Century" w:eastAsia="ＭＳ 明朝" w:hAnsi="Century" w:cs="Times New Roman" w:hint="eastAsia"/>
          <w:color w:val="000000" w:themeColor="text1"/>
        </w:rPr>
        <w:t>4</w:t>
      </w:r>
      <w:r w:rsidRPr="00C95BF3">
        <w:rPr>
          <w:rFonts w:ascii="Century" w:eastAsia="ＭＳ 明朝" w:hAnsi="Century" w:cs="Times New Roman" w:hint="eastAsia"/>
          <w:color w:val="000000" w:themeColor="text1"/>
        </w:rPr>
        <w:t>月から引き続き</w:t>
      </w:r>
      <w:r w:rsidR="00842944" w:rsidRPr="00C95BF3">
        <w:rPr>
          <w:rFonts w:ascii="Century" w:eastAsia="ＭＳ 明朝" w:hAnsi="Century" w:cs="Times New Roman" w:hint="eastAsia"/>
          <w:color w:val="000000" w:themeColor="text1"/>
        </w:rPr>
        <w:t>、運輸・倉庫・通信、</w:t>
      </w:r>
      <w:r w:rsidR="00B27641" w:rsidRPr="00C95BF3">
        <w:rPr>
          <w:rFonts w:ascii="Century" w:eastAsia="ＭＳ 明朝" w:hAnsi="Century" w:cs="Times New Roman" w:hint="eastAsia"/>
          <w:color w:val="000000" w:themeColor="text1"/>
        </w:rPr>
        <w:t>金融・保険、金融</w:t>
      </w:r>
      <w:r w:rsidR="00842944" w:rsidRPr="00C95BF3">
        <w:rPr>
          <w:rFonts w:ascii="Century" w:eastAsia="ＭＳ 明朝" w:hAnsi="Century" w:cs="Times New Roman" w:hint="eastAsia"/>
          <w:color w:val="000000" w:themeColor="text1"/>
        </w:rPr>
        <w:t>仲介サービス等のサービス産業及び農林漁業、建設業において昨年を上回る</w:t>
      </w:r>
      <w:r w:rsidR="00B27641" w:rsidRPr="00C95BF3">
        <w:rPr>
          <w:rFonts w:ascii="Century" w:eastAsia="ＭＳ 明朝" w:hAnsi="Century" w:cs="Times New Roman" w:hint="eastAsia"/>
          <w:color w:val="000000" w:themeColor="text1"/>
        </w:rPr>
        <w:t>成長</w:t>
      </w:r>
      <w:r w:rsidR="00842944" w:rsidRPr="00C95BF3">
        <w:rPr>
          <w:rFonts w:ascii="Century" w:eastAsia="ＭＳ 明朝" w:hAnsi="Century" w:cs="Times New Roman" w:hint="eastAsia"/>
          <w:color w:val="000000" w:themeColor="text1"/>
        </w:rPr>
        <w:t>率</w:t>
      </w:r>
      <w:r w:rsidR="00B27641" w:rsidRPr="00C95BF3">
        <w:rPr>
          <w:rFonts w:ascii="Century" w:eastAsia="ＭＳ 明朝" w:hAnsi="Century" w:cs="Times New Roman" w:hint="eastAsia"/>
          <w:color w:val="000000" w:themeColor="text1"/>
        </w:rPr>
        <w:t>が見られた</w:t>
      </w:r>
      <w:r w:rsidR="00D661FD" w:rsidRPr="00C95BF3">
        <w:rPr>
          <w:rFonts w:ascii="Century" w:eastAsia="ＭＳ 明朝" w:hAnsi="Century" w:cs="Times New Roman" w:hint="eastAsia"/>
          <w:color w:val="000000" w:themeColor="text1"/>
        </w:rPr>
        <w:t>。</w:t>
      </w:r>
      <w:r w:rsidR="001668EE" w:rsidRPr="00C95BF3">
        <w:rPr>
          <w:rFonts w:ascii="Century" w:eastAsia="ＭＳ 明朝" w:hAnsi="Century" w:cs="Times New Roman" w:hint="eastAsia"/>
          <w:color w:val="000000" w:themeColor="text1"/>
        </w:rPr>
        <w:t>特に農林漁業は両月で前年同期の値を</w:t>
      </w:r>
      <w:r w:rsidR="001668EE" w:rsidRPr="00C95BF3">
        <w:rPr>
          <w:rFonts w:ascii="Century" w:eastAsia="ＭＳ 明朝" w:hAnsi="Century" w:cs="Times New Roman" w:hint="eastAsia"/>
          <w:color w:val="000000" w:themeColor="text1"/>
        </w:rPr>
        <w:t>6</w:t>
      </w:r>
      <w:r w:rsidR="001668EE" w:rsidRPr="00C95BF3">
        <w:rPr>
          <w:rFonts w:ascii="Century" w:eastAsia="ＭＳ 明朝" w:hAnsi="Century" w:cs="Times New Roman" w:hint="eastAsia"/>
          <w:color w:val="000000" w:themeColor="text1"/>
        </w:rPr>
        <w:t>ポイント以上上回り、約</w:t>
      </w:r>
      <w:r w:rsidR="001668EE" w:rsidRPr="00C95BF3">
        <w:rPr>
          <w:rFonts w:ascii="Century" w:eastAsia="ＭＳ 明朝" w:hAnsi="Century" w:cs="Times New Roman" w:hint="eastAsia"/>
          <w:color w:val="000000" w:themeColor="text1"/>
        </w:rPr>
        <w:t>7</w:t>
      </w:r>
      <w:r w:rsidR="001668EE" w:rsidRPr="00C95BF3">
        <w:rPr>
          <w:rFonts w:ascii="Century" w:eastAsia="ＭＳ 明朝" w:hAnsi="Century" w:cs="Times New Roman" w:hint="eastAsia"/>
          <w:color w:val="000000" w:themeColor="text1"/>
        </w:rPr>
        <w:t>％の成長率を記録している。特にパイナップルやバナナなど</w:t>
      </w:r>
      <w:r w:rsidR="001145AB">
        <w:rPr>
          <w:rFonts w:ascii="Century" w:eastAsia="ＭＳ 明朝" w:hAnsi="Century" w:cs="Times New Roman" w:hint="eastAsia"/>
          <w:color w:val="000000" w:themeColor="text1"/>
        </w:rPr>
        <w:t>果物</w:t>
      </w:r>
      <w:r w:rsidR="001668EE" w:rsidRPr="00C95BF3">
        <w:rPr>
          <w:rFonts w:ascii="Century" w:eastAsia="ＭＳ 明朝" w:hAnsi="Century" w:cs="Times New Roman" w:hint="eastAsia"/>
          <w:color w:val="000000" w:themeColor="text1"/>
        </w:rPr>
        <w:t>の輸出増加が成長の牽引役となっている。</w:t>
      </w:r>
    </w:p>
    <w:p w:rsidR="00D661FD" w:rsidRPr="00C95BF3" w:rsidRDefault="00B27641" w:rsidP="004F5F93">
      <w:pPr>
        <w:jc w:val="left"/>
        <w:rPr>
          <w:rFonts w:ascii="Century" w:eastAsia="ＭＳ 明朝" w:hAnsi="Century" w:cs="Times New Roman"/>
          <w:color w:val="000000" w:themeColor="text1"/>
        </w:rPr>
      </w:pPr>
      <w:r w:rsidRPr="00C95BF3">
        <w:rPr>
          <w:rFonts w:ascii="Century" w:eastAsia="ＭＳ 明朝" w:hAnsi="Century" w:cs="Times New Roman" w:hint="eastAsia"/>
          <w:color w:val="000000" w:themeColor="text1"/>
        </w:rPr>
        <w:t>●</w:t>
      </w:r>
      <w:r w:rsidR="004F5F93" w:rsidRPr="00C95BF3">
        <w:rPr>
          <w:rFonts w:ascii="Century" w:eastAsia="ＭＳ 明朝" w:hAnsi="Century" w:cs="Times New Roman" w:hint="eastAsia"/>
          <w:color w:val="000000" w:themeColor="text1"/>
        </w:rPr>
        <w:t>製造業に関しては、</w:t>
      </w:r>
      <w:r w:rsidR="00D661FD" w:rsidRPr="00C95BF3">
        <w:rPr>
          <w:rFonts w:ascii="Century" w:eastAsia="ＭＳ 明朝" w:hAnsi="Century" w:cs="Times New Roman" w:hint="eastAsia"/>
          <w:color w:val="000000" w:themeColor="text1"/>
        </w:rPr>
        <w:t>5</w:t>
      </w:r>
      <w:r w:rsidR="00D661FD" w:rsidRPr="00C95BF3">
        <w:rPr>
          <w:rFonts w:ascii="Century" w:eastAsia="ＭＳ 明朝" w:hAnsi="Century" w:cs="Times New Roman" w:hint="eastAsia"/>
          <w:color w:val="000000" w:themeColor="text1"/>
        </w:rPr>
        <w:t>月に</w:t>
      </w:r>
      <w:r w:rsidR="004F5F93" w:rsidRPr="00C95BF3">
        <w:rPr>
          <w:rFonts w:ascii="Century" w:eastAsia="ＭＳ 明朝" w:hAnsi="Century" w:cs="Times New Roman" w:hint="eastAsia"/>
          <w:color w:val="000000" w:themeColor="text1"/>
        </w:rPr>
        <w:t>昨年度の成長率</w:t>
      </w:r>
      <w:r w:rsidR="004F5F93" w:rsidRPr="00C95BF3">
        <w:rPr>
          <w:rFonts w:ascii="Century" w:eastAsia="ＭＳ 明朝" w:hAnsi="Century" w:cs="Times New Roman" w:hint="eastAsia"/>
          <w:color w:val="000000" w:themeColor="text1"/>
        </w:rPr>
        <w:t>2.31</w:t>
      </w:r>
      <w:r w:rsidR="004F5F93" w:rsidRPr="00C95BF3">
        <w:rPr>
          <w:rFonts w:ascii="Century" w:eastAsia="ＭＳ 明朝" w:hAnsi="Century" w:cs="Times New Roman" w:hint="eastAsia"/>
          <w:color w:val="000000" w:themeColor="text1"/>
        </w:rPr>
        <w:t>％から</w:t>
      </w:r>
      <w:r w:rsidR="00D661FD" w:rsidRPr="00C95BF3">
        <w:rPr>
          <w:rFonts w:ascii="Century" w:eastAsia="ＭＳ 明朝" w:hAnsi="Century" w:cs="Times New Roman" w:hint="eastAsia"/>
          <w:color w:val="000000" w:themeColor="text1"/>
        </w:rPr>
        <w:t>若干の上昇</w:t>
      </w:r>
      <w:r w:rsidR="00D661FD" w:rsidRPr="00C95BF3">
        <w:rPr>
          <w:rFonts w:ascii="Century" w:eastAsia="ＭＳ 明朝" w:hAnsi="Century" w:cs="Times New Roman" w:hint="eastAsia"/>
          <w:color w:val="000000" w:themeColor="text1"/>
        </w:rPr>
        <w:t>(</w:t>
      </w:r>
      <w:r w:rsidR="00155CAD">
        <w:rPr>
          <w:rFonts w:ascii="Century" w:eastAsia="ＭＳ 明朝" w:hAnsi="Century" w:cs="Times New Roman" w:hint="eastAsia"/>
          <w:color w:val="000000" w:themeColor="text1"/>
        </w:rPr>
        <w:t>2.58</w:t>
      </w:r>
      <w:r w:rsidR="00D661FD" w:rsidRPr="00C95BF3">
        <w:rPr>
          <w:rFonts w:ascii="Century" w:eastAsia="ＭＳ 明朝" w:hAnsi="Century" w:cs="Times New Roman" w:hint="eastAsia"/>
          <w:color w:val="000000" w:themeColor="text1"/>
        </w:rPr>
        <w:t>％</w:t>
      </w:r>
      <w:r w:rsidR="00D661FD" w:rsidRPr="00C95BF3">
        <w:rPr>
          <w:rFonts w:ascii="Century" w:eastAsia="ＭＳ 明朝" w:hAnsi="Century" w:cs="Times New Roman" w:hint="eastAsia"/>
          <w:color w:val="000000" w:themeColor="text1"/>
        </w:rPr>
        <w:t>)</w:t>
      </w:r>
      <w:r w:rsidR="00D661FD" w:rsidRPr="00C95BF3">
        <w:rPr>
          <w:rFonts w:ascii="Century" w:eastAsia="ＭＳ 明朝" w:hAnsi="Century" w:cs="Times New Roman" w:hint="eastAsia"/>
          <w:color w:val="000000" w:themeColor="text1"/>
        </w:rPr>
        <w:t>がみられたものの、</w:t>
      </w:r>
      <w:r w:rsidR="00D661FD" w:rsidRPr="00C95BF3">
        <w:rPr>
          <w:rFonts w:ascii="Century" w:eastAsia="ＭＳ 明朝" w:hAnsi="Century" w:cs="Times New Roman" w:hint="eastAsia"/>
          <w:color w:val="000000" w:themeColor="text1"/>
        </w:rPr>
        <w:t>6</w:t>
      </w:r>
      <w:r w:rsidR="00D661FD" w:rsidRPr="00C95BF3">
        <w:rPr>
          <w:rFonts w:ascii="Century" w:eastAsia="ＭＳ 明朝" w:hAnsi="Century" w:cs="Times New Roman" w:hint="eastAsia"/>
          <w:color w:val="000000" w:themeColor="text1"/>
        </w:rPr>
        <w:t>月には前年同期の値を</w:t>
      </w:r>
      <w:r w:rsidR="00D661FD" w:rsidRPr="00C95BF3">
        <w:rPr>
          <w:rFonts w:ascii="Century" w:eastAsia="ＭＳ 明朝" w:hAnsi="Century" w:cs="Times New Roman" w:hint="eastAsia"/>
          <w:color w:val="000000" w:themeColor="text1"/>
        </w:rPr>
        <w:t>3</w:t>
      </w:r>
      <w:r w:rsidR="00D661FD" w:rsidRPr="00C95BF3">
        <w:rPr>
          <w:rFonts w:ascii="Century" w:eastAsia="ＭＳ 明朝" w:hAnsi="Century" w:cs="Times New Roman" w:hint="eastAsia"/>
          <w:color w:val="000000" w:themeColor="text1"/>
        </w:rPr>
        <w:t>ポイント以上</w:t>
      </w:r>
      <w:r w:rsidR="004F5F93" w:rsidRPr="00C95BF3">
        <w:rPr>
          <w:rFonts w:ascii="Century" w:eastAsia="ＭＳ 明朝" w:hAnsi="Century" w:cs="Times New Roman" w:hint="eastAsia"/>
          <w:color w:val="000000" w:themeColor="text1"/>
        </w:rPr>
        <w:t>下回る</w:t>
      </w:r>
      <w:r w:rsidR="00D661FD" w:rsidRPr="00C95BF3">
        <w:rPr>
          <w:rFonts w:ascii="Century" w:eastAsia="ＭＳ 明朝" w:hAnsi="Century" w:cs="Times New Roman" w:hint="eastAsia"/>
          <w:color w:val="000000" w:themeColor="text1"/>
        </w:rPr>
        <w:t>1.80</w:t>
      </w:r>
      <w:r w:rsidR="004F5F93" w:rsidRPr="00C95BF3">
        <w:rPr>
          <w:rFonts w:ascii="Century" w:eastAsia="ＭＳ 明朝" w:hAnsi="Century" w:cs="Times New Roman" w:hint="eastAsia"/>
          <w:color w:val="000000" w:themeColor="text1"/>
        </w:rPr>
        <w:t>％を記録した。</w:t>
      </w:r>
      <w:r w:rsidR="00D661FD" w:rsidRPr="00C95BF3">
        <w:rPr>
          <w:rFonts w:ascii="Century" w:eastAsia="ＭＳ 明朝" w:hAnsi="Century" w:cs="Times New Roman" w:hint="eastAsia"/>
          <w:color w:val="000000" w:themeColor="text1"/>
        </w:rPr>
        <w:t>その主</w:t>
      </w:r>
      <w:r w:rsidR="00DF322D">
        <w:rPr>
          <w:rFonts w:ascii="Century" w:eastAsia="ＭＳ 明朝" w:hAnsi="Century" w:cs="Times New Roman" w:hint="eastAsia"/>
          <w:color w:val="000000" w:themeColor="text1"/>
        </w:rPr>
        <w:t>な</w:t>
      </w:r>
      <w:r w:rsidR="00D661FD" w:rsidRPr="00C95BF3">
        <w:rPr>
          <w:rFonts w:ascii="Century" w:eastAsia="ＭＳ 明朝" w:hAnsi="Century" w:cs="Times New Roman" w:hint="eastAsia"/>
          <w:color w:val="000000" w:themeColor="text1"/>
        </w:rPr>
        <w:t>要因として、</w:t>
      </w:r>
      <w:r w:rsidR="00D661FD" w:rsidRPr="00C95BF3">
        <w:rPr>
          <w:rFonts w:ascii="Century" w:eastAsia="ＭＳ 明朝" w:hAnsi="Century" w:cs="Times New Roman" w:hint="eastAsia"/>
          <w:color w:val="000000" w:themeColor="text1"/>
        </w:rPr>
        <w:t>5</w:t>
      </w:r>
      <w:r w:rsidR="001145AB">
        <w:rPr>
          <w:rFonts w:ascii="Century" w:eastAsia="ＭＳ 明朝" w:hAnsi="Century" w:cs="Times New Roman" w:hint="eastAsia"/>
          <w:color w:val="000000" w:themeColor="text1"/>
        </w:rPr>
        <w:t>月末に</w:t>
      </w:r>
      <w:r w:rsidR="00D661FD" w:rsidRPr="00C95BF3">
        <w:rPr>
          <w:rFonts w:ascii="Century" w:eastAsia="ＭＳ 明朝" w:hAnsi="Century" w:cs="Times New Roman" w:hint="eastAsia"/>
          <w:color w:val="000000" w:themeColor="text1"/>
        </w:rPr>
        <w:t>インテル社</w:t>
      </w:r>
      <w:r w:rsidR="001145AB">
        <w:rPr>
          <w:rFonts w:ascii="Century" w:eastAsia="ＭＳ 明朝" w:hAnsi="Century" w:cs="Times New Roman" w:hint="eastAsia"/>
          <w:color w:val="000000" w:themeColor="text1"/>
        </w:rPr>
        <w:t>による</w:t>
      </w:r>
      <w:r w:rsidR="00D661FD" w:rsidRPr="00C95BF3">
        <w:rPr>
          <w:rFonts w:ascii="Century" w:eastAsia="ＭＳ 明朝" w:hAnsi="Century" w:cs="Times New Roman" w:hint="eastAsia"/>
          <w:color w:val="000000" w:themeColor="text1"/>
        </w:rPr>
        <w:t>段階的生産活動縮小</w:t>
      </w:r>
      <w:r w:rsidR="001145AB">
        <w:rPr>
          <w:rFonts w:ascii="Century" w:eastAsia="ＭＳ 明朝" w:hAnsi="Century" w:cs="Times New Roman" w:hint="eastAsia"/>
          <w:color w:val="000000" w:themeColor="text1"/>
        </w:rPr>
        <w:t>の</w:t>
      </w:r>
      <w:r w:rsidR="00D661FD" w:rsidRPr="00C95BF3">
        <w:rPr>
          <w:rFonts w:ascii="Century" w:eastAsia="ＭＳ 明朝" w:hAnsi="Century" w:cs="Times New Roman" w:hint="eastAsia"/>
          <w:color w:val="000000" w:themeColor="text1"/>
        </w:rPr>
        <w:t>開始があげられている。</w:t>
      </w:r>
    </w:p>
    <w:p w:rsidR="00D661FD" w:rsidRPr="00C95BF3" w:rsidRDefault="00D661FD" w:rsidP="004F5F93">
      <w:pPr>
        <w:jc w:val="left"/>
        <w:rPr>
          <w:rFonts w:ascii="Century" w:eastAsia="ＭＳ 明朝" w:hAnsi="Century" w:cs="Times New Roman"/>
          <w:color w:val="000000" w:themeColor="text1"/>
        </w:rPr>
      </w:pPr>
      <w:r w:rsidRPr="00C95BF3">
        <w:rPr>
          <w:rFonts w:ascii="Century" w:eastAsia="ＭＳ 明朝" w:hAnsi="Century" w:cs="Times New Roman" w:hint="eastAsia"/>
          <w:color w:val="000000" w:themeColor="text1"/>
        </w:rPr>
        <w:t>●全体</w:t>
      </w:r>
      <w:r w:rsidR="00FC34E7">
        <w:rPr>
          <w:rFonts w:ascii="Century" w:eastAsia="ＭＳ 明朝" w:hAnsi="Century" w:cs="Times New Roman" w:hint="eastAsia"/>
          <w:color w:val="000000" w:themeColor="text1"/>
        </w:rPr>
        <w:t>の</w:t>
      </w:r>
      <w:r w:rsidRPr="00C95BF3">
        <w:rPr>
          <w:rFonts w:ascii="Century" w:eastAsia="ＭＳ 明朝" w:hAnsi="Century" w:cs="Times New Roman" w:hint="eastAsia"/>
          <w:color w:val="000000" w:themeColor="text1"/>
        </w:rPr>
        <w:t>指標は、</w:t>
      </w:r>
      <w:r w:rsidRPr="00C95BF3">
        <w:rPr>
          <w:rFonts w:ascii="Century" w:eastAsia="ＭＳ 明朝" w:hAnsi="Century" w:cs="Times New Roman" w:hint="eastAsia"/>
          <w:color w:val="000000" w:themeColor="text1"/>
        </w:rPr>
        <w:t>5</w:t>
      </w:r>
      <w:r w:rsidRPr="00C95BF3">
        <w:rPr>
          <w:rFonts w:ascii="Century" w:eastAsia="ＭＳ 明朝" w:hAnsi="Century" w:cs="Times New Roman" w:hint="eastAsia"/>
          <w:color w:val="000000" w:themeColor="text1"/>
        </w:rPr>
        <w:t>月に</w:t>
      </w:r>
      <w:r w:rsidRPr="00C95BF3">
        <w:rPr>
          <w:rFonts w:ascii="Century" w:eastAsia="ＭＳ 明朝" w:hAnsi="Century" w:cs="Times New Roman" w:hint="eastAsia"/>
          <w:color w:val="000000" w:themeColor="text1"/>
        </w:rPr>
        <w:t>4.40</w:t>
      </w:r>
      <w:r w:rsidRPr="00C95BF3">
        <w:rPr>
          <w:rFonts w:ascii="Century" w:eastAsia="ＭＳ 明朝" w:hAnsi="Century" w:cs="Times New Roman" w:hint="eastAsia"/>
          <w:color w:val="000000" w:themeColor="text1"/>
        </w:rPr>
        <w:t>％</w:t>
      </w:r>
      <w:r w:rsidR="001145AB">
        <w:rPr>
          <w:rFonts w:ascii="Century" w:eastAsia="ＭＳ 明朝" w:hAnsi="Century" w:cs="Times New Roman" w:hint="eastAsia"/>
          <w:color w:val="000000" w:themeColor="text1"/>
        </w:rPr>
        <w:t>(</w:t>
      </w:r>
      <w:r w:rsidR="001145AB">
        <w:rPr>
          <w:rFonts w:ascii="Century" w:eastAsia="ＭＳ 明朝" w:hAnsi="Century" w:cs="Times New Roman" w:hint="eastAsia"/>
          <w:color w:val="000000" w:themeColor="text1"/>
        </w:rPr>
        <w:t>前年比</w:t>
      </w:r>
      <w:r w:rsidR="001145AB">
        <w:rPr>
          <w:rFonts w:ascii="Century" w:eastAsia="ＭＳ 明朝" w:hAnsi="Century" w:cs="Times New Roman" w:hint="eastAsia"/>
          <w:color w:val="000000" w:themeColor="text1"/>
        </w:rPr>
        <w:t>2.6</w:t>
      </w:r>
      <w:r w:rsidR="001145AB">
        <w:rPr>
          <w:rFonts w:ascii="Century" w:eastAsia="ＭＳ 明朝" w:hAnsi="Century" w:cs="Times New Roman" w:hint="eastAsia"/>
          <w:color w:val="000000" w:themeColor="text1"/>
        </w:rPr>
        <w:t>ポイント増</w:t>
      </w:r>
      <w:r w:rsidR="001145AB">
        <w:rPr>
          <w:rFonts w:ascii="Century" w:eastAsia="ＭＳ 明朝" w:hAnsi="Century" w:cs="Times New Roman" w:hint="eastAsia"/>
          <w:color w:val="000000" w:themeColor="text1"/>
        </w:rPr>
        <w:t>)</w:t>
      </w:r>
      <w:r w:rsidRPr="00C95BF3">
        <w:rPr>
          <w:rFonts w:ascii="Century" w:eastAsia="ＭＳ 明朝" w:hAnsi="Century" w:cs="Times New Roman" w:hint="eastAsia"/>
          <w:color w:val="000000" w:themeColor="text1"/>
        </w:rPr>
        <w:t>、</w:t>
      </w:r>
      <w:r w:rsidR="006F485A">
        <w:rPr>
          <w:rFonts w:ascii="Century" w:eastAsia="ＭＳ 明朝" w:hAnsi="Century" w:cs="Times New Roman" w:hint="eastAsia"/>
          <w:color w:val="000000" w:themeColor="text1"/>
        </w:rPr>
        <w:t>製造業の成長率の低下が顕著だった</w:t>
      </w:r>
      <w:r w:rsidRPr="00C95BF3">
        <w:rPr>
          <w:rFonts w:ascii="Century" w:eastAsia="ＭＳ 明朝" w:hAnsi="Century" w:cs="Times New Roman" w:hint="eastAsia"/>
          <w:color w:val="000000" w:themeColor="text1"/>
        </w:rPr>
        <w:t>6</w:t>
      </w:r>
      <w:r w:rsidR="006F485A">
        <w:rPr>
          <w:rFonts w:ascii="Century" w:eastAsia="ＭＳ 明朝" w:hAnsi="Century" w:cs="Times New Roman" w:hint="eastAsia"/>
          <w:color w:val="000000" w:themeColor="text1"/>
        </w:rPr>
        <w:t>月も</w:t>
      </w:r>
      <w:r w:rsidRPr="00C95BF3">
        <w:rPr>
          <w:rFonts w:ascii="Century" w:eastAsia="ＭＳ 明朝" w:hAnsi="Century" w:cs="Times New Roman" w:hint="eastAsia"/>
          <w:color w:val="000000" w:themeColor="text1"/>
        </w:rPr>
        <w:t>3.60</w:t>
      </w:r>
      <w:r w:rsidR="006F485A">
        <w:rPr>
          <w:rFonts w:ascii="Century" w:eastAsia="ＭＳ 明朝" w:hAnsi="Century" w:cs="Times New Roman" w:hint="eastAsia"/>
          <w:color w:val="000000" w:themeColor="text1"/>
        </w:rPr>
        <w:t>％</w:t>
      </w:r>
      <w:r w:rsidR="001145AB">
        <w:rPr>
          <w:rFonts w:ascii="Century" w:eastAsia="ＭＳ 明朝" w:hAnsi="Century" w:cs="Times New Roman" w:hint="eastAsia"/>
          <w:color w:val="000000" w:themeColor="text1"/>
        </w:rPr>
        <w:t>(</w:t>
      </w:r>
      <w:r w:rsidR="006F485A">
        <w:rPr>
          <w:rFonts w:ascii="Century" w:eastAsia="ＭＳ 明朝" w:hAnsi="Century" w:cs="Times New Roman" w:hint="eastAsia"/>
          <w:color w:val="000000" w:themeColor="text1"/>
        </w:rPr>
        <w:t>前年比</w:t>
      </w:r>
      <w:r w:rsidR="006F485A">
        <w:rPr>
          <w:rFonts w:ascii="Century" w:eastAsia="ＭＳ 明朝" w:hAnsi="Century" w:cs="Times New Roman" w:hint="eastAsia"/>
          <w:color w:val="000000" w:themeColor="text1"/>
        </w:rPr>
        <w:t>0.1</w:t>
      </w:r>
      <w:r w:rsidR="006F485A">
        <w:rPr>
          <w:rFonts w:ascii="Century" w:eastAsia="ＭＳ 明朝" w:hAnsi="Century" w:cs="Times New Roman" w:hint="eastAsia"/>
          <w:color w:val="000000" w:themeColor="text1"/>
        </w:rPr>
        <w:t>ポイント増</w:t>
      </w:r>
      <w:r w:rsidR="001145AB">
        <w:rPr>
          <w:rFonts w:ascii="Century" w:eastAsia="ＭＳ 明朝" w:hAnsi="Century" w:cs="Times New Roman" w:hint="eastAsia"/>
          <w:color w:val="000000" w:themeColor="text1"/>
        </w:rPr>
        <w:t>)</w:t>
      </w:r>
      <w:r w:rsidR="006F485A">
        <w:rPr>
          <w:rFonts w:ascii="Century" w:eastAsia="ＭＳ 明朝" w:hAnsi="Century" w:cs="Times New Roman" w:hint="eastAsia"/>
          <w:color w:val="000000" w:themeColor="text1"/>
        </w:rPr>
        <w:t>を記録し、製造業中心のフリーゾーンを除いた場合では</w:t>
      </w:r>
      <w:r w:rsidR="001668EE" w:rsidRPr="00C95BF3">
        <w:rPr>
          <w:rFonts w:ascii="Century" w:eastAsia="ＭＳ 明朝" w:hAnsi="Century" w:cs="Times New Roman" w:hint="eastAsia"/>
          <w:color w:val="000000" w:themeColor="text1"/>
        </w:rPr>
        <w:t>両月で</w:t>
      </w:r>
      <w:r w:rsidRPr="00C95BF3">
        <w:rPr>
          <w:rFonts w:ascii="Century" w:eastAsia="ＭＳ 明朝" w:hAnsi="Century" w:cs="Times New Roman" w:hint="eastAsia"/>
          <w:color w:val="000000" w:themeColor="text1"/>
        </w:rPr>
        <w:t>前年同期の値を</w:t>
      </w:r>
      <w:r w:rsidRPr="00C95BF3">
        <w:rPr>
          <w:rFonts w:ascii="Century" w:eastAsia="ＭＳ 明朝" w:hAnsi="Century" w:cs="Times New Roman" w:hint="eastAsia"/>
          <w:color w:val="000000" w:themeColor="text1"/>
        </w:rPr>
        <w:t>2</w:t>
      </w:r>
      <w:r w:rsidRPr="00C95BF3">
        <w:rPr>
          <w:rFonts w:ascii="Century" w:eastAsia="ＭＳ 明朝" w:hAnsi="Century" w:cs="Times New Roman" w:hint="eastAsia"/>
          <w:color w:val="000000" w:themeColor="text1"/>
        </w:rPr>
        <w:t>ポイント以上上回</w:t>
      </w:r>
      <w:r w:rsidR="001668EE" w:rsidRPr="00C95BF3">
        <w:rPr>
          <w:rFonts w:ascii="Century" w:eastAsia="ＭＳ 明朝" w:hAnsi="Century" w:cs="Times New Roman" w:hint="eastAsia"/>
          <w:color w:val="000000" w:themeColor="text1"/>
        </w:rPr>
        <w:t>った</w:t>
      </w:r>
      <w:r w:rsidR="001668EE" w:rsidRPr="00C95BF3">
        <w:rPr>
          <w:rFonts w:ascii="Century" w:eastAsia="ＭＳ 明朝" w:hAnsi="Century" w:cs="Times New Roman" w:hint="eastAsia"/>
          <w:color w:val="000000" w:themeColor="text1"/>
        </w:rPr>
        <w:t>(</w:t>
      </w:r>
      <w:r w:rsidR="001668EE" w:rsidRPr="00C95BF3">
        <w:rPr>
          <w:rFonts w:ascii="Century" w:eastAsia="ＭＳ 明朝" w:hAnsi="Century" w:cs="Times New Roman" w:hint="eastAsia"/>
          <w:color w:val="000000" w:themeColor="text1"/>
        </w:rPr>
        <w:t>各</w:t>
      </w:r>
      <w:r w:rsidR="001668EE" w:rsidRPr="00C95BF3">
        <w:rPr>
          <w:rFonts w:ascii="Century" w:eastAsia="ＭＳ 明朝" w:hAnsi="Century" w:cs="Times New Roman" w:hint="eastAsia"/>
          <w:color w:val="000000" w:themeColor="text1"/>
        </w:rPr>
        <w:t>4.38</w:t>
      </w:r>
      <w:r w:rsidR="001668EE" w:rsidRPr="00C95BF3">
        <w:rPr>
          <w:rFonts w:ascii="Century" w:eastAsia="ＭＳ 明朝" w:hAnsi="Century" w:cs="Times New Roman" w:hint="eastAsia"/>
          <w:color w:val="000000" w:themeColor="text1"/>
        </w:rPr>
        <w:t>％、</w:t>
      </w:r>
      <w:r w:rsidR="001668EE" w:rsidRPr="00C95BF3">
        <w:rPr>
          <w:rFonts w:ascii="Century" w:eastAsia="ＭＳ 明朝" w:hAnsi="Century" w:cs="Times New Roman" w:hint="eastAsia"/>
          <w:color w:val="000000" w:themeColor="text1"/>
        </w:rPr>
        <w:t>5.28</w:t>
      </w:r>
      <w:r w:rsidR="001668EE" w:rsidRPr="00C95BF3">
        <w:rPr>
          <w:rFonts w:ascii="Century" w:eastAsia="ＭＳ 明朝" w:hAnsi="Century" w:cs="Times New Roman" w:hint="eastAsia"/>
          <w:color w:val="000000" w:themeColor="text1"/>
        </w:rPr>
        <w:t>％</w:t>
      </w:r>
      <w:r w:rsidR="001668EE" w:rsidRPr="00C95BF3">
        <w:rPr>
          <w:rFonts w:ascii="Century" w:eastAsia="ＭＳ 明朝" w:hAnsi="Century" w:cs="Times New Roman" w:hint="eastAsia"/>
          <w:color w:val="000000" w:themeColor="text1"/>
        </w:rPr>
        <w:t>)</w:t>
      </w:r>
      <w:r w:rsidR="00FC34E7">
        <w:rPr>
          <w:rFonts w:ascii="Century" w:eastAsia="ＭＳ 明朝" w:hAnsi="Century" w:cs="Times New Roman" w:hint="eastAsia"/>
          <w:color w:val="000000" w:themeColor="text1"/>
        </w:rPr>
        <w:t>。これらの数値</w:t>
      </w:r>
      <w:r w:rsidRPr="00C95BF3">
        <w:rPr>
          <w:rFonts w:ascii="Century" w:eastAsia="ＭＳ 明朝" w:hAnsi="Century" w:cs="Times New Roman" w:hint="eastAsia"/>
          <w:color w:val="000000" w:themeColor="text1"/>
        </w:rPr>
        <w:t>から、現在のコスタリカ経済において</w:t>
      </w:r>
      <w:r w:rsidR="00FC34E7">
        <w:rPr>
          <w:rFonts w:ascii="Century" w:eastAsia="ＭＳ 明朝" w:hAnsi="Century" w:cs="Times New Roman" w:hint="eastAsia"/>
          <w:color w:val="000000" w:themeColor="text1"/>
        </w:rPr>
        <w:t>、</w:t>
      </w:r>
      <w:r w:rsidRPr="00C95BF3">
        <w:rPr>
          <w:rFonts w:ascii="Century" w:eastAsia="ＭＳ 明朝" w:hAnsi="Century" w:cs="Times New Roman" w:hint="eastAsia"/>
          <w:color w:val="000000" w:themeColor="text1"/>
        </w:rPr>
        <w:t>前述のサービス関連産業</w:t>
      </w:r>
      <w:r w:rsidR="00694704">
        <w:rPr>
          <w:rFonts w:ascii="Century" w:eastAsia="ＭＳ 明朝" w:hAnsi="Century" w:cs="Times New Roman" w:hint="eastAsia"/>
          <w:color w:val="000000" w:themeColor="text1"/>
        </w:rPr>
        <w:t>や農林漁業の比重が</w:t>
      </w:r>
      <w:r w:rsidR="00953E00">
        <w:rPr>
          <w:rFonts w:ascii="Century" w:eastAsia="ＭＳ 明朝" w:hAnsi="Century" w:cs="Times New Roman" w:hint="eastAsia"/>
          <w:color w:val="000000" w:themeColor="text1"/>
        </w:rPr>
        <w:t>増している</w:t>
      </w:r>
      <w:r w:rsidRPr="00C95BF3">
        <w:rPr>
          <w:rFonts w:ascii="Century" w:eastAsia="ＭＳ 明朝" w:hAnsi="Century" w:cs="Times New Roman" w:hint="eastAsia"/>
          <w:color w:val="000000" w:themeColor="text1"/>
        </w:rPr>
        <w:t>ことがうかがえる。</w:t>
      </w:r>
    </w:p>
    <w:p w:rsidR="00D970E5" w:rsidRDefault="0020587D" w:rsidP="00F91247">
      <w:pPr>
        <w:rPr>
          <w:rFonts w:ascii="Century" w:eastAsia="ＭＳ 明朝" w:hAnsi="Century" w:cs="Times New Roman"/>
        </w:rPr>
      </w:pPr>
      <w:r w:rsidRPr="002B0017">
        <w:rPr>
          <w:b/>
          <w:noProof/>
        </w:rPr>
        <w:drawing>
          <wp:inline distT="0" distB="0" distL="0" distR="0" wp14:anchorId="192505FB" wp14:editId="3C633ED3">
            <wp:extent cx="5410200" cy="3438525"/>
            <wp:effectExtent l="0" t="0" r="19050" b="9525"/>
            <wp:docPr id="2" name="グラフ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F91247" w:rsidRPr="00F91247" w:rsidRDefault="00F91247" w:rsidP="00F91247">
      <w:pPr>
        <w:rPr>
          <w:rFonts w:ascii="Century" w:eastAsia="ＭＳ 明朝" w:hAnsi="Century" w:cs="Times New Roman"/>
        </w:rPr>
      </w:pPr>
      <w:r w:rsidRPr="00F91247">
        <w:rPr>
          <w:rFonts w:ascii="Century" w:eastAsia="ＭＳ 明朝" w:hAnsi="Century" w:cs="Times New Roman"/>
        </w:rPr>
        <w:t>2</w:t>
      </w:r>
      <w:r w:rsidRPr="00F91247">
        <w:rPr>
          <w:rFonts w:ascii="Century" w:eastAsia="ＭＳ 明朝" w:hAnsi="Century" w:cs="Times New Roman" w:hint="eastAsia"/>
        </w:rPr>
        <w:t xml:space="preserve">　貿易</w:t>
      </w:r>
    </w:p>
    <w:p w:rsidR="00F7142A" w:rsidRDefault="003C71C3" w:rsidP="00F91247">
      <w:pPr>
        <w:jc w:val="left"/>
        <w:rPr>
          <w:rFonts w:ascii="Century" w:eastAsia="ＭＳ 明朝" w:hAnsi="Century" w:cs="Times New Roman"/>
        </w:rPr>
      </w:pPr>
      <w:r>
        <w:rPr>
          <w:rFonts w:ascii="Century" w:eastAsia="ＭＳ 明朝" w:hAnsi="Century" w:cs="Times New Roman" w:hint="eastAsia"/>
        </w:rPr>
        <w:lastRenderedPageBreak/>
        <w:t>●</w:t>
      </w:r>
      <w:r w:rsidR="00337E74" w:rsidRPr="00337E74">
        <w:rPr>
          <w:rFonts w:ascii="Century" w:eastAsia="ＭＳ 明朝" w:hAnsi="Century" w:cs="Times New Roman" w:hint="eastAsia"/>
        </w:rPr>
        <w:t>5</w:t>
      </w:r>
      <w:r w:rsidR="00337E74" w:rsidRPr="00337E74">
        <w:rPr>
          <w:rFonts w:ascii="Century" w:eastAsia="ＭＳ 明朝" w:hAnsi="Century" w:cs="Times New Roman" w:hint="eastAsia"/>
        </w:rPr>
        <w:t>月の</w:t>
      </w:r>
      <w:r w:rsidR="00F91247" w:rsidRPr="00337E74">
        <w:rPr>
          <w:rFonts w:ascii="Century" w:eastAsia="ＭＳ 明朝" w:hAnsi="Century" w:cs="Times New Roman" w:hint="eastAsia"/>
        </w:rPr>
        <w:t>輸入額</w:t>
      </w:r>
      <w:r w:rsidR="00C72A7B">
        <w:rPr>
          <w:rFonts w:ascii="Century" w:eastAsia="ＭＳ 明朝" w:hAnsi="Century" w:cs="Times New Roman" w:hint="eastAsia"/>
        </w:rPr>
        <w:t>(</w:t>
      </w:r>
      <w:r w:rsidR="00C72A7B">
        <w:rPr>
          <w:rFonts w:ascii="Century" w:eastAsia="ＭＳ 明朝" w:hAnsi="Century" w:cs="Times New Roman" w:hint="eastAsia"/>
        </w:rPr>
        <w:t>表</w:t>
      </w:r>
      <w:r w:rsidR="00C72A7B">
        <w:rPr>
          <w:rFonts w:ascii="Century" w:eastAsia="ＭＳ 明朝" w:hAnsi="Century" w:cs="Times New Roman" w:hint="eastAsia"/>
        </w:rPr>
        <w:t>2)</w:t>
      </w:r>
      <w:r w:rsidR="00F91247" w:rsidRPr="00337E74">
        <w:rPr>
          <w:rFonts w:ascii="Century" w:eastAsia="ＭＳ 明朝" w:hAnsi="Century" w:cs="Times New Roman" w:hint="eastAsia"/>
        </w:rPr>
        <w:t>は</w:t>
      </w:r>
      <w:r w:rsidR="00EC1534">
        <w:rPr>
          <w:rFonts w:ascii="Century" w:eastAsia="ＭＳ 明朝" w:hAnsi="Century" w:cs="Times New Roman" w:hint="eastAsia"/>
        </w:rPr>
        <w:t>各</w:t>
      </w:r>
      <w:r w:rsidR="00337E74" w:rsidRPr="00337E74">
        <w:rPr>
          <w:rFonts w:ascii="Century" w:eastAsia="ＭＳ 明朝" w:hAnsi="Century" w:cs="Times New Roman" w:hint="eastAsia"/>
        </w:rPr>
        <w:t>1,535</w:t>
      </w:r>
      <w:r w:rsidR="00F91247" w:rsidRPr="00337E74">
        <w:rPr>
          <w:rFonts w:ascii="Century" w:eastAsia="ＭＳ 明朝" w:hAnsi="Century" w:cs="Times New Roman" w:hint="eastAsia"/>
        </w:rPr>
        <w:t>百万ドル</w:t>
      </w:r>
      <w:r w:rsidR="00F91247" w:rsidRPr="00337E74">
        <w:rPr>
          <w:rFonts w:ascii="Century" w:eastAsia="ＭＳ 明朝" w:hAnsi="Century" w:cs="Times New Roman"/>
        </w:rPr>
        <w:t>(</w:t>
      </w:r>
      <w:r w:rsidR="00337E74" w:rsidRPr="00337E74">
        <w:rPr>
          <w:rFonts w:ascii="Century" w:eastAsia="ＭＳ 明朝" w:hAnsi="Century" w:cs="Times New Roman" w:hint="eastAsia"/>
        </w:rPr>
        <w:t>前年比プラス</w:t>
      </w:r>
      <w:r w:rsidR="00337E74" w:rsidRPr="00337E74">
        <w:rPr>
          <w:rFonts w:ascii="Century" w:eastAsia="ＭＳ 明朝" w:hAnsi="Century" w:cs="Times New Roman" w:hint="eastAsia"/>
        </w:rPr>
        <w:t>3.2</w:t>
      </w:r>
      <w:r w:rsidR="00F91247" w:rsidRPr="00337E74">
        <w:rPr>
          <w:rFonts w:ascii="Century" w:eastAsia="ＭＳ 明朝" w:hAnsi="Century" w:cs="Times New Roman"/>
        </w:rPr>
        <w:t>%)</w:t>
      </w:r>
      <w:r w:rsidR="00F91247" w:rsidRPr="00337E74">
        <w:rPr>
          <w:rFonts w:ascii="Century" w:eastAsia="ＭＳ 明朝" w:hAnsi="Century" w:cs="Times New Roman" w:hint="eastAsia"/>
        </w:rPr>
        <w:t>、</w:t>
      </w:r>
      <w:r w:rsidR="00337E74" w:rsidRPr="00337E74">
        <w:rPr>
          <w:rFonts w:ascii="Century" w:eastAsia="ＭＳ 明朝" w:hAnsi="Century" w:cs="Times New Roman" w:hint="eastAsia"/>
        </w:rPr>
        <w:t>同</w:t>
      </w:r>
      <w:r w:rsidR="00F91247" w:rsidRPr="00337E74">
        <w:rPr>
          <w:rFonts w:ascii="Century" w:eastAsia="ＭＳ 明朝" w:hAnsi="Century" w:cs="Times New Roman" w:hint="eastAsia"/>
        </w:rPr>
        <w:t>輸出額</w:t>
      </w:r>
      <w:r w:rsidR="00C72A7B">
        <w:rPr>
          <w:rFonts w:ascii="Century" w:eastAsia="ＭＳ 明朝" w:hAnsi="Century" w:cs="Times New Roman" w:hint="eastAsia"/>
        </w:rPr>
        <w:t>(</w:t>
      </w:r>
      <w:r w:rsidR="00C72A7B">
        <w:rPr>
          <w:rFonts w:ascii="Century" w:eastAsia="ＭＳ 明朝" w:hAnsi="Century" w:cs="Times New Roman" w:hint="eastAsia"/>
        </w:rPr>
        <w:t>表</w:t>
      </w:r>
      <w:r w:rsidR="00C72A7B">
        <w:rPr>
          <w:rFonts w:ascii="Century" w:eastAsia="ＭＳ 明朝" w:hAnsi="Century" w:cs="Times New Roman" w:hint="eastAsia"/>
        </w:rPr>
        <w:t>2)</w:t>
      </w:r>
      <w:r w:rsidR="00F91247" w:rsidRPr="00337E74">
        <w:rPr>
          <w:rFonts w:ascii="Century" w:eastAsia="ＭＳ 明朝" w:hAnsi="Century" w:cs="Times New Roman" w:hint="eastAsia"/>
        </w:rPr>
        <w:t>は</w:t>
      </w:r>
      <w:r w:rsidR="00F91247" w:rsidRPr="00337E74">
        <w:rPr>
          <w:rFonts w:ascii="Century" w:eastAsia="ＭＳ 明朝" w:hAnsi="Century" w:cs="Times New Roman" w:hint="eastAsia"/>
        </w:rPr>
        <w:t>1,0</w:t>
      </w:r>
      <w:r w:rsidR="00337E74" w:rsidRPr="00337E74">
        <w:rPr>
          <w:rFonts w:ascii="Century" w:eastAsia="ＭＳ 明朝" w:hAnsi="Century" w:cs="Times New Roman" w:hint="eastAsia"/>
        </w:rPr>
        <w:t>45.3</w:t>
      </w:r>
      <w:r w:rsidR="00F91247" w:rsidRPr="00337E74">
        <w:rPr>
          <w:rFonts w:ascii="Century" w:eastAsia="ＭＳ 明朝" w:hAnsi="Century" w:cs="Times New Roman" w:hint="eastAsia"/>
        </w:rPr>
        <w:t>百万ドル</w:t>
      </w:r>
      <w:r w:rsidR="00F91247" w:rsidRPr="00337E74">
        <w:rPr>
          <w:rFonts w:ascii="Century" w:eastAsia="ＭＳ 明朝" w:hAnsi="Century" w:cs="Times New Roman"/>
        </w:rPr>
        <w:t>(</w:t>
      </w:r>
      <w:r w:rsidR="00337E74" w:rsidRPr="00337E74">
        <w:rPr>
          <w:rFonts w:ascii="Century" w:eastAsia="ＭＳ 明朝" w:hAnsi="Century" w:cs="Times New Roman" w:hint="eastAsia"/>
        </w:rPr>
        <w:t>前年</w:t>
      </w:r>
      <w:r w:rsidR="002F0450">
        <w:rPr>
          <w:rFonts w:ascii="Century" w:eastAsia="ＭＳ 明朝" w:hAnsi="Century" w:cs="Times New Roman" w:hint="eastAsia"/>
        </w:rPr>
        <w:t>比</w:t>
      </w:r>
      <w:r w:rsidR="00337E74" w:rsidRPr="00337E74">
        <w:rPr>
          <w:rFonts w:ascii="Century" w:eastAsia="ＭＳ 明朝" w:hAnsi="Century" w:cs="Times New Roman" w:hint="eastAsia"/>
        </w:rPr>
        <w:t>プラス</w:t>
      </w:r>
      <w:r w:rsidR="00FD6CD4">
        <w:rPr>
          <w:rFonts w:ascii="Century" w:eastAsia="ＭＳ 明朝" w:hAnsi="Century" w:cs="Times New Roman" w:hint="eastAsia"/>
        </w:rPr>
        <w:t>1.1</w:t>
      </w:r>
      <w:r w:rsidR="00F91247" w:rsidRPr="00337E74">
        <w:rPr>
          <w:rFonts w:ascii="Century" w:eastAsia="ＭＳ 明朝" w:hAnsi="Century" w:cs="Times New Roman"/>
        </w:rPr>
        <w:t>%)</w:t>
      </w:r>
      <w:r>
        <w:rPr>
          <w:rFonts w:ascii="Century" w:eastAsia="ＭＳ 明朝" w:hAnsi="Century" w:cs="Times New Roman" w:hint="eastAsia"/>
        </w:rPr>
        <w:t>となった。</w:t>
      </w:r>
    </w:p>
    <w:p w:rsidR="003C71C3" w:rsidRDefault="003C71C3" w:rsidP="00F91247">
      <w:pPr>
        <w:jc w:val="left"/>
        <w:rPr>
          <w:rFonts w:ascii="Century" w:eastAsia="ＭＳ 明朝" w:hAnsi="Century" w:cs="Times New Roman"/>
        </w:rPr>
      </w:pPr>
      <w:r>
        <w:rPr>
          <w:rFonts w:ascii="Century" w:eastAsia="ＭＳ 明朝" w:hAnsi="Century" w:cs="Times New Roman" w:hint="eastAsia"/>
        </w:rPr>
        <w:t>●</w:t>
      </w:r>
      <w:r>
        <w:rPr>
          <w:rFonts w:ascii="Century" w:eastAsia="ＭＳ 明朝" w:hAnsi="Century" w:cs="Times New Roman" w:hint="eastAsia"/>
        </w:rPr>
        <w:t>6</w:t>
      </w:r>
      <w:r>
        <w:rPr>
          <w:rFonts w:ascii="Century" w:eastAsia="ＭＳ 明朝" w:hAnsi="Century" w:cs="Times New Roman" w:hint="eastAsia"/>
        </w:rPr>
        <w:t>月の輸入額</w:t>
      </w:r>
      <w:r w:rsidR="00C72A7B" w:rsidRPr="00C72A7B">
        <w:rPr>
          <w:rFonts w:ascii="Century" w:eastAsia="ＭＳ 明朝" w:hAnsi="Century" w:cs="Times New Roman" w:hint="eastAsia"/>
        </w:rPr>
        <w:t>(</w:t>
      </w:r>
      <w:r w:rsidR="00C72A7B" w:rsidRPr="00C72A7B">
        <w:rPr>
          <w:rFonts w:ascii="Century" w:eastAsia="ＭＳ 明朝" w:hAnsi="Century" w:cs="Times New Roman" w:hint="eastAsia"/>
        </w:rPr>
        <w:t>表</w:t>
      </w:r>
      <w:r w:rsidR="00C72A7B" w:rsidRPr="00C72A7B">
        <w:rPr>
          <w:rFonts w:ascii="Century" w:eastAsia="ＭＳ 明朝" w:hAnsi="Century" w:cs="Times New Roman" w:hint="eastAsia"/>
        </w:rPr>
        <w:t>2)</w:t>
      </w:r>
      <w:r>
        <w:rPr>
          <w:rFonts w:ascii="Century" w:eastAsia="ＭＳ 明朝" w:hAnsi="Century" w:cs="Times New Roman" w:hint="eastAsia"/>
        </w:rPr>
        <w:t>は</w:t>
      </w:r>
      <w:r>
        <w:rPr>
          <w:rFonts w:ascii="Century" w:eastAsia="ＭＳ 明朝" w:hAnsi="Century" w:cs="Times New Roman" w:hint="eastAsia"/>
        </w:rPr>
        <w:t>1431.4</w:t>
      </w:r>
      <w:r w:rsidR="00C37683">
        <w:rPr>
          <w:rFonts w:ascii="Century" w:eastAsia="ＭＳ 明朝" w:hAnsi="Century" w:cs="Times New Roman" w:hint="eastAsia"/>
        </w:rPr>
        <w:t>百万ドル</w:t>
      </w:r>
      <w:r w:rsidRPr="003C71C3">
        <w:rPr>
          <w:rFonts w:ascii="Century" w:eastAsia="ＭＳ 明朝" w:hAnsi="Century" w:cs="Times New Roman" w:hint="eastAsia"/>
        </w:rPr>
        <w:t>(</w:t>
      </w:r>
      <w:r w:rsidRPr="003C71C3">
        <w:rPr>
          <w:rFonts w:ascii="Century" w:eastAsia="ＭＳ 明朝" w:hAnsi="Century" w:cs="Times New Roman" w:hint="eastAsia"/>
        </w:rPr>
        <w:t>前年比プラス</w:t>
      </w:r>
      <w:r w:rsidRPr="003C71C3">
        <w:rPr>
          <w:rFonts w:ascii="Century" w:eastAsia="ＭＳ 明朝" w:hAnsi="Century" w:cs="Times New Roman" w:hint="eastAsia"/>
        </w:rPr>
        <w:t>2.5%)</w:t>
      </w:r>
      <w:r>
        <w:rPr>
          <w:rFonts w:ascii="Century" w:eastAsia="ＭＳ 明朝" w:hAnsi="Century" w:cs="Times New Roman" w:hint="eastAsia"/>
        </w:rPr>
        <w:t>となり、</w:t>
      </w:r>
      <w:r w:rsidRPr="003C71C3">
        <w:rPr>
          <w:rFonts w:ascii="Century" w:eastAsia="ＭＳ 明朝" w:hAnsi="Century" w:cs="Times New Roman" w:hint="eastAsia"/>
        </w:rPr>
        <w:t>同輸出額</w:t>
      </w:r>
      <w:r w:rsidR="00C72A7B" w:rsidRPr="00C72A7B">
        <w:rPr>
          <w:rFonts w:ascii="Century" w:eastAsia="ＭＳ 明朝" w:hAnsi="Century" w:cs="Times New Roman" w:hint="eastAsia"/>
        </w:rPr>
        <w:t>(</w:t>
      </w:r>
      <w:r w:rsidR="00C72A7B" w:rsidRPr="00C72A7B">
        <w:rPr>
          <w:rFonts w:ascii="Century" w:eastAsia="ＭＳ 明朝" w:hAnsi="Century" w:cs="Times New Roman" w:hint="eastAsia"/>
        </w:rPr>
        <w:t>表</w:t>
      </w:r>
      <w:r w:rsidR="00C72A7B" w:rsidRPr="00C72A7B">
        <w:rPr>
          <w:rFonts w:ascii="Century" w:eastAsia="ＭＳ 明朝" w:hAnsi="Century" w:cs="Times New Roman" w:hint="eastAsia"/>
        </w:rPr>
        <w:t>2)</w:t>
      </w:r>
      <w:r w:rsidRPr="003C71C3">
        <w:rPr>
          <w:rFonts w:ascii="Century" w:eastAsia="ＭＳ 明朝" w:hAnsi="Century" w:cs="Times New Roman" w:hint="eastAsia"/>
        </w:rPr>
        <w:t>は</w:t>
      </w:r>
      <w:r w:rsidRPr="003C71C3">
        <w:rPr>
          <w:rFonts w:ascii="Century" w:eastAsia="ＭＳ 明朝" w:hAnsi="Century" w:cs="Times New Roman" w:hint="eastAsia"/>
        </w:rPr>
        <w:t>980.5</w:t>
      </w:r>
      <w:r w:rsidRPr="003C71C3">
        <w:rPr>
          <w:rFonts w:ascii="Century" w:eastAsia="ＭＳ 明朝" w:hAnsi="Century" w:cs="Times New Roman" w:hint="eastAsia"/>
        </w:rPr>
        <w:t>百万ドル</w:t>
      </w:r>
      <w:r w:rsidRPr="003C71C3">
        <w:rPr>
          <w:rFonts w:ascii="Century" w:eastAsia="ＭＳ 明朝" w:hAnsi="Century" w:cs="Times New Roman" w:hint="eastAsia"/>
        </w:rPr>
        <w:t>(</w:t>
      </w:r>
      <w:r w:rsidRPr="003C71C3">
        <w:rPr>
          <w:rFonts w:ascii="Century" w:eastAsia="ＭＳ 明朝" w:hAnsi="Century" w:cs="Times New Roman" w:hint="eastAsia"/>
        </w:rPr>
        <w:t>前年比プラス</w:t>
      </w:r>
      <w:r w:rsidRPr="003C71C3">
        <w:rPr>
          <w:rFonts w:ascii="Century" w:eastAsia="ＭＳ 明朝" w:hAnsi="Century" w:cs="Times New Roman" w:hint="eastAsia"/>
        </w:rPr>
        <w:t>2.5</w:t>
      </w:r>
      <w:r w:rsidRPr="003C71C3">
        <w:rPr>
          <w:rFonts w:ascii="Century" w:eastAsia="ＭＳ 明朝" w:hAnsi="Century" w:cs="Times New Roman" w:hint="eastAsia"/>
        </w:rPr>
        <w:t>％</w:t>
      </w:r>
      <w:r w:rsidRPr="003C71C3">
        <w:rPr>
          <w:rFonts w:ascii="Century" w:eastAsia="ＭＳ 明朝" w:hAnsi="Century" w:cs="Times New Roman" w:hint="eastAsia"/>
        </w:rPr>
        <w:t>)</w:t>
      </w:r>
      <w:r w:rsidRPr="003C71C3">
        <w:rPr>
          <w:rFonts w:ascii="Century" w:eastAsia="ＭＳ 明朝" w:hAnsi="Century" w:cs="Times New Roman" w:hint="eastAsia"/>
        </w:rPr>
        <w:t>となった。</w:t>
      </w:r>
    </w:p>
    <w:p w:rsidR="006E6D6D" w:rsidRPr="006E6D6D" w:rsidRDefault="00C72A7B" w:rsidP="00F91247">
      <w:pPr>
        <w:jc w:val="left"/>
        <w:rPr>
          <w:rFonts w:ascii="Century" w:eastAsia="ＭＳ 明朝" w:hAnsi="Century" w:cs="Times New Roman"/>
        </w:rPr>
      </w:pPr>
      <w:r>
        <w:rPr>
          <w:rFonts w:ascii="Century" w:eastAsia="ＭＳ 明朝" w:hAnsi="Century" w:cs="Times New Roman" w:hint="eastAsia"/>
        </w:rPr>
        <w:t>●累積</w:t>
      </w:r>
      <w:r w:rsidR="00EC1534">
        <w:rPr>
          <w:rFonts w:ascii="Century" w:eastAsia="ＭＳ 明朝" w:hAnsi="Century" w:cs="Times New Roman" w:hint="eastAsia"/>
        </w:rPr>
        <w:t>額</w:t>
      </w:r>
      <w:r>
        <w:rPr>
          <w:rFonts w:ascii="Century" w:eastAsia="ＭＳ 明朝" w:hAnsi="Century" w:cs="Times New Roman" w:hint="eastAsia"/>
        </w:rPr>
        <w:t>に関しては、輸入額が</w:t>
      </w:r>
      <w:r w:rsidR="00BD3FDF">
        <w:rPr>
          <w:rFonts w:ascii="Century" w:eastAsia="ＭＳ 明朝" w:hAnsi="Century" w:cs="Times New Roman" w:hint="eastAsia"/>
        </w:rPr>
        <w:t>5</w:t>
      </w:r>
      <w:r w:rsidR="00EC1534">
        <w:rPr>
          <w:rFonts w:ascii="Century" w:eastAsia="ＭＳ 明朝" w:hAnsi="Century" w:cs="Times New Roman" w:hint="eastAsia"/>
        </w:rPr>
        <w:t>・</w:t>
      </w:r>
      <w:r w:rsidR="00EC1534">
        <w:rPr>
          <w:rFonts w:ascii="Century" w:eastAsia="ＭＳ 明朝" w:hAnsi="Century" w:cs="Times New Roman" w:hint="eastAsia"/>
        </w:rPr>
        <w:t>6</w:t>
      </w:r>
      <w:r w:rsidR="00BD3FDF">
        <w:rPr>
          <w:rFonts w:ascii="Century" w:eastAsia="ＭＳ 明朝" w:hAnsi="Century" w:cs="Times New Roman" w:hint="eastAsia"/>
        </w:rPr>
        <w:t>月時点</w:t>
      </w:r>
      <w:r w:rsidR="00F91247" w:rsidRPr="006E6D6D">
        <w:rPr>
          <w:rFonts w:ascii="Century" w:eastAsia="ＭＳ 明朝" w:hAnsi="Century" w:cs="Times New Roman"/>
        </w:rPr>
        <w:t>(</w:t>
      </w:r>
      <w:r w:rsidR="00F91247" w:rsidRPr="006E6D6D">
        <w:rPr>
          <w:rFonts w:ascii="Century" w:eastAsia="ＭＳ 明朝" w:hAnsi="Century" w:cs="Times New Roman" w:hint="eastAsia"/>
        </w:rPr>
        <w:t>表</w:t>
      </w:r>
      <w:r w:rsidR="00337E74" w:rsidRPr="006E6D6D">
        <w:rPr>
          <w:rFonts w:ascii="Century" w:eastAsia="ＭＳ 明朝" w:hAnsi="Century" w:cs="Times New Roman" w:hint="eastAsia"/>
        </w:rPr>
        <w:t>3</w:t>
      </w:r>
      <w:r w:rsidR="00F91247" w:rsidRPr="006E6D6D">
        <w:rPr>
          <w:rFonts w:ascii="Century" w:eastAsia="ＭＳ 明朝" w:hAnsi="Century" w:cs="Times New Roman"/>
        </w:rPr>
        <w:t>)</w:t>
      </w:r>
      <w:r w:rsidR="00BD3FDF">
        <w:rPr>
          <w:rFonts w:ascii="Century" w:eastAsia="ＭＳ 明朝" w:hAnsi="Century" w:cs="Times New Roman" w:hint="eastAsia"/>
        </w:rPr>
        <w:t>で</w:t>
      </w:r>
      <w:r w:rsidR="00337E74" w:rsidRPr="006E6D6D">
        <w:rPr>
          <w:rFonts w:ascii="Century" w:eastAsia="ＭＳ 明朝" w:hAnsi="Century" w:cs="Times New Roman" w:hint="eastAsia"/>
        </w:rPr>
        <w:t>各</w:t>
      </w:r>
      <w:r w:rsidR="00337E74" w:rsidRPr="006E6D6D">
        <w:rPr>
          <w:rFonts w:ascii="Century" w:eastAsia="ＭＳ 明朝" w:hAnsi="Century" w:cs="Times New Roman" w:hint="eastAsia"/>
        </w:rPr>
        <w:t>7,541.7</w:t>
      </w:r>
      <w:r w:rsidR="00F91247" w:rsidRPr="006E6D6D">
        <w:rPr>
          <w:rFonts w:ascii="Century" w:eastAsia="ＭＳ 明朝" w:hAnsi="Century" w:cs="Times New Roman" w:hint="eastAsia"/>
        </w:rPr>
        <w:t>1</w:t>
      </w:r>
      <w:r w:rsidR="00F91247" w:rsidRPr="006E6D6D">
        <w:rPr>
          <w:rFonts w:ascii="Century" w:eastAsia="ＭＳ 明朝" w:hAnsi="Century" w:cs="Times New Roman" w:hint="eastAsia"/>
        </w:rPr>
        <w:t>百万ドル</w:t>
      </w:r>
      <w:r w:rsidR="00007D62">
        <w:rPr>
          <w:rFonts w:ascii="Century" w:eastAsia="ＭＳ 明朝" w:hAnsi="Century" w:cs="Times New Roman" w:hint="eastAsia"/>
        </w:rPr>
        <w:t>(</w:t>
      </w:r>
      <w:r w:rsidR="00007D62">
        <w:rPr>
          <w:rFonts w:ascii="Century" w:eastAsia="ＭＳ 明朝" w:hAnsi="Century" w:cs="Times New Roman" w:hint="eastAsia"/>
        </w:rPr>
        <w:t>前年比</w:t>
      </w:r>
      <w:r w:rsidR="009C1767">
        <w:rPr>
          <w:rFonts w:ascii="Century" w:eastAsia="ＭＳ 明朝" w:hAnsi="Century" w:cs="Times New Roman" w:hint="eastAsia"/>
        </w:rPr>
        <w:t>▲</w:t>
      </w:r>
      <w:r w:rsidR="009C1767">
        <w:rPr>
          <w:rFonts w:ascii="Century" w:eastAsia="ＭＳ 明朝" w:hAnsi="Century" w:cs="Times New Roman" w:hint="eastAsia"/>
        </w:rPr>
        <w:t>3.9</w:t>
      </w:r>
      <w:r w:rsidR="009C1767">
        <w:rPr>
          <w:rFonts w:ascii="Century" w:eastAsia="ＭＳ 明朝" w:hAnsi="Century" w:cs="Times New Roman" w:hint="eastAsia"/>
        </w:rPr>
        <w:t>％</w:t>
      </w:r>
      <w:r w:rsidR="00007D62">
        <w:rPr>
          <w:rFonts w:ascii="Century" w:eastAsia="ＭＳ 明朝" w:hAnsi="Century" w:cs="Times New Roman" w:hint="eastAsia"/>
        </w:rPr>
        <w:t>)</w:t>
      </w:r>
      <w:r w:rsidR="00337E74" w:rsidRPr="006E6D6D">
        <w:rPr>
          <w:rFonts w:ascii="Century" w:eastAsia="ＭＳ 明朝" w:hAnsi="Century" w:cs="Times New Roman" w:hint="eastAsia"/>
        </w:rPr>
        <w:t>、</w:t>
      </w:r>
      <w:r w:rsidR="0056521E" w:rsidRPr="0056521E">
        <w:rPr>
          <w:rFonts w:ascii="Century" w:eastAsia="ＭＳ 明朝" w:hAnsi="Century" w:cs="Times New Roman" w:hint="eastAsia"/>
        </w:rPr>
        <w:t>8,973.1</w:t>
      </w:r>
      <w:r w:rsidR="0056521E" w:rsidRPr="0056521E">
        <w:rPr>
          <w:rFonts w:ascii="Century" w:eastAsia="ＭＳ 明朝" w:hAnsi="Century" w:cs="Times New Roman" w:hint="eastAsia"/>
        </w:rPr>
        <w:t>百万ドル</w:t>
      </w:r>
      <w:r w:rsidR="00007D62">
        <w:rPr>
          <w:rFonts w:ascii="Century" w:eastAsia="ＭＳ 明朝" w:hAnsi="Century" w:cs="Times New Roman" w:hint="eastAsia"/>
        </w:rPr>
        <w:t>(</w:t>
      </w:r>
      <w:r w:rsidR="00007D62">
        <w:rPr>
          <w:rFonts w:ascii="Century" w:eastAsia="ＭＳ 明朝" w:hAnsi="Century" w:cs="Times New Roman" w:hint="eastAsia"/>
        </w:rPr>
        <w:t>前年比</w:t>
      </w:r>
      <w:r w:rsidR="009C1767">
        <w:rPr>
          <w:rFonts w:ascii="Century" w:eastAsia="ＭＳ 明朝" w:hAnsi="Century" w:cs="Times New Roman" w:hint="eastAsia"/>
        </w:rPr>
        <w:t>1</w:t>
      </w:r>
      <w:r w:rsidR="009C1767">
        <w:rPr>
          <w:rFonts w:ascii="Century" w:eastAsia="ＭＳ 明朝" w:hAnsi="Century" w:cs="Times New Roman" w:hint="eastAsia"/>
        </w:rPr>
        <w:t>％増</w:t>
      </w:r>
      <w:r w:rsidR="00007D62">
        <w:rPr>
          <w:rFonts w:ascii="Century" w:eastAsia="ＭＳ 明朝" w:hAnsi="Century" w:cs="Times New Roman" w:hint="eastAsia"/>
        </w:rPr>
        <w:t>)</w:t>
      </w:r>
      <w:r w:rsidR="009C1767">
        <w:rPr>
          <w:rFonts w:ascii="Century" w:eastAsia="ＭＳ 明朝" w:hAnsi="Century" w:cs="Times New Roman" w:hint="eastAsia"/>
        </w:rPr>
        <w:t>となった。</w:t>
      </w:r>
      <w:r w:rsidR="00EC1534">
        <w:rPr>
          <w:rFonts w:ascii="Century" w:eastAsia="ＭＳ 明朝" w:hAnsi="Century" w:cs="Times New Roman" w:hint="eastAsia"/>
        </w:rPr>
        <w:t>同輸出額</w:t>
      </w:r>
      <w:r w:rsidR="00BD3FDF">
        <w:rPr>
          <w:rFonts w:ascii="Century" w:eastAsia="ＭＳ 明朝" w:hAnsi="Century" w:cs="Times New Roman" w:hint="eastAsia"/>
        </w:rPr>
        <w:t>(</w:t>
      </w:r>
      <w:r w:rsidR="00BD3FDF">
        <w:rPr>
          <w:rFonts w:ascii="Century" w:eastAsia="ＭＳ 明朝" w:hAnsi="Century" w:cs="Times New Roman" w:hint="eastAsia"/>
        </w:rPr>
        <w:t>表</w:t>
      </w:r>
      <w:r w:rsidR="00BD3FDF">
        <w:rPr>
          <w:rFonts w:ascii="Century" w:eastAsia="ＭＳ 明朝" w:hAnsi="Century" w:cs="Times New Roman" w:hint="eastAsia"/>
        </w:rPr>
        <w:t>4)</w:t>
      </w:r>
      <w:r w:rsidR="00EC1534">
        <w:rPr>
          <w:rFonts w:ascii="Century" w:eastAsia="ＭＳ 明朝" w:hAnsi="Century" w:cs="Times New Roman" w:hint="eastAsia"/>
        </w:rPr>
        <w:t>は各</w:t>
      </w:r>
      <w:r w:rsidR="0056521E" w:rsidRPr="0056521E">
        <w:rPr>
          <w:rFonts w:ascii="Century" w:eastAsia="ＭＳ 明朝" w:hAnsi="Century" w:cs="Times New Roman" w:hint="eastAsia"/>
        </w:rPr>
        <w:t>4,894.2</w:t>
      </w:r>
      <w:r w:rsidR="0056521E" w:rsidRPr="0056521E">
        <w:rPr>
          <w:rFonts w:ascii="Century" w:eastAsia="ＭＳ 明朝" w:hAnsi="Century" w:cs="Times New Roman" w:hint="eastAsia"/>
        </w:rPr>
        <w:t>百万ドル</w:t>
      </w:r>
      <w:r w:rsidR="00BD3FDF">
        <w:rPr>
          <w:rFonts w:ascii="Century" w:eastAsia="ＭＳ 明朝" w:hAnsi="Century" w:cs="Times New Roman" w:hint="eastAsia"/>
        </w:rPr>
        <w:t>、</w:t>
      </w:r>
      <w:r w:rsidR="00BD3FDF">
        <w:rPr>
          <w:rFonts w:ascii="Century" w:eastAsia="ＭＳ 明朝" w:hAnsi="Century" w:cs="Times New Roman" w:hint="eastAsia"/>
        </w:rPr>
        <w:t>5,874.4</w:t>
      </w:r>
      <w:r w:rsidR="00BD3FDF">
        <w:rPr>
          <w:rFonts w:ascii="Century" w:eastAsia="ＭＳ 明朝" w:hAnsi="Century" w:cs="Times New Roman" w:hint="eastAsia"/>
        </w:rPr>
        <w:t>百万ドル</w:t>
      </w:r>
      <w:r w:rsidR="00007D62">
        <w:rPr>
          <w:rFonts w:ascii="Century" w:eastAsia="ＭＳ 明朝" w:hAnsi="Century" w:cs="Times New Roman" w:hint="eastAsia"/>
        </w:rPr>
        <w:t>(</w:t>
      </w:r>
      <w:r w:rsidR="009C1767">
        <w:rPr>
          <w:rFonts w:ascii="Century" w:eastAsia="ＭＳ 明朝" w:hAnsi="Century" w:cs="Times New Roman" w:hint="eastAsia"/>
        </w:rPr>
        <w:t>ともに前年とほぼ同値</w:t>
      </w:r>
      <w:r w:rsidR="00007D62">
        <w:rPr>
          <w:rFonts w:ascii="Century" w:eastAsia="ＭＳ 明朝" w:hAnsi="Century" w:cs="Times New Roman" w:hint="eastAsia"/>
        </w:rPr>
        <w:t>)</w:t>
      </w:r>
      <w:r w:rsidR="00EC1534">
        <w:rPr>
          <w:rFonts w:ascii="Century" w:eastAsia="ＭＳ 明朝" w:hAnsi="Century" w:cs="Times New Roman" w:hint="eastAsia"/>
        </w:rPr>
        <w:t>を記録し、</w:t>
      </w:r>
      <w:r w:rsidR="00E6443F">
        <w:rPr>
          <w:rFonts w:ascii="Century" w:eastAsia="ＭＳ 明朝" w:hAnsi="Century" w:cs="Times New Roman" w:hint="eastAsia"/>
        </w:rPr>
        <w:t>貿易</w:t>
      </w:r>
      <w:r w:rsidR="00473E3C">
        <w:rPr>
          <w:rFonts w:ascii="Century" w:eastAsia="ＭＳ 明朝" w:hAnsi="Century" w:cs="Times New Roman" w:hint="eastAsia"/>
        </w:rPr>
        <w:t>赤字額</w:t>
      </w:r>
      <w:r w:rsidR="006E6D6D" w:rsidRPr="006E6D6D">
        <w:rPr>
          <w:rFonts w:ascii="Century" w:eastAsia="ＭＳ 明朝" w:hAnsi="Century" w:cs="Times New Roman" w:hint="eastAsia"/>
        </w:rPr>
        <w:t>は</w:t>
      </w:r>
      <w:r w:rsidR="00EC1534">
        <w:rPr>
          <w:rFonts w:ascii="Century" w:eastAsia="ＭＳ 明朝" w:hAnsi="Century" w:cs="Times New Roman" w:hint="eastAsia"/>
        </w:rPr>
        <w:t>5</w:t>
      </w:r>
      <w:r w:rsidR="00EC1534">
        <w:rPr>
          <w:rFonts w:ascii="Century" w:eastAsia="ＭＳ 明朝" w:hAnsi="Century" w:cs="Times New Roman" w:hint="eastAsia"/>
        </w:rPr>
        <w:t>月に</w:t>
      </w:r>
      <w:r w:rsidR="006E6D6D" w:rsidRPr="006E6D6D">
        <w:rPr>
          <w:rFonts w:ascii="Century" w:eastAsia="ＭＳ 明朝" w:hAnsi="Century" w:cs="Times New Roman" w:hint="eastAsia"/>
        </w:rPr>
        <w:t>2,647.5</w:t>
      </w:r>
      <w:r w:rsidR="00F91247" w:rsidRPr="006E6D6D">
        <w:rPr>
          <w:rFonts w:ascii="Century" w:eastAsia="ＭＳ 明朝" w:hAnsi="Century" w:cs="Times New Roman" w:hint="eastAsia"/>
        </w:rPr>
        <w:t>百万ドル</w:t>
      </w:r>
      <w:r w:rsidR="00E6443F">
        <w:rPr>
          <w:rFonts w:ascii="Century" w:eastAsia="ＭＳ 明朝" w:hAnsi="Century" w:cs="Times New Roman" w:hint="eastAsia"/>
        </w:rPr>
        <w:t>(</w:t>
      </w:r>
      <w:r w:rsidR="00E6443F">
        <w:rPr>
          <w:rFonts w:ascii="Century" w:eastAsia="ＭＳ 明朝" w:hAnsi="Century" w:cs="Times New Roman" w:hint="eastAsia"/>
        </w:rPr>
        <w:t>前年</w:t>
      </w:r>
      <w:r w:rsidR="00F91247" w:rsidRPr="006E6D6D">
        <w:rPr>
          <w:rFonts w:ascii="Century" w:eastAsia="ＭＳ 明朝" w:hAnsi="Century" w:cs="Times New Roman" w:hint="eastAsia"/>
        </w:rPr>
        <w:t>比</w:t>
      </w:r>
      <w:r w:rsidR="003F0817">
        <w:rPr>
          <w:rFonts w:ascii="Century" w:eastAsia="ＭＳ 明朝" w:hAnsi="Century" w:cs="Times New Roman" w:hint="eastAsia"/>
        </w:rPr>
        <w:t>▲</w:t>
      </w:r>
      <w:r w:rsidR="006E6D6D" w:rsidRPr="006E6D6D">
        <w:rPr>
          <w:rFonts w:ascii="Century" w:eastAsia="ＭＳ 明朝" w:hAnsi="Century" w:cs="Times New Roman" w:hint="eastAsia"/>
        </w:rPr>
        <w:t>10</w:t>
      </w:r>
      <w:r w:rsidR="003F0817">
        <w:rPr>
          <w:rFonts w:ascii="Century" w:eastAsia="ＭＳ 明朝" w:hAnsi="Century" w:cs="Times New Roman" w:hint="eastAsia"/>
        </w:rPr>
        <w:t>％</w:t>
      </w:r>
      <w:r w:rsidR="00E6443F">
        <w:rPr>
          <w:rFonts w:ascii="Century" w:eastAsia="ＭＳ 明朝" w:hAnsi="Century" w:cs="Times New Roman" w:hint="eastAsia"/>
        </w:rPr>
        <w:t>)</w:t>
      </w:r>
      <w:r w:rsidR="00E6443F">
        <w:rPr>
          <w:rFonts w:ascii="Century" w:eastAsia="ＭＳ 明朝" w:hAnsi="Century" w:cs="Times New Roman" w:hint="eastAsia"/>
        </w:rPr>
        <w:t>、</w:t>
      </w:r>
      <w:r w:rsidR="00EC1534">
        <w:rPr>
          <w:rFonts w:ascii="Century" w:eastAsia="ＭＳ 明朝" w:hAnsi="Century" w:cs="Times New Roman" w:hint="eastAsia"/>
        </w:rPr>
        <w:t>6</w:t>
      </w:r>
      <w:r w:rsidR="00EC1534">
        <w:rPr>
          <w:rFonts w:ascii="Century" w:eastAsia="ＭＳ 明朝" w:hAnsi="Century" w:cs="Times New Roman" w:hint="eastAsia"/>
        </w:rPr>
        <w:t>月に</w:t>
      </w:r>
      <w:r w:rsidR="00E6443F">
        <w:rPr>
          <w:rFonts w:ascii="Century" w:eastAsia="ＭＳ 明朝" w:hAnsi="Century" w:cs="Times New Roman" w:hint="eastAsia"/>
        </w:rPr>
        <w:t>3,098.7</w:t>
      </w:r>
      <w:r w:rsidR="00E6443F">
        <w:rPr>
          <w:rFonts w:ascii="Century" w:eastAsia="ＭＳ 明朝" w:hAnsi="Century" w:cs="Times New Roman" w:hint="eastAsia"/>
        </w:rPr>
        <w:t>百万ドル</w:t>
      </w:r>
      <w:r w:rsidR="00E6443F">
        <w:rPr>
          <w:rFonts w:ascii="Century" w:eastAsia="ＭＳ 明朝" w:hAnsi="Century" w:cs="Times New Roman" w:hint="eastAsia"/>
        </w:rPr>
        <w:t>(</w:t>
      </w:r>
      <w:r w:rsidR="00E6443F">
        <w:rPr>
          <w:rFonts w:ascii="Century" w:eastAsia="ＭＳ 明朝" w:hAnsi="Century" w:cs="Times New Roman" w:hint="eastAsia"/>
        </w:rPr>
        <w:t>前年比</w:t>
      </w:r>
      <w:r w:rsidR="0056521E">
        <w:rPr>
          <w:rFonts w:ascii="Century" w:eastAsia="ＭＳ 明朝" w:hAnsi="Century" w:cs="Times New Roman" w:hint="eastAsia"/>
        </w:rPr>
        <w:t>2.4</w:t>
      </w:r>
      <w:r w:rsidR="00E6443F">
        <w:rPr>
          <w:rFonts w:ascii="Century" w:eastAsia="ＭＳ 明朝" w:hAnsi="Century" w:cs="Times New Roman" w:hint="eastAsia"/>
        </w:rPr>
        <w:t>％</w:t>
      </w:r>
      <w:r w:rsidR="003E6326">
        <w:rPr>
          <w:rFonts w:ascii="Century" w:eastAsia="ＭＳ 明朝" w:hAnsi="Century" w:cs="Times New Roman" w:hint="eastAsia"/>
        </w:rPr>
        <w:t>増</w:t>
      </w:r>
      <w:r w:rsidR="00E6443F">
        <w:rPr>
          <w:rFonts w:ascii="Century" w:eastAsia="ＭＳ 明朝" w:hAnsi="Century" w:cs="Times New Roman" w:hint="eastAsia"/>
        </w:rPr>
        <w:t>)</w:t>
      </w:r>
      <w:r w:rsidR="00F91247" w:rsidRPr="006E6D6D">
        <w:rPr>
          <w:rFonts w:ascii="Century" w:eastAsia="ＭＳ 明朝" w:hAnsi="Century" w:cs="Times New Roman" w:hint="eastAsia"/>
        </w:rPr>
        <w:t>となった</w:t>
      </w:r>
      <w:r w:rsidR="008A3458">
        <w:rPr>
          <w:rFonts w:ascii="Century" w:eastAsia="ＭＳ 明朝" w:hAnsi="Century" w:cs="Times New Roman" w:hint="eastAsia"/>
        </w:rPr>
        <w:t>。</w:t>
      </w:r>
    </w:p>
    <w:p w:rsidR="00473E3C" w:rsidRDefault="00F91247" w:rsidP="00473E3C">
      <w:pPr>
        <w:jc w:val="left"/>
        <w:rPr>
          <w:rFonts w:ascii="Century" w:eastAsia="ＭＳ 明朝" w:hAnsi="Century" w:cs="Times New Roman"/>
        </w:rPr>
      </w:pPr>
      <w:r w:rsidRPr="008A3458">
        <w:rPr>
          <w:rFonts w:ascii="Century" w:eastAsia="ＭＳ 明朝" w:hAnsi="Century" w:cs="Times New Roman" w:hint="eastAsia"/>
        </w:rPr>
        <w:t>●</w:t>
      </w:r>
      <w:r w:rsidR="003637A9">
        <w:rPr>
          <w:rFonts w:ascii="Century" w:eastAsia="ＭＳ 明朝" w:hAnsi="Century" w:cs="Times New Roman" w:hint="eastAsia"/>
        </w:rPr>
        <w:t>輸出額の</w:t>
      </w:r>
      <w:r w:rsidR="00B23F96">
        <w:rPr>
          <w:rFonts w:ascii="Century" w:eastAsia="ＭＳ 明朝" w:hAnsi="Century" w:cs="Times New Roman" w:hint="eastAsia"/>
        </w:rPr>
        <w:t>前年同期からの伸び悩み</w:t>
      </w:r>
      <w:r w:rsidR="00E6443F">
        <w:rPr>
          <w:rFonts w:ascii="Century" w:eastAsia="ＭＳ 明朝" w:hAnsi="Century" w:cs="Times New Roman" w:hint="eastAsia"/>
        </w:rPr>
        <w:t>の要因として、</w:t>
      </w:r>
      <w:r w:rsidR="00E6443F">
        <w:rPr>
          <w:rFonts w:ascii="Century" w:eastAsia="ＭＳ 明朝" w:hAnsi="Century" w:cs="Times New Roman" w:hint="eastAsia"/>
        </w:rPr>
        <w:t>4</w:t>
      </w:r>
      <w:r w:rsidR="00474B11">
        <w:rPr>
          <w:rFonts w:ascii="Century" w:eastAsia="ＭＳ 明朝" w:hAnsi="Century" w:cs="Times New Roman" w:hint="eastAsia"/>
        </w:rPr>
        <w:t>月に発表</w:t>
      </w:r>
      <w:r w:rsidR="00E6443F">
        <w:rPr>
          <w:rFonts w:ascii="Century" w:eastAsia="ＭＳ 明朝" w:hAnsi="Century" w:cs="Times New Roman" w:hint="eastAsia"/>
        </w:rPr>
        <w:t>されたインテル社の製造部門撤退</w:t>
      </w:r>
      <w:r w:rsidR="008E7ED3">
        <w:rPr>
          <w:rFonts w:ascii="Century" w:eastAsia="ＭＳ 明朝" w:hAnsi="Century" w:cs="Times New Roman" w:hint="eastAsia"/>
        </w:rPr>
        <w:t>の</w:t>
      </w:r>
      <w:r w:rsidR="00E6443F">
        <w:rPr>
          <w:rFonts w:ascii="Century" w:eastAsia="ＭＳ 明朝" w:hAnsi="Century" w:cs="Times New Roman" w:hint="eastAsia"/>
        </w:rPr>
        <w:t>第一段階が</w:t>
      </w:r>
      <w:r w:rsidR="00E6443F">
        <w:rPr>
          <w:rFonts w:ascii="Century" w:eastAsia="ＭＳ 明朝" w:hAnsi="Century" w:cs="Times New Roman" w:hint="eastAsia"/>
        </w:rPr>
        <w:t>5</w:t>
      </w:r>
      <w:r w:rsidR="00E6443F">
        <w:rPr>
          <w:rFonts w:ascii="Century" w:eastAsia="ＭＳ 明朝" w:hAnsi="Century" w:cs="Times New Roman" w:hint="eastAsia"/>
        </w:rPr>
        <w:t>月末に実施されたことが</w:t>
      </w:r>
      <w:r w:rsidR="00646DF2">
        <w:rPr>
          <w:rFonts w:ascii="Century" w:eastAsia="ＭＳ 明朝" w:hAnsi="Century" w:cs="Times New Roman" w:hint="eastAsia"/>
        </w:rPr>
        <w:t>あげられており、実際に</w:t>
      </w:r>
      <w:r w:rsidR="00646DF2">
        <w:rPr>
          <w:rFonts w:ascii="Century" w:eastAsia="ＭＳ 明朝" w:hAnsi="Century" w:cs="Times New Roman" w:hint="eastAsia"/>
        </w:rPr>
        <w:t>6</w:t>
      </w:r>
      <w:r w:rsidR="00646DF2">
        <w:rPr>
          <w:rFonts w:ascii="Century" w:eastAsia="ＭＳ 明朝" w:hAnsi="Century" w:cs="Times New Roman" w:hint="eastAsia"/>
        </w:rPr>
        <w:t>月の電子関連部品の輸出額は前年</w:t>
      </w:r>
      <w:r w:rsidR="002E5BEF">
        <w:rPr>
          <w:rFonts w:ascii="Century" w:eastAsia="ＭＳ 明朝" w:hAnsi="Century" w:cs="Times New Roman" w:hint="eastAsia"/>
        </w:rPr>
        <w:t>同期の</w:t>
      </w:r>
      <w:r w:rsidR="00646DF2">
        <w:rPr>
          <w:rFonts w:ascii="Century" w:eastAsia="ＭＳ 明朝" w:hAnsi="Century" w:cs="Times New Roman" w:hint="eastAsia"/>
        </w:rPr>
        <w:t>28</w:t>
      </w:r>
      <w:r w:rsidR="00FC08E7">
        <w:rPr>
          <w:rFonts w:ascii="Century" w:eastAsia="ＭＳ 明朝" w:hAnsi="Century" w:cs="Times New Roman" w:hint="eastAsia"/>
        </w:rPr>
        <w:t>1.6</w:t>
      </w:r>
      <w:r w:rsidR="002066A3">
        <w:rPr>
          <w:rFonts w:ascii="Century" w:eastAsia="ＭＳ 明朝" w:hAnsi="Century" w:cs="Times New Roman" w:hint="eastAsia"/>
        </w:rPr>
        <w:t>百</w:t>
      </w:r>
      <w:r w:rsidR="00646DF2">
        <w:rPr>
          <w:rFonts w:ascii="Century" w:eastAsia="ＭＳ 明朝" w:hAnsi="Century" w:cs="Times New Roman" w:hint="eastAsia"/>
        </w:rPr>
        <w:t>万ドルを約</w:t>
      </w:r>
      <w:r w:rsidR="00646DF2">
        <w:rPr>
          <w:rFonts w:ascii="Century" w:eastAsia="ＭＳ 明朝" w:hAnsi="Century" w:cs="Times New Roman" w:hint="eastAsia"/>
        </w:rPr>
        <w:t>18.5</w:t>
      </w:r>
      <w:r w:rsidR="00646DF2">
        <w:rPr>
          <w:rFonts w:ascii="Century" w:eastAsia="ＭＳ 明朝" w:hAnsi="Century" w:cs="Times New Roman" w:hint="eastAsia"/>
        </w:rPr>
        <w:t>％近く下回る</w:t>
      </w:r>
      <w:r w:rsidR="00646DF2">
        <w:rPr>
          <w:rFonts w:ascii="Century" w:eastAsia="ＭＳ 明朝" w:hAnsi="Century" w:cs="Times New Roman" w:hint="eastAsia"/>
        </w:rPr>
        <w:t>2</w:t>
      </w:r>
      <w:r w:rsidR="00FC08E7">
        <w:rPr>
          <w:rFonts w:ascii="Century" w:eastAsia="ＭＳ 明朝" w:hAnsi="Century" w:cs="Times New Roman" w:hint="eastAsia"/>
        </w:rPr>
        <w:t>29.7</w:t>
      </w:r>
      <w:r w:rsidR="00FC08E7">
        <w:rPr>
          <w:rFonts w:ascii="Century" w:eastAsia="ＭＳ 明朝" w:hAnsi="Century" w:cs="Times New Roman" w:hint="eastAsia"/>
        </w:rPr>
        <w:t>百</w:t>
      </w:r>
      <w:r w:rsidR="00646DF2">
        <w:rPr>
          <w:rFonts w:ascii="Century" w:eastAsia="ＭＳ 明朝" w:hAnsi="Century" w:cs="Times New Roman" w:hint="eastAsia"/>
        </w:rPr>
        <w:t>万ドルとなっ</w:t>
      </w:r>
      <w:r w:rsidR="008915CE">
        <w:rPr>
          <w:rFonts w:ascii="Century" w:eastAsia="ＭＳ 明朝" w:hAnsi="Century" w:cs="Times New Roman" w:hint="eastAsia"/>
        </w:rPr>
        <w:t>た</w:t>
      </w:r>
      <w:r w:rsidR="00646DF2">
        <w:rPr>
          <w:rFonts w:ascii="Century" w:eastAsia="ＭＳ 明朝" w:hAnsi="Century" w:cs="Times New Roman" w:hint="eastAsia"/>
        </w:rPr>
        <w:t>。</w:t>
      </w:r>
      <w:r w:rsidR="00694690">
        <w:rPr>
          <w:rFonts w:ascii="Century" w:eastAsia="ＭＳ 明朝" w:hAnsi="Century" w:cs="Times New Roman" w:hint="eastAsia"/>
        </w:rPr>
        <w:t>他方で、</w:t>
      </w:r>
      <w:r w:rsidR="003637A9">
        <w:rPr>
          <w:rFonts w:ascii="Century" w:eastAsia="ＭＳ 明朝" w:hAnsi="Century" w:cs="Times New Roman" w:hint="eastAsia"/>
        </w:rPr>
        <w:t>生命科学・</w:t>
      </w:r>
      <w:r w:rsidR="00694690">
        <w:rPr>
          <w:rFonts w:ascii="Century" w:eastAsia="ＭＳ 明朝" w:hAnsi="Century" w:cs="Times New Roman" w:hint="eastAsia"/>
        </w:rPr>
        <w:t>医療器具</w:t>
      </w:r>
      <w:r w:rsidR="003637A9">
        <w:rPr>
          <w:rFonts w:ascii="Century" w:eastAsia="ＭＳ 明朝" w:hAnsi="Century" w:cs="Times New Roman" w:hint="eastAsia"/>
        </w:rPr>
        <w:t>の輸出額</w:t>
      </w:r>
      <w:r w:rsidR="008E7ED3">
        <w:rPr>
          <w:rFonts w:ascii="Century" w:eastAsia="ＭＳ 明朝" w:hAnsi="Century" w:cs="Times New Roman" w:hint="eastAsia"/>
        </w:rPr>
        <w:t>に関しては</w:t>
      </w:r>
      <w:r w:rsidR="003637A9">
        <w:rPr>
          <w:rFonts w:ascii="Century" w:eastAsia="ＭＳ 明朝" w:hAnsi="Century" w:cs="Times New Roman" w:hint="eastAsia"/>
        </w:rPr>
        <w:t>前年からの増加が顕著であり、</w:t>
      </w:r>
      <w:r w:rsidR="003637A9">
        <w:rPr>
          <w:rFonts w:ascii="Century" w:eastAsia="ＭＳ 明朝" w:hAnsi="Century" w:cs="Times New Roman" w:hint="eastAsia"/>
        </w:rPr>
        <w:t>5</w:t>
      </w:r>
      <w:r w:rsidR="00694690">
        <w:rPr>
          <w:rFonts w:ascii="Century" w:eastAsia="ＭＳ 明朝" w:hAnsi="Century" w:cs="Times New Roman" w:hint="eastAsia"/>
        </w:rPr>
        <w:t>月</w:t>
      </w:r>
      <w:r w:rsidR="003637A9">
        <w:rPr>
          <w:rFonts w:ascii="Century" w:eastAsia="ＭＳ 明朝" w:hAnsi="Century" w:cs="Times New Roman" w:hint="eastAsia"/>
        </w:rPr>
        <w:t>に</w:t>
      </w:r>
      <w:r w:rsidR="00694690">
        <w:rPr>
          <w:rFonts w:ascii="Century" w:eastAsia="ＭＳ 明朝" w:hAnsi="Century" w:cs="Times New Roman" w:hint="eastAsia"/>
        </w:rPr>
        <w:t>151</w:t>
      </w:r>
      <w:r w:rsidR="00FC08E7">
        <w:rPr>
          <w:rFonts w:ascii="Century" w:eastAsia="ＭＳ 明朝" w:hAnsi="Century" w:cs="Times New Roman" w:hint="eastAsia"/>
        </w:rPr>
        <w:t>.</w:t>
      </w:r>
      <w:r w:rsidR="00694690">
        <w:rPr>
          <w:rFonts w:ascii="Century" w:eastAsia="ＭＳ 明朝" w:hAnsi="Century" w:cs="Times New Roman" w:hint="eastAsia"/>
        </w:rPr>
        <w:t>7</w:t>
      </w:r>
      <w:r w:rsidR="00FC08E7">
        <w:rPr>
          <w:rFonts w:ascii="Century" w:eastAsia="ＭＳ 明朝" w:hAnsi="Century" w:cs="Times New Roman" w:hint="eastAsia"/>
        </w:rPr>
        <w:t>百</w:t>
      </w:r>
      <w:r w:rsidR="00694690">
        <w:rPr>
          <w:rFonts w:ascii="Century" w:eastAsia="ＭＳ 明朝" w:hAnsi="Century" w:cs="Times New Roman" w:hint="eastAsia"/>
        </w:rPr>
        <w:t>万ドル</w:t>
      </w:r>
      <w:r w:rsidR="00694690">
        <w:rPr>
          <w:rFonts w:ascii="Century" w:eastAsia="ＭＳ 明朝" w:hAnsi="Century" w:cs="Times New Roman" w:hint="eastAsia"/>
        </w:rPr>
        <w:t>(</w:t>
      </w:r>
      <w:r w:rsidR="00694690">
        <w:rPr>
          <w:rFonts w:ascii="Century" w:eastAsia="ＭＳ 明朝" w:hAnsi="Century" w:cs="Times New Roman" w:hint="eastAsia"/>
        </w:rPr>
        <w:t>前年比</w:t>
      </w:r>
      <w:r w:rsidR="00694690">
        <w:rPr>
          <w:rFonts w:ascii="Century" w:eastAsia="ＭＳ 明朝" w:hAnsi="Century" w:cs="Times New Roman" w:hint="eastAsia"/>
        </w:rPr>
        <w:t>26.6</w:t>
      </w:r>
      <w:r w:rsidR="00694690">
        <w:rPr>
          <w:rFonts w:ascii="Century" w:eastAsia="ＭＳ 明朝" w:hAnsi="Century" w:cs="Times New Roman" w:hint="eastAsia"/>
        </w:rPr>
        <w:t>％増</w:t>
      </w:r>
      <w:r w:rsidR="00694690">
        <w:rPr>
          <w:rFonts w:ascii="Century" w:eastAsia="ＭＳ 明朝" w:hAnsi="Century" w:cs="Times New Roman" w:hint="eastAsia"/>
        </w:rPr>
        <w:t>)</w:t>
      </w:r>
      <w:r w:rsidR="00694690">
        <w:rPr>
          <w:rFonts w:ascii="Century" w:eastAsia="ＭＳ 明朝" w:hAnsi="Century" w:cs="Times New Roman" w:hint="eastAsia"/>
        </w:rPr>
        <w:t>、</w:t>
      </w:r>
      <w:r w:rsidR="003637A9">
        <w:rPr>
          <w:rFonts w:ascii="Century" w:eastAsia="ＭＳ 明朝" w:hAnsi="Century" w:cs="Times New Roman" w:hint="eastAsia"/>
        </w:rPr>
        <w:t>6</w:t>
      </w:r>
      <w:r w:rsidR="003637A9">
        <w:rPr>
          <w:rFonts w:ascii="Century" w:eastAsia="ＭＳ 明朝" w:hAnsi="Century" w:cs="Times New Roman" w:hint="eastAsia"/>
        </w:rPr>
        <w:t>月に</w:t>
      </w:r>
      <w:r w:rsidR="00FC08E7">
        <w:rPr>
          <w:rFonts w:ascii="Century" w:eastAsia="ＭＳ 明朝" w:hAnsi="Century" w:cs="Times New Roman" w:hint="eastAsia"/>
        </w:rPr>
        <w:t>160.5</w:t>
      </w:r>
      <w:r w:rsidR="00694690">
        <w:rPr>
          <w:rFonts w:ascii="Century" w:eastAsia="ＭＳ 明朝" w:hAnsi="Century" w:cs="Times New Roman" w:hint="eastAsia"/>
        </w:rPr>
        <w:t>万ドル</w:t>
      </w:r>
      <w:r w:rsidR="00694690">
        <w:rPr>
          <w:rFonts w:ascii="Century" w:eastAsia="ＭＳ 明朝" w:hAnsi="Century" w:cs="Times New Roman" w:hint="eastAsia"/>
        </w:rPr>
        <w:t>(</w:t>
      </w:r>
      <w:r w:rsidR="00EA4A33">
        <w:rPr>
          <w:rFonts w:ascii="Century" w:eastAsia="ＭＳ 明朝" w:hAnsi="Century" w:cs="Times New Roman" w:hint="eastAsia"/>
        </w:rPr>
        <w:t>前年比</w:t>
      </w:r>
      <w:r w:rsidR="00694690">
        <w:rPr>
          <w:rFonts w:ascii="Century" w:eastAsia="ＭＳ 明朝" w:hAnsi="Century" w:cs="Times New Roman" w:hint="eastAsia"/>
        </w:rPr>
        <w:t>19.5</w:t>
      </w:r>
      <w:r w:rsidR="00694690">
        <w:rPr>
          <w:rFonts w:ascii="Century" w:eastAsia="ＭＳ 明朝" w:hAnsi="Century" w:cs="Times New Roman" w:hint="eastAsia"/>
        </w:rPr>
        <w:t>％増</w:t>
      </w:r>
      <w:r w:rsidR="00694690">
        <w:rPr>
          <w:rFonts w:ascii="Century" w:eastAsia="ＭＳ 明朝" w:hAnsi="Century" w:cs="Times New Roman" w:hint="eastAsia"/>
        </w:rPr>
        <w:t>)</w:t>
      </w:r>
      <w:r w:rsidR="00694690">
        <w:rPr>
          <w:rFonts w:ascii="Century" w:eastAsia="ＭＳ 明朝" w:hAnsi="Century" w:cs="Times New Roman" w:hint="eastAsia"/>
        </w:rPr>
        <w:t>を記録した</w:t>
      </w:r>
      <w:r w:rsidR="008E7ED3">
        <w:rPr>
          <w:rFonts w:ascii="Century" w:eastAsia="ＭＳ 明朝" w:hAnsi="Century" w:cs="Times New Roman" w:hint="eastAsia"/>
        </w:rPr>
        <w:t>。</w:t>
      </w:r>
    </w:p>
    <w:p w:rsidR="008A3458" w:rsidRPr="008A3458" w:rsidRDefault="0076001D" w:rsidP="00F91247">
      <w:pPr>
        <w:jc w:val="left"/>
        <w:rPr>
          <w:rFonts w:ascii="Century" w:eastAsia="ＭＳ 明朝" w:hAnsi="Century" w:cs="Times New Roman"/>
        </w:rPr>
      </w:pPr>
      <w:r>
        <w:rPr>
          <w:rFonts w:ascii="Century" w:eastAsia="ＭＳ 明朝" w:hAnsi="Century" w:cs="Times New Roman" w:hint="eastAsia"/>
        </w:rPr>
        <w:t>●貿易推移</w:t>
      </w:r>
      <w:r>
        <w:rPr>
          <w:rFonts w:ascii="Century" w:eastAsia="ＭＳ 明朝" w:hAnsi="Century" w:cs="Times New Roman" w:hint="eastAsia"/>
        </w:rPr>
        <w:t>(</w:t>
      </w:r>
      <w:r>
        <w:rPr>
          <w:rFonts w:ascii="Century" w:eastAsia="ＭＳ 明朝" w:hAnsi="Century" w:cs="Times New Roman" w:hint="eastAsia"/>
        </w:rPr>
        <w:t>表</w:t>
      </w:r>
      <w:r>
        <w:rPr>
          <w:rFonts w:ascii="Century" w:eastAsia="ＭＳ 明朝" w:hAnsi="Century" w:cs="Times New Roman" w:hint="eastAsia"/>
        </w:rPr>
        <w:t>5)</w:t>
      </w:r>
      <w:r>
        <w:rPr>
          <w:rFonts w:ascii="Century" w:eastAsia="ＭＳ 明朝" w:hAnsi="Century" w:cs="Times New Roman" w:hint="eastAsia"/>
        </w:rPr>
        <w:t>に関して、</w:t>
      </w:r>
      <w:r w:rsidR="00DC1420">
        <w:rPr>
          <w:rFonts w:ascii="Century" w:eastAsia="ＭＳ 明朝" w:hAnsi="Century" w:cs="Times New Roman" w:hint="eastAsia"/>
        </w:rPr>
        <w:t>5</w:t>
      </w:r>
      <w:r w:rsidR="005D0E13">
        <w:rPr>
          <w:rFonts w:ascii="Century" w:eastAsia="ＭＳ 明朝" w:hAnsi="Century" w:cs="Times New Roman" w:hint="eastAsia"/>
        </w:rPr>
        <w:t>・</w:t>
      </w:r>
      <w:r>
        <w:rPr>
          <w:rFonts w:ascii="Century" w:eastAsia="ＭＳ 明朝" w:hAnsi="Century" w:cs="Times New Roman" w:hint="eastAsia"/>
        </w:rPr>
        <w:t>6</w:t>
      </w:r>
      <w:r w:rsidR="00DF40F5">
        <w:rPr>
          <w:rFonts w:ascii="Century" w:eastAsia="ＭＳ 明朝" w:hAnsi="Century" w:cs="Times New Roman" w:hint="eastAsia"/>
        </w:rPr>
        <w:t>月の輸入額成長率が昨年同期値と比較して顕著な減少</w:t>
      </w:r>
      <w:r w:rsidR="00DF40F5">
        <w:rPr>
          <w:rFonts w:ascii="Century" w:eastAsia="ＭＳ 明朝" w:hAnsi="Century" w:cs="Times New Roman" w:hint="eastAsia"/>
        </w:rPr>
        <w:t>(</w:t>
      </w:r>
      <w:r w:rsidR="00DF40F5">
        <w:rPr>
          <w:rFonts w:ascii="Century" w:eastAsia="ＭＳ 明朝" w:hAnsi="Century" w:cs="Times New Roman" w:hint="eastAsia"/>
        </w:rPr>
        <w:t>前年</w:t>
      </w:r>
      <w:r w:rsidR="00FA718B">
        <w:rPr>
          <w:rFonts w:ascii="Century" w:eastAsia="ＭＳ 明朝" w:hAnsi="Century" w:cs="Times New Roman" w:hint="eastAsia"/>
        </w:rPr>
        <w:t>から各</w:t>
      </w:r>
      <w:r w:rsidR="00DF40F5">
        <w:rPr>
          <w:rFonts w:ascii="Century" w:eastAsia="ＭＳ 明朝" w:hAnsi="Century" w:cs="Times New Roman" w:hint="eastAsia"/>
        </w:rPr>
        <w:t>2.9</w:t>
      </w:r>
      <w:r w:rsidR="00FA718B">
        <w:rPr>
          <w:rFonts w:ascii="Century" w:eastAsia="ＭＳ 明朝" w:hAnsi="Century" w:cs="Times New Roman" w:hint="eastAsia"/>
        </w:rPr>
        <w:t>ポイント、</w:t>
      </w:r>
      <w:r w:rsidR="00DF40F5">
        <w:rPr>
          <w:rFonts w:ascii="Century" w:eastAsia="ＭＳ 明朝" w:hAnsi="Century" w:cs="Times New Roman" w:hint="eastAsia"/>
        </w:rPr>
        <w:t>1.8</w:t>
      </w:r>
      <w:r w:rsidR="00FA718B">
        <w:rPr>
          <w:rFonts w:ascii="Century" w:eastAsia="ＭＳ 明朝" w:hAnsi="Century" w:cs="Times New Roman" w:hint="eastAsia"/>
        </w:rPr>
        <w:t>ポイント減</w:t>
      </w:r>
      <w:r w:rsidR="00DF40F5">
        <w:rPr>
          <w:rFonts w:ascii="Century" w:eastAsia="ＭＳ 明朝" w:hAnsi="Century" w:cs="Times New Roman" w:hint="eastAsia"/>
        </w:rPr>
        <w:t>)</w:t>
      </w:r>
      <w:r w:rsidR="001E68AE">
        <w:rPr>
          <w:rFonts w:ascii="Century" w:eastAsia="ＭＳ 明朝" w:hAnsi="Century" w:cs="Times New Roman" w:hint="eastAsia"/>
        </w:rPr>
        <w:t>を記録し、ドル高</w:t>
      </w:r>
      <w:r w:rsidR="003637A9">
        <w:rPr>
          <w:rFonts w:ascii="Century" w:eastAsia="ＭＳ 明朝" w:hAnsi="Century" w:cs="Times New Roman" w:hint="eastAsia"/>
        </w:rPr>
        <w:t>に伴う</w:t>
      </w:r>
      <w:r w:rsidR="001E68AE">
        <w:rPr>
          <w:rFonts w:ascii="Century" w:eastAsia="ＭＳ 明朝" w:hAnsi="Century" w:cs="Times New Roman" w:hint="eastAsia"/>
        </w:rPr>
        <w:t>輸入品</w:t>
      </w:r>
      <w:r w:rsidR="00DF40F5">
        <w:rPr>
          <w:rFonts w:ascii="Century" w:eastAsia="ＭＳ 明朝" w:hAnsi="Century" w:cs="Times New Roman" w:hint="eastAsia"/>
        </w:rPr>
        <w:t>需要</w:t>
      </w:r>
      <w:r w:rsidR="003637A9">
        <w:rPr>
          <w:rFonts w:ascii="Century" w:eastAsia="ＭＳ 明朝" w:hAnsi="Century" w:cs="Times New Roman" w:hint="eastAsia"/>
        </w:rPr>
        <w:t>の</w:t>
      </w:r>
      <w:r w:rsidR="00DF40F5">
        <w:rPr>
          <w:rFonts w:ascii="Century" w:eastAsia="ＭＳ 明朝" w:hAnsi="Century" w:cs="Times New Roman" w:hint="eastAsia"/>
        </w:rPr>
        <w:t>縮小がうかがえる。</w:t>
      </w:r>
    </w:p>
    <w:p w:rsidR="00E85CB5" w:rsidRPr="00F91247" w:rsidRDefault="00E85CB5"/>
    <w:p w:rsidR="001510E7" w:rsidRDefault="001828D7">
      <w:r w:rsidRPr="004A6031">
        <w:rPr>
          <w:noProof/>
        </w:rPr>
        <w:drawing>
          <wp:anchor distT="0" distB="0" distL="114300" distR="114300" simplePos="0" relativeHeight="251671552" behindDoc="0" locked="0" layoutInCell="1" allowOverlap="1" wp14:anchorId="63FDF1A0" wp14:editId="202B611E">
            <wp:simplePos x="0" y="0"/>
            <wp:positionH relativeFrom="margin">
              <wp:posOffset>223520</wp:posOffset>
            </wp:positionH>
            <wp:positionV relativeFrom="margin">
              <wp:posOffset>3970020</wp:posOffset>
            </wp:positionV>
            <wp:extent cx="4838700" cy="3400425"/>
            <wp:effectExtent l="0" t="0" r="0" b="0"/>
            <wp:wrapSquare wrapText="bothSides"/>
            <wp:docPr id="10" name="グラフ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p>
    <w:p w:rsidR="00ED29A8" w:rsidRDefault="00ED29A8"/>
    <w:p w:rsidR="0027395C" w:rsidRDefault="0027395C"/>
    <w:p w:rsidR="0027395C" w:rsidRDefault="00007D62">
      <w:r w:rsidRPr="00404131">
        <w:rPr>
          <w:noProof/>
          <w:sz w:val="16"/>
          <w:szCs w:val="16"/>
        </w:rPr>
        <w:lastRenderedPageBreak/>
        <w:drawing>
          <wp:anchor distT="0" distB="0" distL="114300" distR="114300" simplePos="0" relativeHeight="251673600" behindDoc="0" locked="0" layoutInCell="1" allowOverlap="1" wp14:anchorId="081FBF86" wp14:editId="45032F0D">
            <wp:simplePos x="0" y="0"/>
            <wp:positionH relativeFrom="margin">
              <wp:align>left</wp:align>
            </wp:positionH>
            <wp:positionV relativeFrom="margin">
              <wp:align>top</wp:align>
            </wp:positionV>
            <wp:extent cx="2409825" cy="2876550"/>
            <wp:effectExtent l="0" t="0" r="9525" b="19050"/>
            <wp:wrapSquare wrapText="bothSides"/>
            <wp:docPr id="5" name="グラフ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Pr="00404131">
        <w:rPr>
          <w:noProof/>
          <w:sz w:val="16"/>
          <w:szCs w:val="16"/>
        </w:rPr>
        <w:drawing>
          <wp:anchor distT="0" distB="0" distL="114300" distR="114300" simplePos="0" relativeHeight="251675648" behindDoc="0" locked="0" layoutInCell="1" allowOverlap="1" wp14:anchorId="7CEEF032" wp14:editId="75819AE2">
            <wp:simplePos x="0" y="0"/>
            <wp:positionH relativeFrom="margin">
              <wp:align>right</wp:align>
            </wp:positionH>
            <wp:positionV relativeFrom="margin">
              <wp:align>top</wp:align>
            </wp:positionV>
            <wp:extent cx="2466975" cy="2876550"/>
            <wp:effectExtent l="0" t="0" r="9525" b="19050"/>
            <wp:wrapSquare wrapText="bothSides"/>
            <wp:docPr id="6" name="グラフ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
    <w:p w:rsidR="0027395C" w:rsidRDefault="0027395C"/>
    <w:p w:rsidR="0027395C" w:rsidRDefault="0027395C"/>
    <w:p w:rsidR="0027395C" w:rsidRDefault="0027395C"/>
    <w:p w:rsidR="0027395C" w:rsidRDefault="0027395C"/>
    <w:p w:rsidR="0027395C" w:rsidRDefault="0027395C"/>
    <w:p w:rsidR="0027395C" w:rsidRDefault="0027395C"/>
    <w:p w:rsidR="0027395C" w:rsidRDefault="0027395C"/>
    <w:p w:rsidR="0027395C" w:rsidRDefault="0027395C"/>
    <w:p w:rsidR="0027395C" w:rsidRDefault="0027395C" w:rsidP="00D80950">
      <w:pPr>
        <w:rPr>
          <w:rFonts w:ascii="Century" w:eastAsia="ＭＳ 明朝" w:hAnsi="Century" w:cs="Times New Roman"/>
        </w:rPr>
      </w:pPr>
    </w:p>
    <w:p w:rsidR="0027395C" w:rsidRDefault="0027395C" w:rsidP="00D80950">
      <w:pPr>
        <w:rPr>
          <w:rFonts w:ascii="Century" w:eastAsia="ＭＳ 明朝" w:hAnsi="Century" w:cs="Times New Roman"/>
        </w:rPr>
      </w:pPr>
    </w:p>
    <w:p w:rsidR="0027395C" w:rsidRDefault="0027395C" w:rsidP="00D80950">
      <w:pPr>
        <w:rPr>
          <w:rFonts w:ascii="Century" w:eastAsia="ＭＳ 明朝" w:hAnsi="Century" w:cs="Times New Roman"/>
        </w:rPr>
      </w:pPr>
    </w:p>
    <w:p w:rsidR="0027395C" w:rsidRDefault="0027395C" w:rsidP="00D80950">
      <w:pPr>
        <w:rPr>
          <w:rFonts w:ascii="Century" w:eastAsia="ＭＳ 明朝" w:hAnsi="Century" w:cs="Times New Roman"/>
        </w:rPr>
      </w:pPr>
    </w:p>
    <w:p w:rsidR="0027395C" w:rsidRDefault="0027395C" w:rsidP="00D80950">
      <w:pPr>
        <w:rPr>
          <w:rFonts w:ascii="Century" w:eastAsia="ＭＳ 明朝" w:hAnsi="Century" w:cs="Times New Roman"/>
        </w:rPr>
      </w:pPr>
    </w:p>
    <w:p w:rsidR="0027395C" w:rsidRDefault="00706404" w:rsidP="00D80950">
      <w:pPr>
        <w:rPr>
          <w:rFonts w:ascii="Century" w:eastAsia="ＭＳ 明朝" w:hAnsi="Century" w:cs="Times New Roman"/>
        </w:rPr>
      </w:pPr>
      <w:r>
        <w:rPr>
          <w:noProof/>
        </w:rPr>
        <w:drawing>
          <wp:anchor distT="0" distB="0" distL="114300" distR="114300" simplePos="0" relativeHeight="251668480" behindDoc="0" locked="0" layoutInCell="1" allowOverlap="1" wp14:anchorId="04F9A8B3" wp14:editId="78C98DE7">
            <wp:simplePos x="0" y="0"/>
            <wp:positionH relativeFrom="margin">
              <wp:posOffset>224790</wp:posOffset>
            </wp:positionH>
            <wp:positionV relativeFrom="margin">
              <wp:posOffset>3549650</wp:posOffset>
            </wp:positionV>
            <wp:extent cx="5124450" cy="3038475"/>
            <wp:effectExtent l="0" t="0" r="0" b="0"/>
            <wp:wrapSquare wrapText="bothSides"/>
            <wp:docPr id="8"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p w:rsidR="0027395C" w:rsidRDefault="0027395C" w:rsidP="00D80950">
      <w:pPr>
        <w:rPr>
          <w:rFonts w:ascii="Century" w:eastAsia="ＭＳ 明朝" w:hAnsi="Century" w:cs="Times New Roman"/>
        </w:rPr>
      </w:pPr>
    </w:p>
    <w:p w:rsidR="0027395C" w:rsidRDefault="0027395C" w:rsidP="00D80950">
      <w:pPr>
        <w:rPr>
          <w:rFonts w:ascii="Century" w:eastAsia="ＭＳ 明朝" w:hAnsi="Century" w:cs="Times New Roman"/>
        </w:rPr>
      </w:pPr>
    </w:p>
    <w:p w:rsidR="0027395C" w:rsidRDefault="0027395C" w:rsidP="00D80950">
      <w:pPr>
        <w:rPr>
          <w:rFonts w:ascii="Century" w:eastAsia="ＭＳ 明朝" w:hAnsi="Century" w:cs="Times New Roman"/>
        </w:rPr>
      </w:pPr>
    </w:p>
    <w:p w:rsidR="0027395C" w:rsidRDefault="0027395C" w:rsidP="00D80950">
      <w:pPr>
        <w:rPr>
          <w:rFonts w:ascii="Century" w:eastAsia="ＭＳ 明朝" w:hAnsi="Century" w:cs="Times New Roman"/>
        </w:rPr>
      </w:pPr>
    </w:p>
    <w:p w:rsidR="0027395C" w:rsidRDefault="0027395C" w:rsidP="00D80950">
      <w:pPr>
        <w:rPr>
          <w:rFonts w:ascii="Century" w:eastAsia="ＭＳ 明朝" w:hAnsi="Century" w:cs="Times New Roman"/>
        </w:rPr>
      </w:pPr>
    </w:p>
    <w:p w:rsidR="0027395C" w:rsidRDefault="0027395C" w:rsidP="00D80950">
      <w:pPr>
        <w:rPr>
          <w:rFonts w:ascii="Century" w:eastAsia="ＭＳ 明朝" w:hAnsi="Century" w:cs="Times New Roman"/>
        </w:rPr>
      </w:pPr>
    </w:p>
    <w:p w:rsidR="0027395C" w:rsidRDefault="0027395C" w:rsidP="00D80950">
      <w:pPr>
        <w:rPr>
          <w:rFonts w:ascii="Century" w:eastAsia="ＭＳ 明朝" w:hAnsi="Century" w:cs="Times New Roman"/>
        </w:rPr>
      </w:pPr>
    </w:p>
    <w:p w:rsidR="00D80950" w:rsidRPr="00D80950" w:rsidRDefault="00D80950" w:rsidP="00D80950">
      <w:pPr>
        <w:rPr>
          <w:rFonts w:ascii="Century" w:eastAsia="ＭＳ 明朝" w:hAnsi="Century" w:cs="Times New Roman"/>
        </w:rPr>
      </w:pPr>
      <w:r w:rsidRPr="00D80950">
        <w:rPr>
          <w:rFonts w:ascii="Century" w:eastAsia="ＭＳ 明朝" w:hAnsi="Century" w:cs="Times New Roman" w:hint="eastAsia"/>
        </w:rPr>
        <w:lastRenderedPageBreak/>
        <w:t>３　財政収支</w:t>
      </w:r>
    </w:p>
    <w:p w:rsidR="00D80950" w:rsidRDefault="00D80950" w:rsidP="00D80950">
      <w:pPr>
        <w:jc w:val="left"/>
        <w:rPr>
          <w:rFonts w:ascii="Century" w:eastAsia="ＭＳ 明朝" w:hAnsi="Century" w:cs="Times New Roman"/>
          <w:color w:val="000000" w:themeColor="text1"/>
        </w:rPr>
      </w:pPr>
      <w:r w:rsidRPr="00DB6C33">
        <w:rPr>
          <w:rFonts w:ascii="Century" w:eastAsia="ＭＳ 明朝" w:hAnsi="Century" w:cs="Times New Roman" w:hint="eastAsia"/>
          <w:color w:val="000000" w:themeColor="text1"/>
        </w:rPr>
        <w:t>●</w:t>
      </w:r>
      <w:r w:rsidR="00DB6C33" w:rsidRPr="00DB6C33">
        <w:rPr>
          <w:rFonts w:ascii="Century" w:eastAsia="ＭＳ 明朝" w:hAnsi="Century" w:cs="Times New Roman" w:hint="eastAsia"/>
          <w:color w:val="000000" w:themeColor="text1"/>
        </w:rPr>
        <w:t>5</w:t>
      </w:r>
      <w:r w:rsidRPr="00DB6C33">
        <w:rPr>
          <w:rFonts w:ascii="Century" w:eastAsia="ＭＳ 明朝" w:hAnsi="Century" w:cs="Times New Roman" w:hint="eastAsia"/>
          <w:color w:val="000000" w:themeColor="text1"/>
        </w:rPr>
        <w:t>月までの財政収支</w:t>
      </w:r>
      <w:r w:rsidRPr="00DB6C33">
        <w:rPr>
          <w:rFonts w:ascii="Century" w:eastAsia="ＭＳ 明朝" w:hAnsi="Century" w:cs="Times New Roman"/>
          <w:color w:val="000000" w:themeColor="text1"/>
        </w:rPr>
        <w:t>(</w:t>
      </w:r>
      <w:r w:rsidRPr="00DB6C33">
        <w:rPr>
          <w:rFonts w:ascii="Century" w:eastAsia="ＭＳ 明朝" w:hAnsi="Century" w:cs="Times New Roman" w:hint="eastAsia"/>
          <w:color w:val="000000" w:themeColor="text1"/>
        </w:rPr>
        <w:t>表</w:t>
      </w:r>
      <w:r w:rsidR="00491686">
        <w:rPr>
          <w:rFonts w:ascii="Century" w:eastAsia="ＭＳ 明朝" w:hAnsi="Century" w:cs="Times New Roman" w:hint="eastAsia"/>
          <w:color w:val="000000" w:themeColor="text1"/>
        </w:rPr>
        <w:t>6</w:t>
      </w:r>
      <w:r w:rsidRPr="00DB6C33">
        <w:rPr>
          <w:rFonts w:ascii="Century" w:eastAsia="ＭＳ 明朝" w:hAnsi="Century" w:cs="Times New Roman"/>
          <w:color w:val="000000" w:themeColor="text1"/>
        </w:rPr>
        <w:t>)</w:t>
      </w:r>
      <w:r w:rsidRPr="00DB6C33">
        <w:rPr>
          <w:rFonts w:ascii="Century" w:eastAsia="ＭＳ 明朝" w:hAnsi="Century" w:cs="Times New Roman" w:hint="eastAsia"/>
          <w:color w:val="000000" w:themeColor="text1"/>
        </w:rPr>
        <w:t>は、歳入が前年比約</w:t>
      </w:r>
      <w:r w:rsidR="00DB6C33" w:rsidRPr="00DB6C33">
        <w:rPr>
          <w:rFonts w:ascii="Century" w:eastAsia="ＭＳ 明朝" w:hAnsi="Century" w:cs="Times New Roman" w:hint="eastAsia"/>
          <w:color w:val="000000" w:themeColor="text1"/>
        </w:rPr>
        <w:t>7.7</w:t>
      </w:r>
      <w:r w:rsidRPr="00DB6C33">
        <w:rPr>
          <w:rFonts w:ascii="Century" w:eastAsia="ＭＳ 明朝" w:hAnsi="Century" w:cs="Times New Roman" w:hint="eastAsia"/>
          <w:color w:val="000000" w:themeColor="text1"/>
        </w:rPr>
        <w:t>％増</w:t>
      </w:r>
      <w:r w:rsidRPr="00DB6C33">
        <w:rPr>
          <w:rFonts w:ascii="Century" w:eastAsia="ＭＳ 明朝" w:hAnsi="Century" w:cs="Times New Roman"/>
          <w:color w:val="000000" w:themeColor="text1"/>
        </w:rPr>
        <w:t>(</w:t>
      </w:r>
      <w:r w:rsidRPr="00DB6C33">
        <w:rPr>
          <w:rFonts w:ascii="Century" w:eastAsia="ＭＳ 明朝" w:hAnsi="Century" w:cs="Times New Roman" w:hint="eastAsia"/>
          <w:color w:val="000000" w:themeColor="text1"/>
        </w:rPr>
        <w:t>前年同値</w:t>
      </w:r>
      <w:r w:rsidR="00DB6C33" w:rsidRPr="00DB6C33">
        <w:rPr>
          <w:rFonts w:ascii="Century" w:eastAsia="ＭＳ 明朝" w:hAnsi="Century" w:cs="Times New Roman" w:hint="eastAsia"/>
          <w:color w:val="000000" w:themeColor="text1"/>
        </w:rPr>
        <w:t>9.9</w:t>
      </w:r>
      <w:r w:rsidRPr="00DB6C33">
        <w:rPr>
          <w:rFonts w:ascii="Century" w:eastAsia="ＭＳ 明朝" w:hAnsi="Century" w:cs="Times New Roman" w:hint="eastAsia"/>
          <w:color w:val="000000" w:themeColor="text1"/>
        </w:rPr>
        <w:t>％</w:t>
      </w:r>
      <w:r w:rsidRPr="00DB6C33">
        <w:rPr>
          <w:rFonts w:ascii="Century" w:eastAsia="ＭＳ 明朝" w:hAnsi="Century" w:cs="Times New Roman"/>
          <w:color w:val="000000" w:themeColor="text1"/>
        </w:rPr>
        <w:t>)</w:t>
      </w:r>
      <w:r w:rsidRPr="00DB6C33">
        <w:rPr>
          <w:rFonts w:ascii="Century" w:eastAsia="ＭＳ 明朝" w:hAnsi="Century" w:cs="Times New Roman" w:hint="eastAsia"/>
          <w:color w:val="000000" w:themeColor="text1"/>
        </w:rPr>
        <w:t>の約</w:t>
      </w:r>
      <w:r w:rsidR="00491686">
        <w:rPr>
          <w:rFonts w:ascii="Century" w:eastAsia="ＭＳ 明朝" w:hAnsi="Century" w:cs="Times New Roman" w:hint="eastAsia"/>
          <w:color w:val="000000" w:themeColor="text1"/>
        </w:rPr>
        <w:t>1</w:t>
      </w:r>
      <w:r w:rsidR="00DB6C33" w:rsidRPr="00DB6C33">
        <w:rPr>
          <w:rFonts w:ascii="Century" w:eastAsia="ＭＳ 明朝" w:hAnsi="Century" w:cs="Times New Roman" w:hint="eastAsia"/>
          <w:color w:val="000000" w:themeColor="text1"/>
        </w:rPr>
        <w:t>兆</w:t>
      </w:r>
      <w:r w:rsidR="00DB6C33" w:rsidRPr="00DB6C33">
        <w:rPr>
          <w:rFonts w:ascii="Century" w:eastAsia="ＭＳ 明朝" w:hAnsi="Century" w:cs="Times New Roman" w:hint="eastAsia"/>
          <w:color w:val="000000" w:themeColor="text1"/>
        </w:rPr>
        <w:t>4,615</w:t>
      </w:r>
      <w:r w:rsidRPr="00DB6C33">
        <w:rPr>
          <w:rFonts w:ascii="Century" w:eastAsia="ＭＳ 明朝" w:hAnsi="Century" w:cs="Times New Roman" w:hint="eastAsia"/>
          <w:color w:val="000000" w:themeColor="text1"/>
        </w:rPr>
        <w:t>億コロン、歳出が前年比約</w:t>
      </w:r>
      <w:r w:rsidRPr="00DB6C33">
        <w:rPr>
          <w:rFonts w:ascii="Century" w:eastAsia="ＭＳ 明朝" w:hAnsi="Century" w:cs="Times New Roman" w:hint="eastAsia"/>
          <w:color w:val="000000" w:themeColor="text1"/>
        </w:rPr>
        <w:t>8.</w:t>
      </w:r>
      <w:r w:rsidR="00DB6C33" w:rsidRPr="00DB6C33">
        <w:rPr>
          <w:rFonts w:ascii="Century" w:eastAsia="ＭＳ 明朝" w:hAnsi="Century" w:cs="Times New Roman" w:hint="eastAsia"/>
          <w:color w:val="000000" w:themeColor="text1"/>
        </w:rPr>
        <w:t>7</w:t>
      </w:r>
      <w:r w:rsidRPr="00DB6C33">
        <w:rPr>
          <w:rFonts w:ascii="Century" w:eastAsia="ＭＳ 明朝" w:hAnsi="Century" w:cs="Times New Roman" w:hint="eastAsia"/>
          <w:color w:val="000000" w:themeColor="text1"/>
        </w:rPr>
        <w:t>％増</w:t>
      </w:r>
      <w:r w:rsidRPr="00DB6C33">
        <w:rPr>
          <w:rFonts w:ascii="Century" w:eastAsia="ＭＳ 明朝" w:hAnsi="Century" w:cs="Times New Roman"/>
          <w:color w:val="000000" w:themeColor="text1"/>
        </w:rPr>
        <w:t>(</w:t>
      </w:r>
      <w:r w:rsidRPr="00DB6C33">
        <w:rPr>
          <w:rFonts w:ascii="Century" w:eastAsia="ＭＳ 明朝" w:hAnsi="Century" w:cs="Times New Roman" w:hint="eastAsia"/>
          <w:color w:val="000000" w:themeColor="text1"/>
        </w:rPr>
        <w:t>前年同値</w:t>
      </w:r>
      <w:r w:rsidR="00DB6C33" w:rsidRPr="00DB6C33">
        <w:rPr>
          <w:rFonts w:ascii="Century" w:eastAsia="ＭＳ 明朝" w:hAnsi="Century" w:cs="Times New Roman" w:hint="eastAsia"/>
          <w:color w:val="000000" w:themeColor="text1"/>
        </w:rPr>
        <w:t>13</w:t>
      </w:r>
      <w:r w:rsidRPr="00DB6C33">
        <w:rPr>
          <w:rFonts w:ascii="Century" w:eastAsia="ＭＳ 明朝" w:hAnsi="Century" w:cs="Times New Roman" w:hint="eastAsia"/>
          <w:color w:val="000000" w:themeColor="text1"/>
        </w:rPr>
        <w:t>.1</w:t>
      </w:r>
      <w:r w:rsidRPr="00DB6C33">
        <w:rPr>
          <w:rFonts w:ascii="Century" w:eastAsia="ＭＳ 明朝" w:hAnsi="Century" w:cs="Times New Roman" w:hint="eastAsia"/>
          <w:color w:val="000000" w:themeColor="text1"/>
        </w:rPr>
        <w:t>％</w:t>
      </w:r>
      <w:r w:rsidRPr="00DB6C33">
        <w:rPr>
          <w:rFonts w:ascii="Century" w:eastAsia="ＭＳ 明朝" w:hAnsi="Century" w:cs="Times New Roman"/>
          <w:color w:val="000000" w:themeColor="text1"/>
        </w:rPr>
        <w:t>)</w:t>
      </w:r>
      <w:r w:rsidR="00DB6C33" w:rsidRPr="00DB6C33">
        <w:rPr>
          <w:rFonts w:ascii="Century" w:eastAsia="ＭＳ 明朝" w:hAnsi="Century" w:cs="Times New Roman" w:hint="eastAsia"/>
          <w:color w:val="000000" w:themeColor="text1"/>
        </w:rPr>
        <w:t>の</w:t>
      </w:r>
      <w:r w:rsidR="0017426D">
        <w:rPr>
          <w:rFonts w:ascii="Century" w:eastAsia="ＭＳ 明朝" w:hAnsi="Century" w:cs="Times New Roman" w:hint="eastAsia"/>
          <w:color w:val="000000" w:themeColor="text1"/>
        </w:rPr>
        <w:t>約</w:t>
      </w:r>
      <w:r w:rsidR="00DB6C33" w:rsidRPr="00DB6C33">
        <w:rPr>
          <w:rFonts w:ascii="Century" w:eastAsia="ＭＳ 明朝" w:hAnsi="Century" w:cs="Times New Roman" w:hint="eastAsia"/>
          <w:color w:val="000000" w:themeColor="text1"/>
        </w:rPr>
        <w:t>2</w:t>
      </w:r>
      <w:r w:rsidRPr="00DB6C33">
        <w:rPr>
          <w:rFonts w:ascii="Century" w:eastAsia="ＭＳ 明朝" w:hAnsi="Century" w:cs="Times New Roman" w:hint="eastAsia"/>
          <w:color w:val="000000" w:themeColor="text1"/>
        </w:rPr>
        <w:t>兆</w:t>
      </w:r>
      <w:r w:rsidR="00DB6C33" w:rsidRPr="00DB6C33">
        <w:rPr>
          <w:rFonts w:ascii="Century" w:eastAsia="ＭＳ 明朝" w:hAnsi="Century" w:cs="Times New Roman" w:hint="eastAsia"/>
          <w:color w:val="000000" w:themeColor="text1"/>
        </w:rPr>
        <w:t>416</w:t>
      </w:r>
      <w:r w:rsidRPr="00DB6C33">
        <w:rPr>
          <w:rFonts w:ascii="Century" w:eastAsia="ＭＳ 明朝" w:hAnsi="Century" w:cs="Times New Roman" w:hint="eastAsia"/>
          <w:color w:val="000000" w:themeColor="text1"/>
        </w:rPr>
        <w:t>億コロンとなり、財政赤字額は前年比約</w:t>
      </w:r>
      <w:r w:rsidR="00DB6C33" w:rsidRPr="00DB6C33">
        <w:rPr>
          <w:rFonts w:ascii="Century" w:eastAsia="ＭＳ 明朝" w:hAnsi="Century" w:cs="Times New Roman" w:hint="eastAsia"/>
          <w:color w:val="000000" w:themeColor="text1"/>
        </w:rPr>
        <w:t>11.1</w:t>
      </w:r>
      <w:r w:rsidRPr="00DB6C33">
        <w:rPr>
          <w:rFonts w:ascii="Century" w:eastAsia="ＭＳ 明朝" w:hAnsi="Century" w:cs="Times New Roman" w:hint="eastAsia"/>
          <w:color w:val="000000" w:themeColor="text1"/>
        </w:rPr>
        <w:t>％増の約</w:t>
      </w:r>
      <w:r w:rsidR="00DB6C33" w:rsidRPr="00DB6C33">
        <w:rPr>
          <w:rFonts w:ascii="Century" w:eastAsia="ＭＳ 明朝" w:hAnsi="Century" w:cs="Times New Roman" w:hint="eastAsia"/>
          <w:color w:val="000000" w:themeColor="text1"/>
        </w:rPr>
        <w:t>5,800</w:t>
      </w:r>
      <w:r w:rsidRPr="00DB6C33">
        <w:rPr>
          <w:rFonts w:ascii="Century" w:eastAsia="ＭＳ 明朝" w:hAnsi="Century" w:cs="Times New Roman" w:hint="eastAsia"/>
          <w:color w:val="000000" w:themeColor="text1"/>
        </w:rPr>
        <w:t>億コロンとなった。財政赤字の対</w:t>
      </w:r>
      <w:r w:rsidRPr="00DB6C33">
        <w:rPr>
          <w:rFonts w:ascii="Century" w:eastAsia="ＭＳ 明朝" w:hAnsi="Century" w:cs="Times New Roman"/>
          <w:color w:val="000000" w:themeColor="text1"/>
        </w:rPr>
        <w:t>GDP</w:t>
      </w:r>
      <w:r w:rsidRPr="00DB6C33">
        <w:rPr>
          <w:rFonts w:ascii="Century" w:eastAsia="ＭＳ 明朝" w:hAnsi="Century" w:cs="Times New Roman" w:hint="eastAsia"/>
          <w:color w:val="000000" w:themeColor="text1"/>
        </w:rPr>
        <w:t>比は前年から</w:t>
      </w:r>
      <w:r w:rsidR="00DB6C33" w:rsidRPr="00DB6C33">
        <w:rPr>
          <w:rFonts w:ascii="Century" w:eastAsia="ＭＳ 明朝" w:hAnsi="Century" w:cs="Times New Roman" w:hint="eastAsia"/>
          <w:color w:val="000000" w:themeColor="text1"/>
        </w:rPr>
        <w:t>0.1</w:t>
      </w:r>
      <w:r w:rsidRPr="00DB6C33">
        <w:rPr>
          <w:rFonts w:ascii="Century" w:eastAsia="ＭＳ 明朝" w:hAnsi="Century" w:cs="Times New Roman" w:hint="eastAsia"/>
          <w:color w:val="000000" w:themeColor="text1"/>
        </w:rPr>
        <w:t>ポイント増の</w:t>
      </w:r>
      <w:r w:rsidR="00DB6C33" w:rsidRPr="00DB6C33">
        <w:rPr>
          <w:rFonts w:ascii="Century" w:eastAsia="ＭＳ 明朝" w:hAnsi="Century" w:cs="Times New Roman" w:hint="eastAsia"/>
          <w:color w:val="000000" w:themeColor="text1"/>
        </w:rPr>
        <w:t>2.2</w:t>
      </w:r>
      <w:r w:rsidRPr="00DB6C33">
        <w:rPr>
          <w:rFonts w:ascii="Century" w:eastAsia="ＭＳ 明朝" w:hAnsi="Century" w:cs="Times New Roman" w:hint="eastAsia"/>
          <w:i/>
          <w:color w:val="000000" w:themeColor="text1"/>
        </w:rPr>
        <w:t>％</w:t>
      </w:r>
      <w:r w:rsidRPr="00DB6C33">
        <w:rPr>
          <w:rFonts w:ascii="Century" w:eastAsia="ＭＳ 明朝" w:hAnsi="Century" w:cs="Times New Roman" w:hint="eastAsia"/>
          <w:color w:val="000000" w:themeColor="text1"/>
        </w:rPr>
        <w:t>となっている。</w:t>
      </w:r>
    </w:p>
    <w:p w:rsidR="00491686" w:rsidRPr="00DB6C33" w:rsidRDefault="00491686" w:rsidP="00D80950">
      <w:pPr>
        <w:jc w:val="left"/>
        <w:rPr>
          <w:rFonts w:ascii="Century" w:eastAsia="ＭＳ 明朝" w:hAnsi="Century" w:cs="Times New Roman"/>
          <w:color w:val="000000" w:themeColor="text1"/>
        </w:rPr>
      </w:pPr>
      <w:r>
        <w:rPr>
          <w:rFonts w:ascii="Century" w:eastAsia="ＭＳ 明朝" w:hAnsi="Century" w:cs="Times New Roman" w:hint="eastAsia"/>
          <w:color w:val="000000" w:themeColor="text1"/>
        </w:rPr>
        <w:t>●</w:t>
      </w:r>
      <w:r>
        <w:rPr>
          <w:rFonts w:ascii="Century" w:eastAsia="ＭＳ 明朝" w:hAnsi="Century" w:cs="Times New Roman" w:hint="eastAsia"/>
          <w:color w:val="000000" w:themeColor="text1"/>
        </w:rPr>
        <w:t>6</w:t>
      </w:r>
      <w:r>
        <w:rPr>
          <w:rFonts w:ascii="Century" w:eastAsia="ＭＳ 明朝" w:hAnsi="Century" w:cs="Times New Roman" w:hint="eastAsia"/>
          <w:color w:val="000000" w:themeColor="text1"/>
        </w:rPr>
        <w:t>月までの財政収支</w:t>
      </w:r>
      <w:r>
        <w:rPr>
          <w:rFonts w:ascii="Century" w:eastAsia="ＭＳ 明朝" w:hAnsi="Century" w:cs="Times New Roman" w:hint="eastAsia"/>
          <w:color w:val="000000" w:themeColor="text1"/>
        </w:rPr>
        <w:t>(</w:t>
      </w:r>
      <w:r>
        <w:rPr>
          <w:rFonts w:ascii="Century" w:eastAsia="ＭＳ 明朝" w:hAnsi="Century" w:cs="Times New Roman" w:hint="eastAsia"/>
          <w:color w:val="000000" w:themeColor="text1"/>
        </w:rPr>
        <w:t>表</w:t>
      </w:r>
      <w:r>
        <w:rPr>
          <w:rFonts w:ascii="Century" w:eastAsia="ＭＳ 明朝" w:hAnsi="Century" w:cs="Times New Roman" w:hint="eastAsia"/>
          <w:color w:val="000000" w:themeColor="text1"/>
        </w:rPr>
        <w:t>7)</w:t>
      </w:r>
      <w:r>
        <w:rPr>
          <w:rFonts w:ascii="Century" w:eastAsia="ＭＳ 明朝" w:hAnsi="Century" w:cs="Times New Roman" w:hint="eastAsia"/>
          <w:color w:val="000000" w:themeColor="text1"/>
        </w:rPr>
        <w:t>は、歳入が前年比約</w:t>
      </w:r>
      <w:r w:rsidR="003B640C">
        <w:rPr>
          <w:rFonts w:ascii="Century" w:eastAsia="ＭＳ 明朝" w:hAnsi="Century" w:cs="Times New Roman" w:hint="eastAsia"/>
          <w:color w:val="000000" w:themeColor="text1"/>
        </w:rPr>
        <w:t>8.4</w:t>
      </w:r>
      <w:r>
        <w:rPr>
          <w:rFonts w:ascii="Century" w:eastAsia="ＭＳ 明朝" w:hAnsi="Century" w:cs="Times New Roman" w:hint="eastAsia"/>
          <w:color w:val="000000" w:themeColor="text1"/>
        </w:rPr>
        <w:t>％増の約</w:t>
      </w:r>
      <w:r>
        <w:rPr>
          <w:rFonts w:ascii="Century" w:eastAsia="ＭＳ 明朝" w:hAnsi="Century" w:cs="Times New Roman" w:hint="eastAsia"/>
          <w:color w:val="000000" w:themeColor="text1"/>
        </w:rPr>
        <w:t>1</w:t>
      </w:r>
      <w:r>
        <w:rPr>
          <w:rFonts w:ascii="Century" w:eastAsia="ＭＳ 明朝" w:hAnsi="Century" w:cs="Times New Roman" w:hint="eastAsia"/>
          <w:color w:val="000000" w:themeColor="text1"/>
        </w:rPr>
        <w:t>兆</w:t>
      </w:r>
      <w:r w:rsidR="0017426D">
        <w:rPr>
          <w:rFonts w:ascii="Century" w:eastAsia="ＭＳ 明朝" w:hAnsi="Century" w:cs="Times New Roman" w:hint="eastAsia"/>
          <w:color w:val="000000" w:themeColor="text1"/>
        </w:rPr>
        <w:t>8,073</w:t>
      </w:r>
      <w:r w:rsidR="00D11481">
        <w:rPr>
          <w:rFonts w:ascii="Century" w:eastAsia="ＭＳ 明朝" w:hAnsi="Century" w:cs="Times New Roman" w:hint="eastAsia"/>
          <w:color w:val="000000" w:themeColor="text1"/>
        </w:rPr>
        <w:t>億コロン、歳出が前年比約</w:t>
      </w:r>
      <w:r w:rsidR="006D68AA">
        <w:rPr>
          <w:rFonts w:ascii="Century" w:eastAsia="ＭＳ 明朝" w:hAnsi="Century" w:cs="Times New Roman" w:hint="eastAsia"/>
          <w:color w:val="000000" w:themeColor="text1"/>
        </w:rPr>
        <w:t>11.7</w:t>
      </w:r>
      <w:r w:rsidR="00D11481">
        <w:rPr>
          <w:rFonts w:ascii="Century" w:eastAsia="ＭＳ 明朝" w:hAnsi="Century" w:cs="Times New Roman" w:hint="eastAsia"/>
          <w:color w:val="000000" w:themeColor="text1"/>
        </w:rPr>
        <w:t>％増の約</w:t>
      </w:r>
      <w:r w:rsidR="00D11481">
        <w:rPr>
          <w:rFonts w:ascii="Century" w:eastAsia="ＭＳ 明朝" w:hAnsi="Century" w:cs="Times New Roman" w:hint="eastAsia"/>
          <w:color w:val="000000" w:themeColor="text1"/>
        </w:rPr>
        <w:t>2</w:t>
      </w:r>
      <w:r w:rsidR="00D11481">
        <w:rPr>
          <w:rFonts w:ascii="Century" w:eastAsia="ＭＳ 明朝" w:hAnsi="Century" w:cs="Times New Roman" w:hint="eastAsia"/>
          <w:color w:val="000000" w:themeColor="text1"/>
        </w:rPr>
        <w:t>兆</w:t>
      </w:r>
      <w:r w:rsidR="00D11481">
        <w:rPr>
          <w:rFonts w:ascii="Century" w:eastAsia="ＭＳ 明朝" w:hAnsi="Century" w:cs="Times New Roman" w:hint="eastAsia"/>
          <w:color w:val="000000" w:themeColor="text1"/>
        </w:rPr>
        <w:t>5069</w:t>
      </w:r>
      <w:r w:rsidR="00D11481">
        <w:rPr>
          <w:rFonts w:ascii="Century" w:eastAsia="ＭＳ 明朝" w:hAnsi="Century" w:cs="Times New Roman" w:hint="eastAsia"/>
          <w:color w:val="000000" w:themeColor="text1"/>
        </w:rPr>
        <w:t>億コロンとなり、財政赤字額は前年比約増の</w:t>
      </w:r>
      <w:r w:rsidR="00D11481">
        <w:rPr>
          <w:rFonts w:ascii="Century" w:eastAsia="ＭＳ 明朝" w:hAnsi="Century" w:cs="Times New Roman" w:hint="eastAsia"/>
          <w:color w:val="000000" w:themeColor="text1"/>
        </w:rPr>
        <w:t>6,995</w:t>
      </w:r>
      <w:r w:rsidR="00D11481">
        <w:rPr>
          <w:rFonts w:ascii="Century" w:eastAsia="ＭＳ 明朝" w:hAnsi="Century" w:cs="Times New Roman" w:hint="eastAsia"/>
          <w:color w:val="000000" w:themeColor="text1"/>
        </w:rPr>
        <w:t>億コロンとなった。財政赤字額は前年から</w:t>
      </w:r>
      <w:r w:rsidR="00D11481">
        <w:rPr>
          <w:rFonts w:ascii="Century" w:eastAsia="ＭＳ 明朝" w:hAnsi="Century" w:cs="Times New Roman" w:hint="eastAsia"/>
          <w:color w:val="000000" w:themeColor="text1"/>
        </w:rPr>
        <w:t>0.4</w:t>
      </w:r>
      <w:r w:rsidR="00D11481">
        <w:rPr>
          <w:rFonts w:ascii="Century" w:eastAsia="ＭＳ 明朝" w:hAnsi="Century" w:cs="Times New Roman" w:hint="eastAsia"/>
          <w:color w:val="000000" w:themeColor="text1"/>
        </w:rPr>
        <w:t>ポイント増の</w:t>
      </w:r>
      <w:r w:rsidR="00D11481">
        <w:rPr>
          <w:rFonts w:ascii="Century" w:eastAsia="ＭＳ 明朝" w:hAnsi="Century" w:cs="Times New Roman" w:hint="eastAsia"/>
          <w:color w:val="000000" w:themeColor="text1"/>
        </w:rPr>
        <w:t>2.6</w:t>
      </w:r>
      <w:r w:rsidR="00D11481">
        <w:rPr>
          <w:rFonts w:ascii="Century" w:eastAsia="ＭＳ 明朝" w:hAnsi="Century" w:cs="Times New Roman" w:hint="eastAsia"/>
          <w:color w:val="000000" w:themeColor="text1"/>
        </w:rPr>
        <w:t>％となっている。</w:t>
      </w:r>
    </w:p>
    <w:p w:rsidR="00D80950" w:rsidRPr="00DB6C33" w:rsidRDefault="00D80950" w:rsidP="00D80950">
      <w:pPr>
        <w:jc w:val="left"/>
        <w:rPr>
          <w:rFonts w:ascii="Century" w:eastAsia="ＭＳ 明朝" w:hAnsi="Century" w:cs="Times New Roman"/>
          <w:b/>
          <w:i/>
          <w:color w:val="FF0000"/>
        </w:rPr>
      </w:pPr>
      <w:r w:rsidRPr="000C3DEC">
        <w:rPr>
          <w:rFonts w:ascii="Century" w:eastAsia="ＭＳ 明朝" w:hAnsi="Century" w:cs="Times New Roman" w:hint="eastAsia"/>
          <w:color w:val="000000" w:themeColor="text1"/>
        </w:rPr>
        <w:t>●</w:t>
      </w:r>
      <w:r w:rsidR="000C3DEC" w:rsidRPr="000C3DEC">
        <w:rPr>
          <w:rFonts w:ascii="Century" w:eastAsia="ＭＳ 明朝" w:hAnsi="Century" w:cs="Times New Roman" w:hint="eastAsia"/>
          <w:color w:val="000000" w:themeColor="text1"/>
        </w:rPr>
        <w:t>5</w:t>
      </w:r>
      <w:r w:rsidR="000C3DEC" w:rsidRPr="000C3DEC">
        <w:rPr>
          <w:rFonts w:ascii="Century" w:eastAsia="ＭＳ 明朝" w:hAnsi="Century" w:cs="Times New Roman" w:hint="eastAsia"/>
          <w:color w:val="000000" w:themeColor="text1"/>
        </w:rPr>
        <w:t>月の</w:t>
      </w:r>
      <w:r w:rsidRPr="000C3DEC">
        <w:rPr>
          <w:rFonts w:ascii="Century" w:eastAsia="ＭＳ 明朝" w:hAnsi="Century" w:cs="Times New Roman" w:hint="eastAsia"/>
          <w:color w:val="000000" w:themeColor="text1"/>
        </w:rPr>
        <w:t>財政赤字額</w:t>
      </w:r>
      <w:r w:rsidR="000C3DEC" w:rsidRPr="000C3DEC">
        <w:rPr>
          <w:rFonts w:ascii="Century" w:eastAsia="ＭＳ 明朝" w:hAnsi="Century" w:cs="Times New Roman" w:hint="eastAsia"/>
          <w:color w:val="000000" w:themeColor="text1"/>
        </w:rPr>
        <w:t>対</w:t>
      </w:r>
      <w:r w:rsidR="000C3DEC" w:rsidRPr="000C3DEC">
        <w:rPr>
          <w:rFonts w:ascii="Century" w:eastAsia="ＭＳ 明朝" w:hAnsi="Century" w:cs="Times New Roman" w:hint="eastAsia"/>
          <w:color w:val="000000" w:themeColor="text1"/>
        </w:rPr>
        <w:t>GDP</w:t>
      </w:r>
      <w:r w:rsidR="000C3DEC" w:rsidRPr="000C3DEC">
        <w:rPr>
          <w:rFonts w:ascii="Century" w:eastAsia="ＭＳ 明朝" w:hAnsi="Century" w:cs="Times New Roman" w:hint="eastAsia"/>
          <w:color w:val="000000" w:themeColor="text1"/>
        </w:rPr>
        <w:t>比は昨年とほぼ同値</w:t>
      </w:r>
      <w:r w:rsidR="0099658D">
        <w:rPr>
          <w:rFonts w:ascii="Century" w:eastAsia="ＭＳ 明朝" w:hAnsi="Century" w:cs="Times New Roman" w:hint="eastAsia"/>
          <w:color w:val="000000" w:themeColor="text1"/>
        </w:rPr>
        <w:t>(2.2</w:t>
      </w:r>
      <w:r w:rsidR="0099658D">
        <w:rPr>
          <w:rFonts w:ascii="Century" w:eastAsia="ＭＳ 明朝" w:hAnsi="Century" w:cs="Times New Roman" w:hint="eastAsia"/>
          <w:color w:val="000000" w:themeColor="text1"/>
        </w:rPr>
        <w:t>％</w:t>
      </w:r>
      <w:r w:rsidR="0099658D">
        <w:rPr>
          <w:rFonts w:ascii="Century" w:eastAsia="ＭＳ 明朝" w:hAnsi="Century" w:cs="Times New Roman" w:hint="eastAsia"/>
          <w:color w:val="000000" w:themeColor="text1"/>
        </w:rPr>
        <w:t>)</w:t>
      </w:r>
      <w:r w:rsidR="000C3DEC" w:rsidRPr="000C3DEC">
        <w:rPr>
          <w:rFonts w:ascii="Century" w:eastAsia="ＭＳ 明朝" w:hAnsi="Century" w:cs="Times New Roman" w:hint="eastAsia"/>
          <w:color w:val="000000" w:themeColor="text1"/>
        </w:rPr>
        <w:t>となったが、</w:t>
      </w:r>
      <w:r w:rsidR="000C3DEC" w:rsidRPr="000C3DEC">
        <w:rPr>
          <w:rFonts w:ascii="Century" w:eastAsia="ＭＳ 明朝" w:hAnsi="Century" w:cs="Times New Roman" w:hint="eastAsia"/>
          <w:color w:val="000000" w:themeColor="text1"/>
        </w:rPr>
        <w:t>6</w:t>
      </w:r>
      <w:r w:rsidR="000C3DEC" w:rsidRPr="000C3DEC">
        <w:rPr>
          <w:rFonts w:ascii="Century" w:eastAsia="ＭＳ 明朝" w:hAnsi="Century" w:cs="Times New Roman" w:hint="eastAsia"/>
          <w:color w:val="000000" w:themeColor="text1"/>
        </w:rPr>
        <w:t>月は前年を</w:t>
      </w:r>
      <w:r w:rsidR="000C3DEC" w:rsidRPr="000C3DEC">
        <w:rPr>
          <w:rFonts w:ascii="Century" w:eastAsia="ＭＳ 明朝" w:hAnsi="Century" w:cs="Times New Roman" w:hint="eastAsia"/>
          <w:color w:val="000000" w:themeColor="text1"/>
        </w:rPr>
        <w:t>0.4</w:t>
      </w:r>
      <w:r w:rsidR="000C3DEC" w:rsidRPr="000C3DEC">
        <w:rPr>
          <w:rFonts w:ascii="Century" w:eastAsia="ＭＳ 明朝" w:hAnsi="Century" w:cs="Times New Roman" w:hint="eastAsia"/>
          <w:color w:val="000000" w:themeColor="text1"/>
        </w:rPr>
        <w:t>ポイント上回る</w:t>
      </w:r>
      <w:r w:rsidR="000C3DEC" w:rsidRPr="000C3DEC">
        <w:rPr>
          <w:rFonts w:ascii="Century" w:eastAsia="ＭＳ 明朝" w:hAnsi="Century" w:cs="Times New Roman" w:hint="eastAsia"/>
          <w:color w:val="000000" w:themeColor="text1"/>
        </w:rPr>
        <w:t>2.6</w:t>
      </w:r>
      <w:r w:rsidR="000C3DEC" w:rsidRPr="000C3DEC">
        <w:rPr>
          <w:rFonts w:ascii="Century" w:eastAsia="ＭＳ 明朝" w:hAnsi="Century" w:cs="Times New Roman" w:hint="eastAsia"/>
          <w:color w:val="000000" w:themeColor="text1"/>
        </w:rPr>
        <w:t>％を記録し、年間で</w:t>
      </w:r>
      <w:r w:rsidR="000C3DEC" w:rsidRPr="000C3DEC">
        <w:rPr>
          <w:rFonts w:ascii="Century" w:eastAsia="ＭＳ 明朝" w:hAnsi="Century" w:cs="Times New Roman" w:hint="eastAsia"/>
          <w:color w:val="000000" w:themeColor="text1"/>
        </w:rPr>
        <w:t>5.0</w:t>
      </w:r>
      <w:r w:rsidR="000C3DEC" w:rsidRPr="000C3DEC">
        <w:rPr>
          <w:rFonts w:ascii="Century" w:eastAsia="ＭＳ 明朝" w:hAnsi="Century" w:cs="Times New Roman" w:hint="eastAsia"/>
          <w:color w:val="000000" w:themeColor="text1"/>
        </w:rPr>
        <w:t>％を超えるペースとなって</w:t>
      </w:r>
      <w:r w:rsidR="00A84909">
        <w:rPr>
          <w:rFonts w:ascii="Century" w:eastAsia="ＭＳ 明朝" w:hAnsi="Century" w:cs="Times New Roman" w:hint="eastAsia"/>
          <w:color w:val="000000" w:themeColor="text1"/>
        </w:rPr>
        <w:t>いる</w:t>
      </w:r>
      <w:r w:rsidR="000C3DEC" w:rsidRPr="000C3DEC">
        <w:rPr>
          <w:rFonts w:ascii="Century" w:eastAsia="ＭＳ 明朝" w:hAnsi="Century" w:cs="Times New Roman" w:hint="eastAsia"/>
          <w:color w:val="000000" w:themeColor="text1"/>
        </w:rPr>
        <w:t>。</w:t>
      </w:r>
    </w:p>
    <w:p w:rsidR="00D80950" w:rsidRDefault="0090569D" w:rsidP="0090569D">
      <w:r>
        <w:rPr>
          <w:rFonts w:hint="eastAsia"/>
        </w:rPr>
        <w:t>●エリオ・ファジャス新財</w:t>
      </w:r>
      <w:r w:rsidR="00960F3A">
        <w:rPr>
          <w:rFonts w:hint="eastAsia"/>
        </w:rPr>
        <w:t>務大臣は</w:t>
      </w:r>
      <w:r w:rsidR="008B4362" w:rsidRPr="008B4362">
        <w:rPr>
          <w:rFonts w:hint="eastAsia"/>
        </w:rPr>
        <w:t>新政権の目標として</w:t>
      </w:r>
      <w:r w:rsidR="002740BC">
        <w:rPr>
          <w:rFonts w:hint="eastAsia"/>
        </w:rPr>
        <w:t>、所得税体系や</w:t>
      </w:r>
      <w:r w:rsidR="00960F3A">
        <w:rPr>
          <w:rFonts w:hint="eastAsia"/>
        </w:rPr>
        <w:t>売上</w:t>
      </w:r>
      <w:r w:rsidR="00855FE8">
        <w:rPr>
          <w:rFonts w:hint="eastAsia"/>
        </w:rPr>
        <w:t>税から</w:t>
      </w:r>
      <w:r w:rsidR="00A84909">
        <w:rPr>
          <w:rFonts w:hint="eastAsia"/>
        </w:rPr>
        <w:t>付加価値税への</w:t>
      </w:r>
      <w:r w:rsidR="00855FE8">
        <w:rPr>
          <w:rFonts w:hint="eastAsia"/>
        </w:rPr>
        <w:t>移行</w:t>
      </w:r>
      <w:r w:rsidR="002740BC">
        <w:rPr>
          <w:rFonts w:hint="eastAsia"/>
        </w:rPr>
        <w:t>等の税制改革</w:t>
      </w:r>
      <w:r w:rsidR="00A84909">
        <w:rPr>
          <w:rFonts w:hint="eastAsia"/>
        </w:rPr>
        <w:t>、納税</w:t>
      </w:r>
      <w:r w:rsidR="00046D2F">
        <w:rPr>
          <w:rFonts w:hint="eastAsia"/>
        </w:rPr>
        <w:t>手続き</w:t>
      </w:r>
      <w:r w:rsidR="00214031">
        <w:rPr>
          <w:rFonts w:hint="eastAsia"/>
        </w:rPr>
        <w:t>の</w:t>
      </w:r>
      <w:r>
        <w:rPr>
          <w:rFonts w:hint="eastAsia"/>
        </w:rPr>
        <w:t>厳正化など</w:t>
      </w:r>
      <w:r w:rsidR="00A84909">
        <w:rPr>
          <w:rFonts w:hint="eastAsia"/>
        </w:rPr>
        <w:t>により</w:t>
      </w:r>
      <w:r>
        <w:rPr>
          <w:rFonts w:hint="eastAsia"/>
        </w:rPr>
        <w:t>、</w:t>
      </w:r>
      <w:r>
        <w:rPr>
          <w:rFonts w:hint="eastAsia"/>
        </w:rPr>
        <w:t>2015</w:t>
      </w:r>
      <w:r w:rsidR="00A84909">
        <w:rPr>
          <w:rFonts w:hint="eastAsia"/>
        </w:rPr>
        <w:t>年</w:t>
      </w:r>
      <w:r>
        <w:rPr>
          <w:rFonts w:hint="eastAsia"/>
        </w:rPr>
        <w:t>に財政赤字額の対</w:t>
      </w:r>
      <w:r>
        <w:rPr>
          <w:rFonts w:hint="eastAsia"/>
        </w:rPr>
        <w:t>GDP</w:t>
      </w:r>
      <w:r>
        <w:rPr>
          <w:rFonts w:hint="eastAsia"/>
        </w:rPr>
        <w:t>比を</w:t>
      </w:r>
      <w:r>
        <w:rPr>
          <w:rFonts w:hint="eastAsia"/>
        </w:rPr>
        <w:t>2013</w:t>
      </w:r>
      <w:r>
        <w:rPr>
          <w:rFonts w:hint="eastAsia"/>
        </w:rPr>
        <w:t>年</w:t>
      </w:r>
      <w:r w:rsidR="00A84909">
        <w:rPr>
          <w:rFonts w:hint="eastAsia"/>
        </w:rPr>
        <w:t>の値から１％</w:t>
      </w:r>
      <w:r>
        <w:rPr>
          <w:rFonts w:hint="eastAsia"/>
        </w:rPr>
        <w:t>減少させ</w:t>
      </w:r>
      <w:r w:rsidR="00A84909">
        <w:rPr>
          <w:rFonts w:hint="eastAsia"/>
        </w:rPr>
        <w:t>、</w:t>
      </w:r>
      <w:r>
        <w:rPr>
          <w:rFonts w:hint="eastAsia"/>
        </w:rPr>
        <w:t>2016</w:t>
      </w:r>
      <w:r>
        <w:rPr>
          <w:rFonts w:hint="eastAsia"/>
        </w:rPr>
        <w:t>年には</w:t>
      </w:r>
      <w:r w:rsidR="00A84909">
        <w:rPr>
          <w:rFonts w:hint="eastAsia"/>
        </w:rPr>
        <w:t>基礎的財政収支</w:t>
      </w:r>
      <w:r w:rsidR="00A84909">
        <w:rPr>
          <w:rFonts w:hint="eastAsia"/>
        </w:rPr>
        <w:t>(</w:t>
      </w:r>
      <w:r w:rsidR="00A84909">
        <w:rPr>
          <w:rFonts w:hint="eastAsia"/>
        </w:rPr>
        <w:t>プライマリーバランス</w:t>
      </w:r>
      <w:r w:rsidR="00A84909">
        <w:rPr>
          <w:rFonts w:hint="eastAsia"/>
        </w:rPr>
        <w:t>)</w:t>
      </w:r>
      <w:r w:rsidR="00A84909">
        <w:rPr>
          <w:rFonts w:hint="eastAsia"/>
        </w:rPr>
        <w:t>の赤字</w:t>
      </w:r>
      <w:r w:rsidR="002740BC">
        <w:rPr>
          <w:rFonts w:hint="eastAsia"/>
        </w:rPr>
        <w:t>を</w:t>
      </w:r>
      <w:r w:rsidR="007E3DE5">
        <w:rPr>
          <w:rFonts w:hint="eastAsia"/>
        </w:rPr>
        <w:t>解消</w:t>
      </w:r>
      <w:r w:rsidR="002740BC">
        <w:rPr>
          <w:rFonts w:hint="eastAsia"/>
        </w:rPr>
        <w:t>することを</w:t>
      </w:r>
      <w:r>
        <w:rPr>
          <w:rFonts w:hint="eastAsia"/>
        </w:rPr>
        <w:t>掲げている。</w:t>
      </w:r>
    </w:p>
    <w:p w:rsidR="00D80950" w:rsidRDefault="00D80950"/>
    <w:p w:rsidR="00122B48" w:rsidRDefault="00620EE1">
      <w:r w:rsidRPr="00DD7CBF">
        <w:rPr>
          <w:noProof/>
          <w:sz w:val="16"/>
          <w:szCs w:val="16"/>
        </w:rPr>
        <w:drawing>
          <wp:anchor distT="0" distB="0" distL="114300" distR="114300" simplePos="0" relativeHeight="251669504" behindDoc="0" locked="0" layoutInCell="1" allowOverlap="1" wp14:anchorId="6B6D7141" wp14:editId="609EB5E9">
            <wp:simplePos x="0" y="0"/>
            <wp:positionH relativeFrom="margin">
              <wp:posOffset>2863215</wp:posOffset>
            </wp:positionH>
            <wp:positionV relativeFrom="margin">
              <wp:posOffset>3644900</wp:posOffset>
            </wp:positionV>
            <wp:extent cx="2457450" cy="3086100"/>
            <wp:effectExtent l="0" t="0" r="0" b="0"/>
            <wp:wrapSquare wrapText="bothSides"/>
            <wp:docPr id="1"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3789C50D" wp14:editId="3B5949B5">
            <wp:simplePos x="0" y="0"/>
            <wp:positionH relativeFrom="margin">
              <wp:posOffset>62865</wp:posOffset>
            </wp:positionH>
            <wp:positionV relativeFrom="margin">
              <wp:posOffset>3644900</wp:posOffset>
            </wp:positionV>
            <wp:extent cx="2409825" cy="3086100"/>
            <wp:effectExtent l="0" t="0" r="0" b="0"/>
            <wp:wrapSquare wrapText="bothSides"/>
            <wp:docPr id="12" name="グラフ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V relativeFrom="margin">
              <wp14:pctHeight>0</wp14:pctHeight>
            </wp14:sizeRelV>
          </wp:anchor>
        </w:drawing>
      </w:r>
    </w:p>
    <w:p w:rsidR="00122B48" w:rsidRDefault="00122B48"/>
    <w:p w:rsidR="00122B48" w:rsidRDefault="00122B48"/>
    <w:p w:rsidR="00122B48" w:rsidRDefault="00122B48"/>
    <w:p w:rsidR="00122B48" w:rsidRDefault="00122B48"/>
    <w:p w:rsidR="00122B48" w:rsidRDefault="00122B48"/>
    <w:p w:rsidR="00122B48" w:rsidRDefault="00122B48"/>
    <w:p w:rsidR="00DD7C17" w:rsidRDefault="00ED29A8" w:rsidP="00DD7C17">
      <w:pPr>
        <w:jc w:val="left"/>
      </w:pPr>
      <w:r>
        <w:rPr>
          <w:rFonts w:hint="eastAsia"/>
        </w:rPr>
        <w:lastRenderedPageBreak/>
        <w:t>4</w:t>
      </w:r>
      <w:r>
        <w:rPr>
          <w:rFonts w:hint="eastAsia"/>
        </w:rPr>
        <w:t>．物価上昇率</w:t>
      </w:r>
    </w:p>
    <w:p w:rsidR="00DD7C17" w:rsidRDefault="00DD7C17" w:rsidP="00DD7C17">
      <w:pPr>
        <w:jc w:val="left"/>
        <w:rPr>
          <w:rFonts w:ascii="Century" w:eastAsia="ＭＳ 明朝" w:hAnsi="Century" w:cs="Times New Roman"/>
          <w:color w:val="000000" w:themeColor="text1"/>
        </w:rPr>
      </w:pPr>
      <w:r w:rsidRPr="00FC2771">
        <w:rPr>
          <w:rFonts w:ascii="Century" w:eastAsia="ＭＳ 明朝" w:hAnsi="Century" w:cs="Times New Roman" w:hint="eastAsia"/>
          <w:color w:val="000000" w:themeColor="text1"/>
        </w:rPr>
        <w:t>●</w:t>
      </w:r>
      <w:r w:rsidR="00DB6C33" w:rsidRPr="00FC2771">
        <w:rPr>
          <w:rFonts w:ascii="Century" w:eastAsia="ＭＳ 明朝" w:hAnsi="Century" w:cs="Times New Roman" w:hint="eastAsia"/>
          <w:color w:val="000000" w:themeColor="text1"/>
        </w:rPr>
        <w:t>4</w:t>
      </w:r>
      <w:r w:rsidRPr="00FC2771">
        <w:rPr>
          <w:rFonts w:ascii="Century" w:eastAsia="ＭＳ 明朝" w:hAnsi="Century" w:cs="Times New Roman" w:hint="eastAsia"/>
          <w:color w:val="000000" w:themeColor="text1"/>
        </w:rPr>
        <w:t>月から</w:t>
      </w:r>
      <w:r w:rsidR="00DB6C33" w:rsidRPr="00FC2771">
        <w:rPr>
          <w:rFonts w:ascii="Century" w:eastAsia="ＭＳ 明朝" w:hAnsi="Century" w:cs="Times New Roman" w:hint="eastAsia"/>
          <w:color w:val="000000" w:themeColor="text1"/>
        </w:rPr>
        <w:t>5</w:t>
      </w:r>
      <w:r w:rsidRPr="00FC2771">
        <w:rPr>
          <w:rFonts w:ascii="Century" w:eastAsia="ＭＳ 明朝" w:hAnsi="Century" w:cs="Times New Roman" w:hint="eastAsia"/>
          <w:color w:val="000000" w:themeColor="text1"/>
        </w:rPr>
        <w:t>月にかけての物価上昇率</w:t>
      </w:r>
      <w:r w:rsidRPr="00FC2771">
        <w:rPr>
          <w:rFonts w:ascii="Century" w:eastAsia="ＭＳ 明朝" w:hAnsi="Century" w:cs="Times New Roman"/>
          <w:color w:val="000000" w:themeColor="text1"/>
        </w:rPr>
        <w:t>(</w:t>
      </w:r>
      <w:r w:rsidRPr="00FC2771">
        <w:rPr>
          <w:rFonts w:ascii="Century" w:eastAsia="ＭＳ 明朝" w:hAnsi="Century" w:cs="Times New Roman" w:hint="eastAsia"/>
          <w:color w:val="000000" w:themeColor="text1"/>
        </w:rPr>
        <w:t>表</w:t>
      </w:r>
      <w:r w:rsidR="00573A2A">
        <w:rPr>
          <w:rFonts w:ascii="Century" w:eastAsia="ＭＳ 明朝" w:hAnsi="Century" w:cs="Times New Roman" w:hint="eastAsia"/>
          <w:color w:val="000000" w:themeColor="text1"/>
        </w:rPr>
        <w:t>8</w:t>
      </w:r>
      <w:r w:rsidRPr="00FC2771">
        <w:rPr>
          <w:rFonts w:ascii="Century" w:eastAsia="ＭＳ 明朝" w:hAnsi="Century" w:cs="Times New Roman"/>
          <w:color w:val="000000" w:themeColor="text1"/>
        </w:rPr>
        <w:t>)</w:t>
      </w:r>
      <w:r w:rsidRPr="00FC2771">
        <w:rPr>
          <w:rFonts w:ascii="Century" w:eastAsia="ＭＳ 明朝" w:hAnsi="Century" w:cs="Times New Roman" w:hint="eastAsia"/>
          <w:color w:val="000000" w:themeColor="text1"/>
        </w:rPr>
        <w:t>は前年同</w:t>
      </w:r>
      <w:r w:rsidR="007E34F1">
        <w:rPr>
          <w:rFonts w:ascii="Century" w:eastAsia="ＭＳ 明朝" w:hAnsi="Century" w:cs="Times New Roman" w:hint="eastAsia"/>
          <w:color w:val="000000" w:themeColor="text1"/>
        </w:rPr>
        <w:t>期の値</w:t>
      </w:r>
      <w:r w:rsidRPr="00FC2771">
        <w:rPr>
          <w:rFonts w:ascii="Century" w:eastAsia="ＭＳ 明朝" w:hAnsi="Century" w:cs="Times New Roman"/>
          <w:color w:val="000000" w:themeColor="text1"/>
        </w:rPr>
        <w:t>(</w:t>
      </w:r>
      <w:r w:rsidRPr="00FC2771">
        <w:rPr>
          <w:rFonts w:ascii="Century" w:eastAsia="ＭＳ 明朝" w:hAnsi="Century" w:cs="Times New Roman" w:hint="eastAsia"/>
          <w:color w:val="000000" w:themeColor="text1"/>
        </w:rPr>
        <w:t>0</w:t>
      </w:r>
      <w:r w:rsidRPr="00FC2771">
        <w:rPr>
          <w:rFonts w:ascii="Century" w:eastAsia="ＭＳ 明朝" w:hAnsi="Century" w:cs="Times New Roman"/>
          <w:color w:val="000000" w:themeColor="text1"/>
        </w:rPr>
        <w:t>.</w:t>
      </w:r>
      <w:r w:rsidR="00EE17A4">
        <w:rPr>
          <w:rFonts w:ascii="Century" w:eastAsia="ＭＳ 明朝" w:hAnsi="Century" w:cs="Times New Roman" w:hint="eastAsia"/>
          <w:color w:val="000000" w:themeColor="text1"/>
        </w:rPr>
        <w:t>0</w:t>
      </w:r>
      <w:r w:rsidR="00FC2771" w:rsidRPr="00FC2771">
        <w:rPr>
          <w:rFonts w:ascii="Century" w:eastAsia="ＭＳ 明朝" w:hAnsi="Century" w:cs="Times New Roman" w:hint="eastAsia"/>
          <w:color w:val="000000" w:themeColor="text1"/>
        </w:rPr>
        <w:t>2</w:t>
      </w:r>
      <w:r w:rsidRPr="00FC2771">
        <w:rPr>
          <w:rFonts w:ascii="Century" w:eastAsia="ＭＳ 明朝" w:hAnsi="Century" w:cs="Times New Roman"/>
          <w:color w:val="000000" w:themeColor="text1"/>
        </w:rPr>
        <w:t>%)</w:t>
      </w:r>
      <w:r w:rsidRPr="00FC2771">
        <w:rPr>
          <w:rFonts w:ascii="Century" w:eastAsia="ＭＳ 明朝" w:hAnsi="Century" w:cs="Times New Roman" w:hint="eastAsia"/>
          <w:color w:val="000000" w:themeColor="text1"/>
        </w:rPr>
        <w:t>を大きく上回る</w:t>
      </w:r>
      <w:r w:rsidRPr="00FC2771">
        <w:rPr>
          <w:rFonts w:ascii="Century" w:eastAsia="ＭＳ 明朝" w:hAnsi="Century" w:cs="Times New Roman"/>
          <w:color w:val="000000" w:themeColor="text1"/>
        </w:rPr>
        <w:t>0.</w:t>
      </w:r>
      <w:r w:rsidR="00FC2771" w:rsidRPr="00FC2771">
        <w:rPr>
          <w:rFonts w:ascii="Century" w:eastAsia="ＭＳ 明朝" w:hAnsi="Century" w:cs="Times New Roman" w:hint="eastAsia"/>
          <w:color w:val="000000" w:themeColor="text1"/>
        </w:rPr>
        <w:t>55</w:t>
      </w:r>
      <w:r w:rsidR="00FC2771" w:rsidRPr="00FC2771">
        <w:rPr>
          <w:rFonts w:ascii="Century" w:eastAsia="ＭＳ 明朝" w:hAnsi="Century" w:cs="Times New Roman" w:hint="eastAsia"/>
          <w:color w:val="000000" w:themeColor="text1"/>
        </w:rPr>
        <w:t>％となり、</w:t>
      </w:r>
      <w:r w:rsidR="00FC2771" w:rsidRPr="00FC2771">
        <w:rPr>
          <w:rFonts w:ascii="Century" w:eastAsia="ＭＳ 明朝" w:hAnsi="Century" w:cs="Times New Roman" w:hint="eastAsia"/>
          <w:color w:val="000000" w:themeColor="text1"/>
        </w:rPr>
        <w:t>5</w:t>
      </w:r>
      <w:r w:rsidR="00C60B36">
        <w:rPr>
          <w:rFonts w:ascii="Century" w:eastAsia="ＭＳ 明朝" w:hAnsi="Century" w:cs="Times New Roman" w:hint="eastAsia"/>
          <w:color w:val="000000" w:themeColor="text1"/>
        </w:rPr>
        <w:t>月時点での</w:t>
      </w:r>
      <w:r w:rsidR="00FC2771" w:rsidRPr="00FC2771">
        <w:rPr>
          <w:rFonts w:ascii="Century" w:eastAsia="ＭＳ 明朝" w:hAnsi="Century" w:cs="Times New Roman" w:hint="eastAsia"/>
          <w:color w:val="000000" w:themeColor="text1"/>
        </w:rPr>
        <w:t>累計</w:t>
      </w:r>
      <w:r w:rsidR="00C60B36">
        <w:rPr>
          <w:rFonts w:ascii="Century" w:eastAsia="ＭＳ 明朝" w:hAnsi="Century" w:cs="Times New Roman" w:hint="eastAsia"/>
          <w:color w:val="000000" w:themeColor="text1"/>
        </w:rPr>
        <w:t>値</w:t>
      </w:r>
      <w:r w:rsidR="00FC2771" w:rsidRPr="00FC2771">
        <w:rPr>
          <w:rFonts w:ascii="Century" w:eastAsia="ＭＳ 明朝" w:hAnsi="Century" w:cs="Times New Roman" w:hint="eastAsia"/>
          <w:color w:val="000000" w:themeColor="text1"/>
        </w:rPr>
        <w:t>では前年同値を</w:t>
      </w:r>
      <w:r w:rsidR="00FC2771" w:rsidRPr="00FC2771">
        <w:rPr>
          <w:rFonts w:ascii="Century" w:eastAsia="ＭＳ 明朝" w:hAnsi="Century" w:cs="Times New Roman" w:hint="eastAsia"/>
          <w:color w:val="000000" w:themeColor="text1"/>
        </w:rPr>
        <w:t>0.53</w:t>
      </w:r>
      <w:r w:rsidR="00FC2771" w:rsidRPr="00FC2771">
        <w:rPr>
          <w:rFonts w:ascii="Century" w:eastAsia="ＭＳ 明朝" w:hAnsi="Century" w:cs="Times New Roman" w:hint="eastAsia"/>
          <w:color w:val="000000" w:themeColor="text1"/>
        </w:rPr>
        <w:t>ポイント上回る</w:t>
      </w:r>
      <w:r w:rsidR="00FC2771" w:rsidRPr="00FC2771">
        <w:rPr>
          <w:rFonts w:ascii="Century" w:eastAsia="ＭＳ 明朝" w:hAnsi="Century" w:cs="Times New Roman" w:hint="eastAsia"/>
          <w:color w:val="000000" w:themeColor="text1"/>
        </w:rPr>
        <w:t>3.75</w:t>
      </w:r>
      <w:r w:rsidR="00FC2771" w:rsidRPr="00FC2771">
        <w:rPr>
          <w:rFonts w:ascii="Century" w:eastAsia="ＭＳ 明朝" w:hAnsi="Century" w:cs="Times New Roman" w:hint="eastAsia"/>
          <w:color w:val="000000" w:themeColor="text1"/>
        </w:rPr>
        <w:t>％となった</w:t>
      </w:r>
      <w:r w:rsidRPr="00FC2771">
        <w:rPr>
          <w:rFonts w:ascii="Century" w:eastAsia="ＭＳ 明朝" w:hAnsi="Century" w:cs="Times New Roman" w:hint="eastAsia"/>
          <w:color w:val="000000" w:themeColor="text1"/>
        </w:rPr>
        <w:t>。</w:t>
      </w:r>
    </w:p>
    <w:p w:rsidR="00573A2A" w:rsidRPr="00FC2771" w:rsidRDefault="00573A2A" w:rsidP="00DD7C17">
      <w:pPr>
        <w:jc w:val="left"/>
        <w:rPr>
          <w:rFonts w:ascii="Century" w:eastAsia="ＭＳ 明朝" w:hAnsi="Century" w:cs="Times New Roman"/>
          <w:color w:val="000000" w:themeColor="text1"/>
        </w:rPr>
      </w:pPr>
      <w:r>
        <w:rPr>
          <w:rFonts w:ascii="Century" w:eastAsia="ＭＳ 明朝" w:hAnsi="Century" w:cs="Times New Roman" w:hint="eastAsia"/>
          <w:color w:val="000000" w:themeColor="text1"/>
        </w:rPr>
        <w:t>●</w:t>
      </w:r>
      <w:r>
        <w:rPr>
          <w:rFonts w:ascii="Century" w:eastAsia="ＭＳ 明朝" w:hAnsi="Century" w:cs="Times New Roman" w:hint="eastAsia"/>
          <w:color w:val="000000" w:themeColor="text1"/>
        </w:rPr>
        <w:t>5</w:t>
      </w:r>
      <w:r>
        <w:rPr>
          <w:rFonts w:ascii="Century" w:eastAsia="ＭＳ 明朝" w:hAnsi="Century" w:cs="Times New Roman" w:hint="eastAsia"/>
          <w:color w:val="000000" w:themeColor="text1"/>
        </w:rPr>
        <w:t>月から</w:t>
      </w:r>
      <w:r>
        <w:rPr>
          <w:rFonts w:ascii="Century" w:eastAsia="ＭＳ 明朝" w:hAnsi="Century" w:cs="Times New Roman" w:hint="eastAsia"/>
          <w:color w:val="000000" w:themeColor="text1"/>
        </w:rPr>
        <w:t>6</w:t>
      </w:r>
      <w:r w:rsidR="007E34F1">
        <w:rPr>
          <w:rFonts w:ascii="Century" w:eastAsia="ＭＳ 明朝" w:hAnsi="Century" w:cs="Times New Roman" w:hint="eastAsia"/>
          <w:color w:val="000000" w:themeColor="text1"/>
        </w:rPr>
        <w:t>月にかけての物価上昇率は前年同期の値</w:t>
      </w:r>
      <w:r>
        <w:rPr>
          <w:rFonts w:ascii="Century" w:eastAsia="ＭＳ 明朝" w:hAnsi="Century" w:cs="Times New Roman" w:hint="eastAsia"/>
          <w:color w:val="000000" w:themeColor="text1"/>
        </w:rPr>
        <w:t>(0.02</w:t>
      </w:r>
      <w:r>
        <w:rPr>
          <w:rFonts w:ascii="Century" w:eastAsia="ＭＳ 明朝" w:hAnsi="Century" w:cs="Times New Roman" w:hint="eastAsia"/>
          <w:color w:val="000000" w:themeColor="text1"/>
        </w:rPr>
        <w:t>％</w:t>
      </w:r>
      <w:r>
        <w:rPr>
          <w:rFonts w:ascii="Century" w:eastAsia="ＭＳ 明朝" w:hAnsi="Century" w:cs="Times New Roman" w:hint="eastAsia"/>
          <w:color w:val="000000" w:themeColor="text1"/>
        </w:rPr>
        <w:t>)</w:t>
      </w:r>
      <w:r>
        <w:rPr>
          <w:rFonts w:ascii="Century" w:eastAsia="ＭＳ 明朝" w:hAnsi="Century" w:cs="Times New Roman" w:hint="eastAsia"/>
          <w:color w:val="000000" w:themeColor="text1"/>
        </w:rPr>
        <w:t>を大きく上回る</w:t>
      </w:r>
      <w:r>
        <w:rPr>
          <w:rFonts w:ascii="Century" w:eastAsia="ＭＳ 明朝" w:hAnsi="Century" w:cs="Times New Roman" w:hint="eastAsia"/>
          <w:color w:val="000000" w:themeColor="text1"/>
        </w:rPr>
        <w:t>0.39</w:t>
      </w:r>
      <w:r w:rsidR="00924925">
        <w:rPr>
          <w:rFonts w:ascii="Century" w:eastAsia="ＭＳ 明朝" w:hAnsi="Century" w:cs="Times New Roman" w:hint="eastAsia"/>
          <w:color w:val="000000" w:themeColor="text1"/>
        </w:rPr>
        <w:t>％となり、</w:t>
      </w:r>
      <w:r w:rsidR="00924925">
        <w:rPr>
          <w:rFonts w:ascii="Century" w:eastAsia="ＭＳ 明朝" w:hAnsi="Century" w:cs="Times New Roman" w:hint="eastAsia"/>
          <w:color w:val="000000" w:themeColor="text1"/>
        </w:rPr>
        <w:t>6</w:t>
      </w:r>
      <w:r w:rsidR="00C60B36">
        <w:rPr>
          <w:rFonts w:ascii="Century" w:eastAsia="ＭＳ 明朝" w:hAnsi="Century" w:cs="Times New Roman" w:hint="eastAsia"/>
          <w:color w:val="000000" w:themeColor="text1"/>
        </w:rPr>
        <w:t>月時点での</w:t>
      </w:r>
      <w:r>
        <w:rPr>
          <w:rFonts w:ascii="Century" w:eastAsia="ＭＳ 明朝" w:hAnsi="Century" w:cs="Times New Roman" w:hint="eastAsia"/>
          <w:color w:val="000000" w:themeColor="text1"/>
        </w:rPr>
        <w:t>累計</w:t>
      </w:r>
      <w:r w:rsidR="00C60B36">
        <w:rPr>
          <w:rFonts w:ascii="Century" w:eastAsia="ＭＳ 明朝" w:hAnsi="Century" w:cs="Times New Roman" w:hint="eastAsia"/>
          <w:color w:val="000000" w:themeColor="text1"/>
        </w:rPr>
        <w:t>値</w:t>
      </w:r>
      <w:r>
        <w:rPr>
          <w:rFonts w:ascii="Century" w:eastAsia="ＭＳ 明朝" w:hAnsi="Century" w:cs="Times New Roman" w:hint="eastAsia"/>
          <w:color w:val="000000" w:themeColor="text1"/>
        </w:rPr>
        <w:t>では前年同値を</w:t>
      </w:r>
      <w:r>
        <w:rPr>
          <w:rFonts w:ascii="Century" w:eastAsia="ＭＳ 明朝" w:hAnsi="Century" w:cs="Times New Roman" w:hint="eastAsia"/>
          <w:color w:val="000000" w:themeColor="text1"/>
        </w:rPr>
        <w:t>0.9</w:t>
      </w:r>
      <w:r w:rsidR="00EE17A4">
        <w:rPr>
          <w:rFonts w:ascii="Century" w:eastAsia="ＭＳ 明朝" w:hAnsi="Century" w:cs="Times New Roman" w:hint="eastAsia"/>
          <w:color w:val="000000" w:themeColor="text1"/>
        </w:rPr>
        <w:t>0</w:t>
      </w:r>
      <w:r>
        <w:rPr>
          <w:rFonts w:ascii="Century" w:eastAsia="ＭＳ 明朝" w:hAnsi="Century" w:cs="Times New Roman" w:hint="eastAsia"/>
          <w:color w:val="000000" w:themeColor="text1"/>
        </w:rPr>
        <w:t>ポイント上回る</w:t>
      </w:r>
      <w:r>
        <w:rPr>
          <w:rFonts w:ascii="Century" w:eastAsia="ＭＳ 明朝" w:hAnsi="Century" w:cs="Times New Roman" w:hint="eastAsia"/>
          <w:color w:val="000000" w:themeColor="text1"/>
        </w:rPr>
        <w:t>4.14</w:t>
      </w:r>
      <w:r>
        <w:rPr>
          <w:rFonts w:ascii="Century" w:eastAsia="ＭＳ 明朝" w:hAnsi="Century" w:cs="Times New Roman" w:hint="eastAsia"/>
          <w:color w:val="000000" w:themeColor="text1"/>
        </w:rPr>
        <w:t>％となった。</w:t>
      </w:r>
    </w:p>
    <w:p w:rsidR="00DD7C17" w:rsidRPr="00DD7C17" w:rsidRDefault="00DD7C17" w:rsidP="00573A2A">
      <w:pPr>
        <w:jc w:val="left"/>
        <w:rPr>
          <w:rFonts w:ascii="Century" w:eastAsia="ＭＳ 明朝" w:hAnsi="Century" w:cs="Times New Roman"/>
          <w:color w:val="FF0000"/>
        </w:rPr>
      </w:pPr>
      <w:r w:rsidRPr="00ED2DF9">
        <w:rPr>
          <w:rFonts w:ascii="Century" w:eastAsia="ＭＳ 明朝" w:hAnsi="Century" w:cs="Times New Roman" w:hint="eastAsia"/>
          <w:color w:val="000000" w:themeColor="text1"/>
        </w:rPr>
        <w:t>●</w:t>
      </w:r>
      <w:r w:rsidR="00D94FAC" w:rsidRPr="00D94FAC">
        <w:rPr>
          <w:rFonts w:ascii="Century" w:eastAsia="ＭＳ 明朝" w:hAnsi="Century" w:cs="Times New Roman" w:hint="eastAsia"/>
          <w:color w:val="000000" w:themeColor="text1"/>
        </w:rPr>
        <w:t>6</w:t>
      </w:r>
      <w:r w:rsidR="00D94FAC">
        <w:rPr>
          <w:rFonts w:ascii="Century" w:eastAsia="ＭＳ 明朝" w:hAnsi="Century" w:cs="Times New Roman" w:hint="eastAsia"/>
          <w:color w:val="000000" w:themeColor="text1"/>
        </w:rPr>
        <w:t>月時点の消費者物価指数</w:t>
      </w:r>
      <w:r w:rsidRPr="00ED2DF9">
        <w:rPr>
          <w:rFonts w:ascii="Century" w:eastAsia="ＭＳ 明朝" w:hAnsi="Century" w:cs="Times New Roman" w:hint="eastAsia"/>
          <w:color w:val="000000" w:themeColor="text1"/>
        </w:rPr>
        <w:t>年率換算値</w:t>
      </w:r>
      <w:r w:rsidRPr="00ED2DF9">
        <w:rPr>
          <w:rFonts w:ascii="Century" w:eastAsia="ＭＳ 明朝" w:hAnsi="Century" w:cs="Times New Roman"/>
          <w:color w:val="000000" w:themeColor="text1"/>
        </w:rPr>
        <w:t>(</w:t>
      </w:r>
      <w:r w:rsidRPr="00ED2DF9">
        <w:rPr>
          <w:rFonts w:ascii="Century" w:eastAsia="ＭＳ 明朝" w:hAnsi="Century" w:cs="Times New Roman" w:hint="eastAsia"/>
          <w:color w:val="000000" w:themeColor="text1"/>
        </w:rPr>
        <w:t>表</w:t>
      </w:r>
      <w:r w:rsidR="00D94FAC">
        <w:rPr>
          <w:rFonts w:ascii="Century" w:eastAsia="ＭＳ 明朝" w:hAnsi="Century" w:cs="Times New Roman" w:hint="eastAsia"/>
          <w:color w:val="000000" w:themeColor="text1"/>
        </w:rPr>
        <w:t>9</w:t>
      </w:r>
      <w:r w:rsidRPr="00ED2DF9">
        <w:rPr>
          <w:rFonts w:ascii="Century" w:eastAsia="ＭＳ 明朝" w:hAnsi="Century" w:cs="Times New Roman"/>
          <w:color w:val="000000" w:themeColor="text1"/>
        </w:rPr>
        <w:t>)</w:t>
      </w:r>
      <w:r w:rsidRPr="00ED2DF9">
        <w:rPr>
          <w:rFonts w:ascii="Century" w:eastAsia="ＭＳ 明朝" w:hAnsi="Century" w:cs="Times New Roman" w:hint="eastAsia"/>
          <w:color w:val="000000" w:themeColor="text1"/>
        </w:rPr>
        <w:t>は</w:t>
      </w:r>
      <w:r w:rsidR="00ED2DF9" w:rsidRPr="00ED2DF9">
        <w:rPr>
          <w:rFonts w:ascii="Century" w:eastAsia="ＭＳ 明朝" w:hAnsi="Century" w:cs="Times New Roman" w:hint="eastAsia"/>
          <w:color w:val="000000" w:themeColor="text1"/>
        </w:rPr>
        <w:t>4.</w:t>
      </w:r>
      <w:r w:rsidR="00573A2A">
        <w:rPr>
          <w:rFonts w:ascii="Century" w:eastAsia="ＭＳ 明朝" w:hAnsi="Century" w:cs="Times New Roman" w:hint="eastAsia"/>
          <w:color w:val="000000" w:themeColor="text1"/>
        </w:rPr>
        <w:t>59</w:t>
      </w:r>
      <w:r w:rsidRPr="00ED2DF9">
        <w:rPr>
          <w:rFonts w:ascii="Century" w:eastAsia="ＭＳ 明朝" w:hAnsi="Century" w:cs="Times New Roman" w:hint="eastAsia"/>
          <w:color w:val="000000" w:themeColor="text1"/>
        </w:rPr>
        <w:t>％を記録し</w:t>
      </w:r>
      <w:r w:rsidR="00296F9F">
        <w:rPr>
          <w:rFonts w:ascii="Century" w:eastAsia="ＭＳ 明朝" w:hAnsi="Century" w:cs="Times New Roman" w:hint="eastAsia"/>
          <w:color w:val="000000" w:themeColor="text1"/>
        </w:rPr>
        <w:t>た。</w:t>
      </w:r>
      <w:r w:rsidR="00296F9F" w:rsidRPr="00296F9F">
        <w:rPr>
          <w:rFonts w:ascii="Century" w:eastAsia="ＭＳ 明朝" w:hAnsi="Century" w:cs="Times New Roman" w:hint="eastAsia"/>
          <w:color w:val="000000" w:themeColor="text1"/>
        </w:rPr>
        <w:t>中銀は</w:t>
      </w:r>
      <w:r w:rsidR="00296F9F" w:rsidRPr="00296F9F">
        <w:rPr>
          <w:rFonts w:ascii="Century" w:eastAsia="ＭＳ 明朝" w:hAnsi="Century" w:cs="Times New Roman" w:hint="eastAsia"/>
          <w:color w:val="000000" w:themeColor="text1"/>
        </w:rPr>
        <w:t>7</w:t>
      </w:r>
      <w:r w:rsidR="00296F9F" w:rsidRPr="00296F9F">
        <w:rPr>
          <w:rFonts w:ascii="Century" w:eastAsia="ＭＳ 明朝" w:hAnsi="Century" w:cs="Times New Roman" w:hint="eastAsia"/>
          <w:color w:val="000000" w:themeColor="text1"/>
        </w:rPr>
        <w:t>月</w:t>
      </w:r>
      <w:r w:rsidR="00296F9F" w:rsidRPr="00296F9F">
        <w:rPr>
          <w:rFonts w:ascii="Century" w:eastAsia="ＭＳ 明朝" w:hAnsi="Century" w:cs="Times New Roman" w:hint="eastAsia"/>
          <w:color w:val="000000" w:themeColor="text1"/>
        </w:rPr>
        <w:t>31</w:t>
      </w:r>
      <w:r w:rsidR="00296F9F" w:rsidRPr="00296F9F">
        <w:rPr>
          <w:rFonts w:ascii="Century" w:eastAsia="ＭＳ 明朝" w:hAnsi="Century" w:cs="Times New Roman" w:hint="eastAsia"/>
          <w:color w:val="000000" w:themeColor="text1"/>
        </w:rPr>
        <w:t>日までに</w:t>
      </w:r>
      <w:r w:rsidR="00296F9F" w:rsidRPr="00296F9F">
        <w:rPr>
          <w:rFonts w:ascii="Century" w:eastAsia="ＭＳ 明朝" w:hAnsi="Century" w:cs="Times New Roman" w:hint="eastAsia"/>
          <w:color w:val="000000" w:themeColor="text1"/>
        </w:rPr>
        <w:t>2014</w:t>
      </w:r>
      <w:r w:rsidR="00296F9F" w:rsidRPr="00296F9F">
        <w:rPr>
          <w:rFonts w:ascii="Century" w:eastAsia="ＭＳ 明朝" w:hAnsi="Century" w:cs="Times New Roman" w:hint="eastAsia"/>
          <w:color w:val="000000" w:themeColor="text1"/>
        </w:rPr>
        <w:t>－</w:t>
      </w:r>
      <w:r w:rsidR="00296F9F" w:rsidRPr="00296F9F">
        <w:rPr>
          <w:rFonts w:ascii="Century" w:eastAsia="ＭＳ 明朝" w:hAnsi="Century" w:cs="Times New Roman" w:hint="eastAsia"/>
          <w:color w:val="000000" w:themeColor="text1"/>
        </w:rPr>
        <w:t>2015</w:t>
      </w:r>
      <w:r w:rsidR="001011C7">
        <w:rPr>
          <w:rFonts w:ascii="Century" w:eastAsia="ＭＳ 明朝" w:hAnsi="Century" w:cs="Times New Roman" w:hint="eastAsia"/>
          <w:color w:val="000000" w:themeColor="text1"/>
        </w:rPr>
        <w:t>年</w:t>
      </w:r>
      <w:r w:rsidR="00296F9F" w:rsidRPr="00296F9F">
        <w:rPr>
          <w:rFonts w:ascii="Century" w:eastAsia="ＭＳ 明朝" w:hAnsi="Century" w:cs="Times New Roman" w:hint="eastAsia"/>
          <w:color w:val="000000" w:themeColor="text1"/>
        </w:rPr>
        <w:t>マクロ経済プログラムの修正報告書を提出</w:t>
      </w:r>
      <w:r w:rsidR="00E10EC5">
        <w:rPr>
          <w:rFonts w:ascii="Century" w:eastAsia="ＭＳ 明朝" w:hAnsi="Century" w:cs="Times New Roman" w:hint="eastAsia"/>
          <w:color w:val="000000" w:themeColor="text1"/>
        </w:rPr>
        <w:t>することになっており</w:t>
      </w:r>
      <w:r w:rsidR="00296F9F">
        <w:rPr>
          <w:rFonts w:ascii="Century" w:eastAsia="ＭＳ 明朝" w:hAnsi="Century" w:cs="Times New Roman" w:hint="eastAsia"/>
          <w:color w:val="000000" w:themeColor="text1"/>
        </w:rPr>
        <w:t>、現行の</w:t>
      </w:r>
      <w:r w:rsidR="00296F9F" w:rsidRPr="00296F9F">
        <w:rPr>
          <w:rFonts w:ascii="Century" w:eastAsia="ＭＳ 明朝" w:hAnsi="Century" w:cs="Times New Roman" w:hint="eastAsia"/>
          <w:color w:val="000000" w:themeColor="text1"/>
        </w:rPr>
        <w:t>インフレ・ターゲット</w:t>
      </w:r>
      <w:r w:rsidR="00296F9F">
        <w:rPr>
          <w:rFonts w:ascii="Century" w:eastAsia="ＭＳ 明朝" w:hAnsi="Century" w:cs="Times New Roman" w:hint="eastAsia"/>
          <w:color w:val="000000" w:themeColor="text1"/>
        </w:rPr>
        <w:t>(3</w:t>
      </w:r>
      <w:r w:rsidR="00296F9F">
        <w:rPr>
          <w:rFonts w:ascii="Century" w:eastAsia="ＭＳ 明朝" w:hAnsi="Century" w:cs="Times New Roman" w:hint="eastAsia"/>
          <w:color w:val="000000" w:themeColor="text1"/>
        </w:rPr>
        <w:t>－</w:t>
      </w:r>
      <w:r w:rsidR="00296F9F">
        <w:rPr>
          <w:rFonts w:ascii="Century" w:eastAsia="ＭＳ 明朝" w:hAnsi="Century" w:cs="Times New Roman" w:hint="eastAsia"/>
          <w:color w:val="000000" w:themeColor="text1"/>
        </w:rPr>
        <w:t>5</w:t>
      </w:r>
      <w:r w:rsidR="00296F9F">
        <w:rPr>
          <w:rFonts w:ascii="Century" w:eastAsia="ＭＳ 明朝" w:hAnsi="Century" w:cs="Times New Roman" w:hint="eastAsia"/>
          <w:color w:val="000000" w:themeColor="text1"/>
        </w:rPr>
        <w:t>％</w:t>
      </w:r>
      <w:r w:rsidR="00296F9F">
        <w:rPr>
          <w:rFonts w:ascii="Century" w:eastAsia="ＭＳ 明朝" w:hAnsi="Century" w:cs="Times New Roman" w:hint="eastAsia"/>
          <w:color w:val="000000" w:themeColor="text1"/>
        </w:rPr>
        <w:t>)</w:t>
      </w:r>
      <w:r w:rsidR="001E5C6D">
        <w:rPr>
          <w:rFonts w:ascii="Century" w:eastAsia="ＭＳ 明朝" w:hAnsi="Century" w:cs="Times New Roman" w:hint="eastAsia"/>
          <w:color w:val="000000" w:themeColor="text1"/>
        </w:rPr>
        <w:t>に</w:t>
      </w:r>
      <w:r w:rsidR="00296F9F">
        <w:rPr>
          <w:rFonts w:ascii="Century" w:eastAsia="ＭＳ 明朝" w:hAnsi="Century" w:cs="Times New Roman" w:hint="eastAsia"/>
          <w:color w:val="000000" w:themeColor="text1"/>
        </w:rPr>
        <w:t>修正</w:t>
      </w:r>
      <w:r w:rsidR="001E5C6D">
        <w:rPr>
          <w:rFonts w:ascii="Century" w:eastAsia="ＭＳ 明朝" w:hAnsi="Century" w:cs="Times New Roman" w:hint="eastAsia"/>
          <w:color w:val="000000" w:themeColor="text1"/>
        </w:rPr>
        <w:t>が加えられる</w:t>
      </w:r>
      <w:r w:rsidR="00296F9F">
        <w:rPr>
          <w:rFonts w:ascii="Century" w:eastAsia="ＭＳ 明朝" w:hAnsi="Century" w:cs="Times New Roman" w:hint="eastAsia"/>
          <w:color w:val="000000" w:themeColor="text1"/>
        </w:rPr>
        <w:t>かに注目が集まっている</w:t>
      </w:r>
      <w:r w:rsidR="00E10EC5">
        <w:rPr>
          <w:rFonts w:ascii="Century" w:eastAsia="ＭＳ 明朝" w:hAnsi="Century" w:cs="Times New Roman" w:hint="eastAsia"/>
          <w:color w:val="000000" w:themeColor="text1"/>
        </w:rPr>
        <w:t>。</w:t>
      </w:r>
    </w:p>
    <w:p w:rsidR="00642E56" w:rsidRDefault="009A1503" w:rsidP="00E50B15">
      <w:pPr>
        <w:jc w:val="center"/>
      </w:pPr>
      <w:r w:rsidRPr="009A1503">
        <w:rPr>
          <w:noProof/>
        </w:rPr>
        <w:drawing>
          <wp:inline distT="0" distB="0" distL="0" distR="0">
            <wp:extent cx="4648200" cy="2924175"/>
            <wp:effectExtent l="0" t="0" r="19050" b="9525"/>
            <wp:docPr id="14" name="グラフ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42E56" w:rsidRDefault="004E0B05" w:rsidP="00746D9E">
      <w:pPr>
        <w:jc w:val="center"/>
      </w:pPr>
      <w:r w:rsidRPr="004E0B05">
        <w:rPr>
          <w:noProof/>
        </w:rPr>
        <w:drawing>
          <wp:inline distT="0" distB="0" distL="0" distR="0">
            <wp:extent cx="4648200" cy="2800350"/>
            <wp:effectExtent l="0" t="0" r="19050" b="19050"/>
            <wp:docPr id="15" name="グラフ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42E56" w:rsidRDefault="00642E56"/>
    <w:p w:rsidR="001611B8" w:rsidRDefault="001611B8"/>
    <w:p w:rsidR="00620B7F" w:rsidRDefault="00620B7F">
      <w:r>
        <w:lastRenderedPageBreak/>
        <w:t xml:space="preserve">5. </w:t>
      </w:r>
      <w:r>
        <w:rPr>
          <w:rFonts w:hint="eastAsia"/>
        </w:rPr>
        <w:t>為替・金利</w:t>
      </w:r>
    </w:p>
    <w:p w:rsidR="00C96911" w:rsidRPr="009E37FE" w:rsidRDefault="00C96911" w:rsidP="00C96911">
      <w:pPr>
        <w:rPr>
          <w:rFonts w:ascii="Century" w:eastAsia="ＭＳ 明朝" w:hAnsi="Century" w:cs="Times New Roman"/>
          <w:color w:val="000000" w:themeColor="text1"/>
        </w:rPr>
      </w:pPr>
      <w:r w:rsidRPr="009E37FE">
        <w:rPr>
          <w:rFonts w:ascii="Century" w:eastAsia="ＭＳ 明朝" w:hAnsi="Century" w:cs="Times New Roman"/>
          <w:color w:val="000000" w:themeColor="text1"/>
        </w:rPr>
        <w:t>(</w:t>
      </w:r>
      <w:r w:rsidRPr="009E37FE">
        <w:rPr>
          <w:rFonts w:ascii="Century" w:eastAsia="ＭＳ 明朝" w:hAnsi="Century" w:cs="Times New Roman" w:hint="eastAsia"/>
          <w:color w:val="000000" w:themeColor="text1"/>
        </w:rPr>
        <w:t>１</w:t>
      </w:r>
      <w:r w:rsidRPr="009E37FE">
        <w:rPr>
          <w:rFonts w:ascii="Century" w:eastAsia="ＭＳ 明朝" w:hAnsi="Century" w:cs="Times New Roman"/>
          <w:color w:val="000000" w:themeColor="text1"/>
        </w:rPr>
        <w:t>)</w:t>
      </w:r>
      <w:r w:rsidRPr="009E37FE">
        <w:rPr>
          <w:rFonts w:ascii="Century" w:eastAsia="ＭＳ 明朝" w:hAnsi="Century" w:cs="Times New Roman" w:hint="eastAsia"/>
          <w:color w:val="000000" w:themeColor="text1"/>
        </w:rPr>
        <w:t>為替レート</w:t>
      </w:r>
    </w:p>
    <w:p w:rsidR="00C96911" w:rsidRDefault="00C96911" w:rsidP="00C96911">
      <w:pPr>
        <w:jc w:val="left"/>
        <w:rPr>
          <w:rFonts w:ascii="Century" w:eastAsia="ＭＳ 明朝" w:hAnsi="Century" w:cs="Times New Roman"/>
          <w:color w:val="000000" w:themeColor="text1"/>
        </w:rPr>
      </w:pPr>
      <w:r w:rsidRPr="009E37FE">
        <w:rPr>
          <w:rFonts w:ascii="Century" w:eastAsia="ＭＳ 明朝" w:hAnsi="Century" w:cs="Times New Roman" w:hint="eastAsia"/>
          <w:color w:val="000000" w:themeColor="text1"/>
        </w:rPr>
        <w:t>●対米ドル為替レート</w:t>
      </w:r>
      <w:r w:rsidRPr="009E37FE">
        <w:rPr>
          <w:rFonts w:ascii="Century" w:eastAsia="ＭＳ 明朝" w:hAnsi="Century" w:cs="Times New Roman"/>
          <w:color w:val="000000" w:themeColor="text1"/>
        </w:rPr>
        <w:t>(</w:t>
      </w:r>
      <w:r w:rsidRPr="009E37FE">
        <w:rPr>
          <w:rFonts w:ascii="Century" w:eastAsia="ＭＳ 明朝" w:hAnsi="Century" w:cs="Times New Roman" w:hint="eastAsia"/>
          <w:color w:val="000000" w:themeColor="text1"/>
        </w:rPr>
        <w:t>表</w:t>
      </w:r>
      <w:r w:rsidR="009E37FE" w:rsidRPr="009E37FE">
        <w:rPr>
          <w:rFonts w:ascii="Century" w:eastAsia="ＭＳ 明朝" w:hAnsi="Century" w:cs="Times New Roman" w:hint="eastAsia"/>
          <w:color w:val="000000" w:themeColor="text1"/>
        </w:rPr>
        <w:t>9</w:t>
      </w:r>
      <w:r w:rsidRPr="009E37FE">
        <w:rPr>
          <w:rFonts w:ascii="Century" w:eastAsia="ＭＳ 明朝" w:hAnsi="Century" w:cs="Times New Roman"/>
          <w:color w:val="000000" w:themeColor="text1"/>
        </w:rPr>
        <w:t>)</w:t>
      </w:r>
      <w:r w:rsidRPr="009E37FE">
        <w:rPr>
          <w:rFonts w:ascii="Century" w:eastAsia="ＭＳ 明朝" w:hAnsi="Century" w:cs="Times New Roman" w:hint="eastAsia"/>
          <w:color w:val="000000" w:themeColor="text1"/>
        </w:rPr>
        <w:t>は、</w:t>
      </w:r>
      <w:r w:rsidR="009E37FE" w:rsidRPr="009E37FE">
        <w:rPr>
          <w:rFonts w:ascii="Century" w:eastAsia="ＭＳ 明朝" w:hAnsi="Century" w:cs="Times New Roman" w:hint="eastAsia"/>
          <w:color w:val="000000" w:themeColor="text1"/>
        </w:rPr>
        <w:t>4</w:t>
      </w:r>
      <w:r w:rsidR="009E37FE" w:rsidRPr="009E37FE">
        <w:rPr>
          <w:rFonts w:ascii="Century" w:eastAsia="ＭＳ 明朝" w:hAnsi="Century" w:cs="Times New Roman" w:hint="eastAsia"/>
          <w:color w:val="000000" w:themeColor="text1"/>
        </w:rPr>
        <w:t>月から</w:t>
      </w:r>
      <w:r w:rsidR="009E37FE" w:rsidRPr="009E37FE">
        <w:rPr>
          <w:rFonts w:ascii="Century" w:eastAsia="ＭＳ 明朝" w:hAnsi="Century" w:cs="Times New Roman" w:hint="eastAsia"/>
          <w:color w:val="000000" w:themeColor="text1"/>
        </w:rPr>
        <w:t>5</w:t>
      </w:r>
      <w:r w:rsidRPr="009E37FE">
        <w:rPr>
          <w:rFonts w:ascii="Century" w:eastAsia="ＭＳ 明朝" w:hAnsi="Century" w:cs="Times New Roman" w:hint="eastAsia"/>
          <w:color w:val="000000" w:themeColor="text1"/>
        </w:rPr>
        <w:t>月にかけて</w:t>
      </w:r>
      <w:r w:rsidR="009E37FE" w:rsidRPr="009E37FE">
        <w:rPr>
          <w:rFonts w:ascii="Century" w:eastAsia="ＭＳ 明朝" w:hAnsi="Century" w:cs="Times New Roman" w:hint="eastAsia"/>
          <w:color w:val="000000" w:themeColor="text1"/>
        </w:rPr>
        <w:t>ドル高への変動が弱まり、</w:t>
      </w:r>
      <w:r w:rsidRPr="009E37FE">
        <w:rPr>
          <w:rFonts w:ascii="Century" w:eastAsia="ＭＳ 明朝" w:hAnsi="Century" w:cs="Times New Roman" w:hint="eastAsia"/>
          <w:color w:val="000000" w:themeColor="text1"/>
        </w:rPr>
        <w:t>月末値</w:t>
      </w:r>
      <w:r w:rsidR="009E37FE" w:rsidRPr="009E37FE">
        <w:rPr>
          <w:rFonts w:ascii="Century" w:eastAsia="ＭＳ 明朝" w:hAnsi="Century" w:cs="Times New Roman" w:hint="eastAsia"/>
          <w:color w:val="000000" w:themeColor="text1"/>
        </w:rPr>
        <w:t>は</w:t>
      </w:r>
      <w:r w:rsidR="009E37FE" w:rsidRPr="009E37FE">
        <w:rPr>
          <w:rFonts w:ascii="Century" w:eastAsia="ＭＳ 明朝" w:hAnsi="Century" w:cs="Times New Roman" w:hint="eastAsia"/>
          <w:color w:val="000000" w:themeColor="text1"/>
        </w:rPr>
        <w:t>4</w:t>
      </w:r>
      <w:r w:rsidR="009E37FE" w:rsidRPr="009E37FE">
        <w:rPr>
          <w:rFonts w:ascii="Century" w:eastAsia="ＭＳ 明朝" w:hAnsi="Century" w:cs="Times New Roman" w:hint="eastAsia"/>
          <w:color w:val="000000" w:themeColor="text1"/>
        </w:rPr>
        <w:t>月の</w:t>
      </w:r>
      <w:r w:rsidRPr="009E37FE">
        <w:rPr>
          <w:rFonts w:ascii="Century" w:eastAsia="ＭＳ 明朝" w:hAnsi="Century" w:cs="Times New Roman" w:hint="eastAsia"/>
          <w:color w:val="000000" w:themeColor="text1"/>
        </w:rPr>
        <w:t>1</w:t>
      </w:r>
      <w:r w:rsidRPr="009E37FE">
        <w:rPr>
          <w:rFonts w:ascii="Century" w:eastAsia="ＭＳ 明朝" w:hAnsi="Century" w:cs="Times New Roman" w:hint="eastAsia"/>
          <w:color w:val="000000" w:themeColor="text1"/>
        </w:rPr>
        <w:t>ドル＝</w:t>
      </w:r>
      <w:r w:rsidR="009E37FE" w:rsidRPr="009E37FE">
        <w:rPr>
          <w:rFonts w:ascii="Century" w:eastAsia="ＭＳ 明朝" w:hAnsi="Century" w:cs="Times New Roman" w:hint="eastAsia"/>
          <w:color w:val="000000" w:themeColor="text1"/>
        </w:rPr>
        <w:t>554.9</w:t>
      </w:r>
      <w:r w:rsidR="009E37FE" w:rsidRPr="009E37FE">
        <w:rPr>
          <w:rFonts w:ascii="Century" w:eastAsia="ＭＳ 明朝" w:hAnsi="Century" w:cs="Times New Roman" w:hint="eastAsia"/>
          <w:color w:val="000000" w:themeColor="text1"/>
        </w:rPr>
        <w:t>コロンから</w:t>
      </w:r>
      <w:r w:rsidR="009E37FE" w:rsidRPr="009E37FE">
        <w:rPr>
          <w:rFonts w:ascii="Century" w:eastAsia="ＭＳ 明朝" w:hAnsi="Century" w:cs="Times New Roman" w:hint="eastAsia"/>
          <w:color w:val="000000" w:themeColor="text1"/>
        </w:rPr>
        <w:t>5</w:t>
      </w:r>
      <w:r w:rsidR="00BA4A91">
        <w:rPr>
          <w:rFonts w:ascii="Century" w:eastAsia="ＭＳ 明朝" w:hAnsi="Century" w:cs="Times New Roman" w:hint="eastAsia"/>
          <w:color w:val="000000" w:themeColor="text1"/>
        </w:rPr>
        <w:t>月は</w:t>
      </w:r>
      <w:r w:rsidR="009E37FE" w:rsidRPr="009E37FE">
        <w:rPr>
          <w:rFonts w:ascii="Century" w:eastAsia="ＭＳ 明朝" w:hAnsi="Century" w:cs="Times New Roman" w:hint="eastAsia"/>
          <w:color w:val="000000" w:themeColor="text1"/>
        </w:rPr>
        <w:t>556</w:t>
      </w:r>
      <w:r w:rsidR="009E37FE" w:rsidRPr="009E37FE">
        <w:rPr>
          <w:rFonts w:ascii="Century" w:eastAsia="ＭＳ 明朝" w:hAnsi="Century" w:cs="Times New Roman" w:hint="eastAsia"/>
          <w:color w:val="000000" w:themeColor="text1"/>
        </w:rPr>
        <w:t>コロンとなった。</w:t>
      </w:r>
    </w:p>
    <w:p w:rsidR="00652C5E" w:rsidRPr="009E37FE" w:rsidRDefault="00652C5E" w:rsidP="00C96911">
      <w:pPr>
        <w:jc w:val="left"/>
        <w:rPr>
          <w:rFonts w:ascii="Century" w:eastAsia="ＭＳ 明朝" w:hAnsi="Century" w:cs="Times New Roman"/>
          <w:color w:val="000000" w:themeColor="text1"/>
        </w:rPr>
      </w:pPr>
      <w:r>
        <w:rPr>
          <w:rFonts w:ascii="Century" w:eastAsia="ＭＳ 明朝" w:hAnsi="Century" w:cs="Times New Roman" w:hint="eastAsia"/>
          <w:color w:val="000000" w:themeColor="text1"/>
        </w:rPr>
        <w:t>●</w:t>
      </w:r>
      <w:r>
        <w:rPr>
          <w:rFonts w:ascii="Century" w:eastAsia="ＭＳ 明朝" w:hAnsi="Century" w:cs="Times New Roman" w:hint="eastAsia"/>
          <w:color w:val="000000" w:themeColor="text1"/>
        </w:rPr>
        <w:t>5</w:t>
      </w:r>
      <w:r w:rsidR="00537C7D">
        <w:rPr>
          <w:rFonts w:ascii="Century" w:eastAsia="ＭＳ 明朝" w:hAnsi="Century" w:cs="Times New Roman" w:hint="eastAsia"/>
          <w:color w:val="000000" w:themeColor="text1"/>
        </w:rPr>
        <w:t>月下旬に新政権初</w:t>
      </w:r>
      <w:r>
        <w:rPr>
          <w:rFonts w:ascii="Century" w:eastAsia="ＭＳ 明朝" w:hAnsi="Century" w:cs="Times New Roman" w:hint="eastAsia"/>
          <w:color w:val="000000" w:themeColor="text1"/>
        </w:rPr>
        <w:t>のドル売りによる為替介入が見られたものの、以降は為替が安定し、</w:t>
      </w:r>
      <w:r>
        <w:rPr>
          <w:rFonts w:ascii="Century" w:eastAsia="ＭＳ 明朝" w:hAnsi="Century" w:cs="Times New Roman" w:hint="eastAsia"/>
          <w:color w:val="000000" w:themeColor="text1"/>
        </w:rPr>
        <w:t>5</w:t>
      </w:r>
      <w:r>
        <w:rPr>
          <w:rFonts w:ascii="Century" w:eastAsia="ＭＳ 明朝" w:hAnsi="Century" w:cs="Times New Roman" w:hint="eastAsia"/>
          <w:color w:val="000000" w:themeColor="text1"/>
        </w:rPr>
        <w:t>月から</w:t>
      </w:r>
      <w:r>
        <w:rPr>
          <w:rFonts w:ascii="Century" w:eastAsia="ＭＳ 明朝" w:hAnsi="Century" w:cs="Times New Roman" w:hint="eastAsia"/>
          <w:color w:val="000000" w:themeColor="text1"/>
        </w:rPr>
        <w:t>6</w:t>
      </w:r>
      <w:r w:rsidR="00771368">
        <w:rPr>
          <w:rFonts w:ascii="Century" w:eastAsia="ＭＳ 明朝" w:hAnsi="Century" w:cs="Times New Roman" w:hint="eastAsia"/>
          <w:color w:val="000000" w:themeColor="text1"/>
        </w:rPr>
        <w:t>月にかけては年始以降初</w:t>
      </w:r>
      <w:r>
        <w:rPr>
          <w:rFonts w:ascii="Century" w:eastAsia="ＭＳ 明朝" w:hAnsi="Century" w:cs="Times New Roman" w:hint="eastAsia"/>
          <w:color w:val="000000" w:themeColor="text1"/>
        </w:rPr>
        <w:t>のドル安傾向が見られ、月末値は</w:t>
      </w:r>
      <w:r>
        <w:rPr>
          <w:rFonts w:ascii="Century" w:eastAsia="ＭＳ 明朝" w:hAnsi="Century" w:cs="Times New Roman" w:hint="eastAsia"/>
          <w:color w:val="000000" w:themeColor="text1"/>
        </w:rPr>
        <w:t>5</w:t>
      </w:r>
      <w:r>
        <w:rPr>
          <w:rFonts w:ascii="Century" w:eastAsia="ＭＳ 明朝" w:hAnsi="Century" w:cs="Times New Roman" w:hint="eastAsia"/>
          <w:color w:val="000000" w:themeColor="text1"/>
        </w:rPr>
        <w:t>月の</w:t>
      </w:r>
      <w:r w:rsidR="000C1682">
        <w:rPr>
          <w:rFonts w:ascii="Century" w:eastAsia="ＭＳ 明朝" w:hAnsi="Century" w:cs="Times New Roman" w:hint="eastAsia"/>
          <w:color w:val="000000" w:themeColor="text1"/>
        </w:rPr>
        <w:t>1</w:t>
      </w:r>
      <w:r w:rsidR="000C1682">
        <w:rPr>
          <w:rFonts w:ascii="Century" w:eastAsia="ＭＳ 明朝" w:hAnsi="Century" w:cs="Times New Roman" w:hint="eastAsia"/>
          <w:color w:val="000000" w:themeColor="text1"/>
        </w:rPr>
        <w:t>ドル＝</w:t>
      </w:r>
      <w:r>
        <w:rPr>
          <w:rFonts w:ascii="Century" w:eastAsia="ＭＳ 明朝" w:hAnsi="Century" w:cs="Times New Roman" w:hint="eastAsia"/>
          <w:color w:val="000000" w:themeColor="text1"/>
        </w:rPr>
        <w:t>556</w:t>
      </w:r>
      <w:r>
        <w:rPr>
          <w:rFonts w:ascii="Century" w:eastAsia="ＭＳ 明朝" w:hAnsi="Century" w:cs="Times New Roman" w:hint="eastAsia"/>
          <w:color w:val="000000" w:themeColor="text1"/>
        </w:rPr>
        <w:t>コロンから</w:t>
      </w:r>
      <w:r w:rsidR="000C1682">
        <w:rPr>
          <w:rFonts w:ascii="Century" w:eastAsia="ＭＳ 明朝" w:hAnsi="Century" w:cs="Times New Roman" w:hint="eastAsia"/>
          <w:color w:val="000000" w:themeColor="text1"/>
        </w:rPr>
        <w:t>、</w:t>
      </w:r>
      <w:r>
        <w:rPr>
          <w:rFonts w:ascii="Century" w:eastAsia="ＭＳ 明朝" w:hAnsi="Century" w:cs="Times New Roman" w:hint="eastAsia"/>
          <w:color w:val="000000" w:themeColor="text1"/>
        </w:rPr>
        <w:t>6</w:t>
      </w:r>
      <w:r>
        <w:rPr>
          <w:rFonts w:ascii="Century" w:eastAsia="ＭＳ 明朝" w:hAnsi="Century" w:cs="Times New Roman" w:hint="eastAsia"/>
          <w:color w:val="000000" w:themeColor="text1"/>
        </w:rPr>
        <w:t>月</w:t>
      </w:r>
      <w:r w:rsidR="000C1682">
        <w:rPr>
          <w:rFonts w:ascii="Century" w:eastAsia="ＭＳ 明朝" w:hAnsi="Century" w:cs="Times New Roman" w:hint="eastAsia"/>
          <w:color w:val="000000" w:themeColor="text1"/>
        </w:rPr>
        <w:t>に</w:t>
      </w:r>
      <w:r>
        <w:rPr>
          <w:rFonts w:ascii="Century" w:eastAsia="ＭＳ 明朝" w:hAnsi="Century" w:cs="Times New Roman" w:hint="eastAsia"/>
          <w:color w:val="000000" w:themeColor="text1"/>
        </w:rPr>
        <w:t>は</w:t>
      </w:r>
      <w:r w:rsidR="000C1682">
        <w:rPr>
          <w:rFonts w:ascii="Century" w:eastAsia="ＭＳ 明朝" w:hAnsi="Century" w:cs="Times New Roman" w:hint="eastAsia"/>
          <w:color w:val="000000" w:themeColor="text1"/>
        </w:rPr>
        <w:t>1</w:t>
      </w:r>
      <w:r w:rsidR="000C1682">
        <w:rPr>
          <w:rFonts w:ascii="Century" w:eastAsia="ＭＳ 明朝" w:hAnsi="Century" w:cs="Times New Roman" w:hint="eastAsia"/>
          <w:color w:val="000000" w:themeColor="text1"/>
        </w:rPr>
        <w:t>ドル＝</w:t>
      </w:r>
      <w:r>
        <w:rPr>
          <w:rFonts w:ascii="Century" w:eastAsia="ＭＳ 明朝" w:hAnsi="Century" w:cs="Times New Roman" w:hint="eastAsia"/>
          <w:color w:val="000000" w:themeColor="text1"/>
        </w:rPr>
        <w:t>543.5</w:t>
      </w:r>
      <w:r>
        <w:rPr>
          <w:rFonts w:ascii="Century" w:eastAsia="ＭＳ 明朝" w:hAnsi="Century" w:cs="Times New Roman" w:hint="eastAsia"/>
          <w:color w:val="000000" w:themeColor="text1"/>
        </w:rPr>
        <w:t>コロンとなった。</w:t>
      </w:r>
    </w:p>
    <w:p w:rsidR="000862AB" w:rsidRPr="008724F1" w:rsidRDefault="00C96911" w:rsidP="00C96911">
      <w:pPr>
        <w:jc w:val="left"/>
        <w:rPr>
          <w:rFonts w:ascii="Century" w:eastAsia="ＭＳ 明朝" w:hAnsi="Century" w:cs="Times New Roman"/>
        </w:rPr>
      </w:pPr>
      <w:r w:rsidRPr="008724F1">
        <w:rPr>
          <w:rFonts w:ascii="Century" w:eastAsia="ＭＳ 明朝" w:hAnsi="Century" w:cs="Times New Roman" w:hint="eastAsia"/>
        </w:rPr>
        <w:t>●</w:t>
      </w:r>
      <w:r w:rsidR="00652C5E">
        <w:rPr>
          <w:rFonts w:ascii="Century" w:eastAsia="ＭＳ 明朝" w:hAnsi="Century" w:cs="Times New Roman" w:hint="eastAsia"/>
        </w:rPr>
        <w:t>5</w:t>
      </w:r>
      <w:r w:rsidR="00652C5E">
        <w:rPr>
          <w:rFonts w:ascii="Century" w:eastAsia="ＭＳ 明朝" w:hAnsi="Century" w:cs="Times New Roman" w:hint="eastAsia"/>
        </w:rPr>
        <w:t>月から</w:t>
      </w:r>
      <w:r w:rsidR="00652C5E">
        <w:rPr>
          <w:rFonts w:ascii="Century" w:eastAsia="ＭＳ 明朝" w:hAnsi="Century" w:cs="Times New Roman" w:hint="eastAsia"/>
        </w:rPr>
        <w:t>6</w:t>
      </w:r>
      <w:r w:rsidR="00652C5E">
        <w:rPr>
          <w:rFonts w:ascii="Century" w:eastAsia="ＭＳ 明朝" w:hAnsi="Century" w:cs="Times New Roman" w:hint="eastAsia"/>
        </w:rPr>
        <w:t>月のドル安</w:t>
      </w:r>
      <w:r w:rsidR="008724F1" w:rsidRPr="008724F1">
        <w:rPr>
          <w:rFonts w:ascii="Century" w:eastAsia="ＭＳ 明朝" w:hAnsi="Century" w:cs="Times New Roman" w:hint="eastAsia"/>
        </w:rPr>
        <w:t>傾向</w:t>
      </w:r>
      <w:r w:rsidR="00652C5E">
        <w:rPr>
          <w:rFonts w:ascii="Century" w:eastAsia="ＭＳ 明朝" w:hAnsi="Century" w:cs="Times New Roman" w:hint="eastAsia"/>
        </w:rPr>
        <w:t>は</w:t>
      </w:r>
      <w:r w:rsidR="00652C5E">
        <w:rPr>
          <w:rFonts w:ascii="Century" w:eastAsia="ＭＳ 明朝" w:hAnsi="Century" w:cs="Times New Roman" w:hint="eastAsia"/>
        </w:rPr>
        <w:t>4</w:t>
      </w:r>
      <w:r w:rsidR="00652C5E">
        <w:rPr>
          <w:rFonts w:ascii="Century" w:eastAsia="ＭＳ 明朝" w:hAnsi="Century" w:cs="Times New Roman" w:hint="eastAsia"/>
        </w:rPr>
        <w:t>月に実施した</w:t>
      </w:r>
      <w:r w:rsidR="00652C5E">
        <w:rPr>
          <w:rFonts w:ascii="Century" w:eastAsia="ＭＳ 明朝" w:hAnsi="Century" w:cs="Times New Roman" w:hint="eastAsia"/>
        </w:rPr>
        <w:t>10</w:t>
      </w:r>
      <w:r w:rsidR="00652C5E">
        <w:rPr>
          <w:rFonts w:ascii="Century" w:eastAsia="ＭＳ 明朝" w:hAnsi="Century" w:cs="Times New Roman" w:hint="eastAsia"/>
        </w:rPr>
        <w:t>億米ドル規模のユーロ債発行により、為替を安定させるのに十分な外貨を獲得できたためと思われる</w:t>
      </w:r>
      <w:r w:rsidR="008724F1" w:rsidRPr="008724F1">
        <w:rPr>
          <w:rFonts w:ascii="Century" w:eastAsia="ＭＳ 明朝" w:hAnsi="Century" w:cs="Times New Roman" w:hint="eastAsia"/>
        </w:rPr>
        <w:t>。</w:t>
      </w:r>
    </w:p>
    <w:p w:rsidR="00C96911" w:rsidRPr="005A33C5" w:rsidRDefault="00652C5E" w:rsidP="00C96911">
      <w:pPr>
        <w:jc w:val="left"/>
        <w:rPr>
          <w:rFonts w:ascii="Century" w:eastAsia="ＭＳ 明朝" w:hAnsi="Century" w:cs="Times New Roman"/>
          <w:color w:val="000000" w:themeColor="text1"/>
        </w:rPr>
      </w:pPr>
      <w:r w:rsidRPr="005A33C5">
        <w:rPr>
          <w:rFonts w:ascii="Century" w:eastAsia="ＭＳ 明朝" w:hAnsi="Century" w:cs="Times New Roman" w:hint="eastAsia"/>
          <w:color w:val="000000" w:themeColor="text1"/>
        </w:rPr>
        <w:t>●オリビエル・カストロ新中銀総裁は、</w:t>
      </w:r>
      <w:r w:rsidRPr="005A33C5">
        <w:rPr>
          <w:rFonts w:ascii="Century" w:eastAsia="ＭＳ 明朝" w:hAnsi="Century" w:cs="Times New Roman" w:hint="eastAsia"/>
          <w:color w:val="000000" w:themeColor="text1"/>
        </w:rPr>
        <w:t>7</w:t>
      </w:r>
      <w:r w:rsidRPr="005A33C5">
        <w:rPr>
          <w:rFonts w:ascii="Century" w:eastAsia="ＭＳ 明朝" w:hAnsi="Century" w:cs="Times New Roman" w:hint="eastAsia"/>
          <w:color w:val="000000" w:themeColor="text1"/>
        </w:rPr>
        <w:t>月</w:t>
      </w:r>
      <w:r w:rsidRPr="005A33C5">
        <w:rPr>
          <w:rFonts w:ascii="Century" w:eastAsia="ＭＳ 明朝" w:hAnsi="Century" w:cs="Times New Roman" w:hint="eastAsia"/>
          <w:color w:val="000000" w:themeColor="text1"/>
        </w:rPr>
        <w:t>31</w:t>
      </w:r>
      <w:r w:rsidRPr="005A33C5">
        <w:rPr>
          <w:rFonts w:ascii="Century" w:eastAsia="ＭＳ 明朝" w:hAnsi="Century" w:cs="Times New Roman" w:hint="eastAsia"/>
          <w:color w:val="000000" w:themeColor="text1"/>
        </w:rPr>
        <w:t>日までに提出予定の</w:t>
      </w:r>
      <w:r w:rsidRPr="005A33C5">
        <w:rPr>
          <w:rFonts w:ascii="Century" w:eastAsia="ＭＳ 明朝" w:hAnsi="Century" w:cs="Times New Roman" w:hint="eastAsia"/>
          <w:color w:val="000000" w:themeColor="text1"/>
        </w:rPr>
        <w:t>2014</w:t>
      </w:r>
      <w:r w:rsidRPr="005A33C5">
        <w:rPr>
          <w:rFonts w:ascii="Century" w:eastAsia="ＭＳ 明朝" w:hAnsi="Century" w:cs="Times New Roman" w:hint="eastAsia"/>
          <w:color w:val="000000" w:themeColor="text1"/>
        </w:rPr>
        <w:t>－</w:t>
      </w:r>
      <w:r w:rsidRPr="005A33C5">
        <w:rPr>
          <w:rFonts w:ascii="Century" w:eastAsia="ＭＳ 明朝" w:hAnsi="Century" w:cs="Times New Roman" w:hint="eastAsia"/>
          <w:color w:val="000000" w:themeColor="text1"/>
        </w:rPr>
        <w:t>2015</w:t>
      </w:r>
      <w:r w:rsidR="001011C7">
        <w:rPr>
          <w:rFonts w:ascii="Century" w:eastAsia="ＭＳ 明朝" w:hAnsi="Century" w:cs="Times New Roman" w:hint="eastAsia"/>
          <w:color w:val="000000" w:themeColor="text1"/>
        </w:rPr>
        <w:t>年</w:t>
      </w:r>
      <w:r w:rsidRPr="005A33C5">
        <w:rPr>
          <w:rFonts w:ascii="Century" w:eastAsia="ＭＳ 明朝" w:hAnsi="Century" w:cs="Times New Roman" w:hint="eastAsia"/>
          <w:color w:val="000000" w:themeColor="text1"/>
        </w:rPr>
        <w:t>マクロ経済プログラムの修正報告書において、今後の為替制度のあり方</w:t>
      </w:r>
      <w:r w:rsidR="005A33C5" w:rsidRPr="005A33C5">
        <w:rPr>
          <w:rFonts w:ascii="Century" w:eastAsia="ＭＳ 明朝" w:hAnsi="Century" w:cs="Times New Roman" w:hint="eastAsia"/>
          <w:color w:val="000000" w:themeColor="text1"/>
        </w:rPr>
        <w:t>(</w:t>
      </w:r>
      <w:r w:rsidR="005A33C5" w:rsidRPr="005A33C5">
        <w:rPr>
          <w:rFonts w:ascii="Century" w:eastAsia="ＭＳ 明朝" w:hAnsi="Century" w:cs="Times New Roman" w:hint="eastAsia"/>
          <w:color w:val="000000" w:themeColor="text1"/>
        </w:rPr>
        <w:t>ク</w:t>
      </w:r>
      <w:r w:rsidR="001E7DEA">
        <w:rPr>
          <w:rFonts w:ascii="Century" w:eastAsia="ＭＳ 明朝" w:hAnsi="Century" w:cs="Times New Roman" w:hint="eastAsia"/>
          <w:color w:val="000000" w:themeColor="text1"/>
        </w:rPr>
        <w:t>ローリング・バンド制維持のうえでの上下限値の修正か、自由変動制移行</w:t>
      </w:r>
      <w:r w:rsidR="005A33C5" w:rsidRPr="005A33C5">
        <w:rPr>
          <w:rFonts w:ascii="Century" w:eastAsia="ＭＳ 明朝" w:hAnsi="Century" w:cs="Times New Roman" w:hint="eastAsia"/>
          <w:color w:val="000000" w:themeColor="text1"/>
        </w:rPr>
        <w:t>か</w:t>
      </w:r>
      <w:r w:rsidR="005A33C5" w:rsidRPr="005A33C5">
        <w:rPr>
          <w:rFonts w:ascii="Century" w:eastAsia="ＭＳ 明朝" w:hAnsi="Century" w:cs="Times New Roman" w:hint="eastAsia"/>
          <w:color w:val="000000" w:themeColor="text1"/>
        </w:rPr>
        <w:t>)</w:t>
      </w:r>
      <w:r w:rsidRPr="005A33C5">
        <w:rPr>
          <w:rFonts w:ascii="Century" w:eastAsia="ＭＳ 明朝" w:hAnsi="Century" w:cs="Times New Roman" w:hint="eastAsia"/>
          <w:color w:val="000000" w:themeColor="text1"/>
        </w:rPr>
        <w:t>について</w:t>
      </w:r>
      <w:r w:rsidR="001011C7">
        <w:rPr>
          <w:rFonts w:ascii="Century" w:eastAsia="ＭＳ 明朝" w:hAnsi="Century" w:cs="Times New Roman" w:hint="eastAsia"/>
          <w:color w:val="000000" w:themeColor="text1"/>
        </w:rPr>
        <w:t>、</w:t>
      </w:r>
      <w:r w:rsidRPr="005A33C5">
        <w:rPr>
          <w:rFonts w:ascii="Century" w:eastAsia="ＭＳ 明朝" w:hAnsi="Century" w:cs="Times New Roman" w:hint="eastAsia"/>
          <w:color w:val="000000" w:themeColor="text1"/>
        </w:rPr>
        <w:t>方向性を示すことになっている。</w:t>
      </w:r>
    </w:p>
    <w:p w:rsidR="00D517CC" w:rsidRDefault="00D517CC"/>
    <w:p w:rsidR="00131F89" w:rsidRDefault="00571884" w:rsidP="00CB2529">
      <w:pPr>
        <w:jc w:val="center"/>
      </w:pPr>
      <w:r w:rsidRPr="00571884">
        <w:rPr>
          <w:noProof/>
        </w:rPr>
        <w:drawing>
          <wp:inline distT="0" distB="0" distL="0" distR="0">
            <wp:extent cx="4600575" cy="3028950"/>
            <wp:effectExtent l="0" t="0" r="9525" b="19050"/>
            <wp:docPr id="18" name="グラフ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C4337" w:rsidRDefault="003C4337"/>
    <w:p w:rsidR="00E30245" w:rsidRDefault="00E30245"/>
    <w:p w:rsidR="00E30245" w:rsidRDefault="00E30245"/>
    <w:p w:rsidR="00E30245" w:rsidRDefault="00E30245"/>
    <w:p w:rsidR="00E30245" w:rsidRDefault="00E30245"/>
    <w:p w:rsidR="00E30245" w:rsidRDefault="00E30245"/>
    <w:p w:rsidR="00EE6C2A" w:rsidRDefault="00EE6C2A"/>
    <w:p w:rsidR="00E30245" w:rsidRDefault="00E30245"/>
    <w:p w:rsidR="008B14D0" w:rsidRPr="008B14D0" w:rsidRDefault="008B14D0" w:rsidP="008B14D0">
      <w:pPr>
        <w:rPr>
          <w:rFonts w:ascii="Century" w:eastAsia="ＭＳ 明朝" w:hAnsi="Century" w:cs="Times New Roman"/>
        </w:rPr>
      </w:pPr>
      <w:r w:rsidRPr="008B14D0">
        <w:rPr>
          <w:rFonts w:ascii="Century" w:eastAsia="ＭＳ 明朝" w:hAnsi="Century" w:cs="Times New Roman"/>
        </w:rPr>
        <w:lastRenderedPageBreak/>
        <w:t>(2)</w:t>
      </w:r>
      <w:r w:rsidRPr="008B14D0">
        <w:rPr>
          <w:rFonts w:ascii="Century" w:eastAsia="ＭＳ 明朝" w:hAnsi="Century" w:cs="Times New Roman" w:hint="eastAsia"/>
        </w:rPr>
        <w:t>金利</w:t>
      </w:r>
    </w:p>
    <w:p w:rsidR="008B14D0" w:rsidRPr="008262B2" w:rsidRDefault="008B14D0" w:rsidP="008B14D0">
      <w:pPr>
        <w:rPr>
          <w:rFonts w:ascii="Century" w:eastAsia="ＭＳ 明朝" w:hAnsi="Century" w:cs="Times New Roman"/>
          <w:color w:val="000000" w:themeColor="text1"/>
        </w:rPr>
      </w:pPr>
      <w:r w:rsidRPr="008262B2">
        <w:rPr>
          <w:rFonts w:ascii="Century" w:eastAsia="ＭＳ 明朝" w:hAnsi="Century" w:cs="Times New Roman" w:hint="eastAsia"/>
          <w:color w:val="000000" w:themeColor="text1"/>
        </w:rPr>
        <w:t>●</w:t>
      </w:r>
      <w:r w:rsidR="00CD57BF" w:rsidRPr="008262B2">
        <w:rPr>
          <w:rFonts w:ascii="Century" w:eastAsia="ＭＳ 明朝" w:hAnsi="Century" w:cs="Times New Roman" w:hint="eastAsia"/>
          <w:color w:val="000000" w:themeColor="text1"/>
        </w:rPr>
        <w:t>5</w:t>
      </w:r>
      <w:r w:rsidRPr="008262B2">
        <w:rPr>
          <w:rFonts w:ascii="Century" w:eastAsia="ＭＳ 明朝" w:hAnsi="Century" w:cs="Times New Roman" w:hint="eastAsia"/>
          <w:color w:val="000000" w:themeColor="text1"/>
        </w:rPr>
        <w:t>月・</w:t>
      </w:r>
      <w:r w:rsidR="00CD57BF" w:rsidRPr="008262B2">
        <w:rPr>
          <w:rFonts w:ascii="Century" w:eastAsia="ＭＳ 明朝" w:hAnsi="Century" w:cs="Times New Roman" w:hint="eastAsia"/>
          <w:color w:val="000000" w:themeColor="text1"/>
        </w:rPr>
        <w:t>6</w:t>
      </w:r>
      <w:r w:rsidRPr="008262B2">
        <w:rPr>
          <w:rFonts w:ascii="Century" w:eastAsia="ＭＳ 明朝" w:hAnsi="Century" w:cs="Times New Roman" w:hint="eastAsia"/>
          <w:color w:val="000000" w:themeColor="text1"/>
        </w:rPr>
        <w:t>月の基本金利</w:t>
      </w:r>
      <w:r w:rsidRPr="008262B2">
        <w:rPr>
          <w:rFonts w:ascii="Century" w:eastAsia="ＭＳ 明朝" w:hAnsi="Century" w:cs="Times New Roman"/>
          <w:color w:val="000000" w:themeColor="text1"/>
        </w:rPr>
        <w:t>(</w:t>
      </w:r>
      <w:r w:rsidRPr="008262B2">
        <w:rPr>
          <w:rFonts w:ascii="Century" w:eastAsia="ＭＳ 明朝" w:hAnsi="Century" w:cs="Times New Roman" w:hint="eastAsia"/>
          <w:color w:val="000000" w:themeColor="text1"/>
        </w:rPr>
        <w:t>表</w:t>
      </w:r>
      <w:r w:rsidRPr="008262B2">
        <w:rPr>
          <w:rFonts w:ascii="Century" w:eastAsia="ＭＳ 明朝" w:hAnsi="Century" w:cs="Times New Roman"/>
          <w:color w:val="000000" w:themeColor="text1"/>
        </w:rPr>
        <w:t>11)</w:t>
      </w:r>
      <w:r w:rsidRPr="008262B2">
        <w:rPr>
          <w:rFonts w:ascii="Century" w:eastAsia="ＭＳ 明朝" w:hAnsi="Century" w:cs="Times New Roman" w:hint="eastAsia"/>
          <w:color w:val="000000" w:themeColor="text1"/>
        </w:rPr>
        <w:t>は</w:t>
      </w:r>
      <w:r w:rsidR="00E50919" w:rsidRPr="008262B2">
        <w:rPr>
          <w:rFonts w:ascii="Century" w:eastAsia="ＭＳ 明朝" w:hAnsi="Century" w:cs="Times New Roman" w:hint="eastAsia"/>
          <w:color w:val="000000" w:themeColor="text1"/>
        </w:rPr>
        <w:t>4</w:t>
      </w:r>
      <w:r w:rsidRPr="008262B2">
        <w:rPr>
          <w:rFonts w:ascii="Century" w:eastAsia="ＭＳ 明朝" w:hAnsi="Century" w:cs="Times New Roman" w:hint="eastAsia"/>
          <w:color w:val="000000" w:themeColor="text1"/>
        </w:rPr>
        <w:t>月の値</w:t>
      </w:r>
      <w:r w:rsidR="00E50919" w:rsidRPr="008262B2">
        <w:rPr>
          <w:rFonts w:ascii="Century" w:eastAsia="ＭＳ 明朝" w:hAnsi="Century" w:cs="Times New Roman" w:hint="eastAsia"/>
          <w:color w:val="000000" w:themeColor="text1"/>
        </w:rPr>
        <w:t>(6.70</w:t>
      </w:r>
      <w:r w:rsidR="00E50919" w:rsidRPr="008262B2">
        <w:rPr>
          <w:rFonts w:ascii="Century" w:eastAsia="ＭＳ 明朝" w:hAnsi="Century" w:cs="Times New Roman" w:hint="eastAsia"/>
          <w:color w:val="000000" w:themeColor="text1"/>
        </w:rPr>
        <w:t>％</w:t>
      </w:r>
      <w:r w:rsidRPr="008262B2">
        <w:rPr>
          <w:rFonts w:ascii="Century" w:eastAsia="ＭＳ 明朝" w:hAnsi="Century" w:cs="Times New Roman" w:hint="eastAsia"/>
          <w:color w:val="000000" w:themeColor="text1"/>
        </w:rPr>
        <w:t>)</w:t>
      </w:r>
      <w:r w:rsidR="00E50919" w:rsidRPr="008262B2">
        <w:rPr>
          <w:rFonts w:ascii="Century" w:eastAsia="ＭＳ 明朝" w:hAnsi="Century" w:cs="Times New Roman" w:hint="eastAsia"/>
          <w:color w:val="000000" w:themeColor="text1"/>
        </w:rPr>
        <w:t>から上昇</w:t>
      </w:r>
      <w:r w:rsidRPr="008262B2">
        <w:rPr>
          <w:rFonts w:ascii="Century" w:eastAsia="ＭＳ 明朝" w:hAnsi="Century" w:cs="Times New Roman" w:hint="eastAsia"/>
          <w:color w:val="000000" w:themeColor="text1"/>
        </w:rPr>
        <w:t>し、それぞれ</w:t>
      </w:r>
      <w:r w:rsidRPr="008262B2">
        <w:rPr>
          <w:rFonts w:ascii="Century" w:eastAsia="ＭＳ 明朝" w:hAnsi="Century" w:cs="Times New Roman"/>
          <w:color w:val="000000" w:themeColor="text1"/>
        </w:rPr>
        <w:t>6.</w:t>
      </w:r>
      <w:r w:rsidR="00E50919" w:rsidRPr="008262B2">
        <w:rPr>
          <w:rFonts w:ascii="Century" w:eastAsia="ＭＳ 明朝" w:hAnsi="Century" w:cs="Times New Roman" w:hint="eastAsia"/>
          <w:color w:val="000000" w:themeColor="text1"/>
        </w:rPr>
        <w:t>85</w:t>
      </w:r>
      <w:r w:rsidR="00E50919" w:rsidRPr="008262B2">
        <w:rPr>
          <w:rFonts w:ascii="Century" w:eastAsia="ＭＳ 明朝" w:hAnsi="Century" w:cs="Times New Roman" w:hint="eastAsia"/>
          <w:color w:val="000000" w:themeColor="text1"/>
        </w:rPr>
        <w:t>％</w:t>
      </w:r>
      <w:r w:rsidRPr="008262B2">
        <w:rPr>
          <w:rFonts w:ascii="Century" w:eastAsia="ＭＳ 明朝" w:hAnsi="Century" w:cs="Times New Roman" w:hint="eastAsia"/>
          <w:color w:val="000000" w:themeColor="text1"/>
        </w:rPr>
        <w:t>、</w:t>
      </w:r>
      <w:r w:rsidRPr="008262B2">
        <w:rPr>
          <w:rFonts w:ascii="Century" w:eastAsia="ＭＳ 明朝" w:hAnsi="Century" w:cs="Times New Roman"/>
          <w:color w:val="000000" w:themeColor="text1"/>
        </w:rPr>
        <w:t>6.</w:t>
      </w:r>
      <w:r w:rsidR="00E50919" w:rsidRPr="008262B2">
        <w:rPr>
          <w:rFonts w:ascii="Century" w:eastAsia="ＭＳ 明朝" w:hAnsi="Century" w:cs="Times New Roman" w:hint="eastAsia"/>
          <w:color w:val="000000" w:themeColor="text1"/>
        </w:rPr>
        <w:t>95</w:t>
      </w:r>
      <w:r w:rsidR="00E50919" w:rsidRPr="008262B2">
        <w:rPr>
          <w:rFonts w:ascii="Century" w:eastAsia="ＭＳ 明朝" w:hAnsi="Century" w:cs="Times New Roman" w:hint="eastAsia"/>
          <w:color w:val="000000" w:themeColor="text1"/>
        </w:rPr>
        <w:t>％</w:t>
      </w:r>
      <w:r w:rsidRPr="008262B2">
        <w:rPr>
          <w:rFonts w:ascii="Century" w:eastAsia="ＭＳ 明朝" w:hAnsi="Century" w:cs="Times New Roman" w:hint="eastAsia"/>
          <w:color w:val="000000" w:themeColor="text1"/>
        </w:rPr>
        <w:t>となった。</w:t>
      </w:r>
      <w:r w:rsidR="00427E7E" w:rsidRPr="008262B2">
        <w:rPr>
          <w:rFonts w:ascii="Century" w:eastAsia="ＭＳ 明朝" w:hAnsi="Century" w:cs="Times New Roman" w:hint="eastAsia"/>
          <w:color w:val="000000" w:themeColor="text1"/>
        </w:rPr>
        <w:t>4</w:t>
      </w:r>
      <w:r w:rsidR="00427E7E" w:rsidRPr="008262B2">
        <w:rPr>
          <w:rFonts w:ascii="Century" w:eastAsia="ＭＳ 明朝" w:hAnsi="Century" w:cs="Times New Roman" w:hint="eastAsia"/>
          <w:color w:val="000000" w:themeColor="text1"/>
        </w:rPr>
        <w:t>月から</w:t>
      </w:r>
      <w:r w:rsidR="00427E7E" w:rsidRPr="008262B2">
        <w:rPr>
          <w:rFonts w:ascii="Century" w:eastAsia="ＭＳ 明朝" w:hAnsi="Century" w:cs="Times New Roman" w:hint="eastAsia"/>
          <w:color w:val="000000" w:themeColor="text1"/>
        </w:rPr>
        <w:t>5</w:t>
      </w:r>
      <w:r w:rsidR="00EE6C2A">
        <w:rPr>
          <w:rFonts w:ascii="Century" w:eastAsia="ＭＳ 明朝" w:hAnsi="Century" w:cs="Times New Roman" w:hint="eastAsia"/>
          <w:color w:val="000000" w:themeColor="text1"/>
        </w:rPr>
        <w:t>月に</w:t>
      </w:r>
      <w:r w:rsidR="006972F4">
        <w:rPr>
          <w:rFonts w:ascii="Century" w:eastAsia="ＭＳ 明朝" w:hAnsi="Century" w:cs="Times New Roman" w:hint="eastAsia"/>
          <w:color w:val="000000" w:themeColor="text1"/>
        </w:rPr>
        <w:t>中銀によって実施された</w:t>
      </w:r>
      <w:r w:rsidR="00427E7E" w:rsidRPr="008262B2">
        <w:rPr>
          <w:rFonts w:ascii="Century" w:eastAsia="ＭＳ 明朝" w:hAnsi="Century" w:cs="Times New Roman" w:hint="eastAsia"/>
          <w:color w:val="000000" w:themeColor="text1"/>
        </w:rPr>
        <w:t>基本金利の</w:t>
      </w:r>
      <w:r w:rsidR="00A4287D" w:rsidRPr="008262B2">
        <w:rPr>
          <w:rFonts w:ascii="Century" w:eastAsia="ＭＳ 明朝" w:hAnsi="Century" w:cs="Times New Roman" w:hint="eastAsia"/>
          <w:color w:val="000000" w:themeColor="text1"/>
        </w:rPr>
        <w:t>1</w:t>
      </w:r>
      <w:r w:rsidR="00A4287D" w:rsidRPr="008262B2">
        <w:rPr>
          <w:rFonts w:ascii="Century" w:eastAsia="ＭＳ 明朝" w:hAnsi="Century" w:cs="Times New Roman" w:hint="eastAsia"/>
          <w:color w:val="000000" w:themeColor="text1"/>
        </w:rPr>
        <w:t>ポイント以上の</w:t>
      </w:r>
      <w:r w:rsidR="00427E7E" w:rsidRPr="008262B2">
        <w:rPr>
          <w:rFonts w:ascii="Century" w:eastAsia="ＭＳ 明朝" w:hAnsi="Century" w:cs="Times New Roman" w:hint="eastAsia"/>
          <w:color w:val="000000" w:themeColor="text1"/>
        </w:rPr>
        <w:t>上昇は、</w:t>
      </w:r>
      <w:r w:rsidR="003E3228">
        <w:rPr>
          <w:rFonts w:ascii="Century" w:eastAsia="ＭＳ 明朝" w:hAnsi="Century" w:cs="Times New Roman" w:hint="eastAsia"/>
          <w:color w:val="000000" w:themeColor="text1"/>
        </w:rPr>
        <w:t>物価上昇に</w:t>
      </w:r>
      <w:r w:rsidR="0088454C">
        <w:rPr>
          <w:rFonts w:ascii="Century" w:eastAsia="ＭＳ 明朝" w:hAnsi="Century" w:cs="Times New Roman" w:hint="eastAsia"/>
          <w:color w:val="000000" w:themeColor="text1"/>
        </w:rPr>
        <w:t>よる</w:t>
      </w:r>
      <w:r w:rsidR="003E3228">
        <w:rPr>
          <w:rFonts w:ascii="Century" w:eastAsia="ＭＳ 明朝" w:hAnsi="Century" w:cs="Times New Roman" w:hint="eastAsia"/>
          <w:color w:val="000000" w:themeColor="text1"/>
        </w:rPr>
        <w:t>実質金利の</w:t>
      </w:r>
      <w:r w:rsidR="0088454C">
        <w:rPr>
          <w:rFonts w:ascii="Century" w:eastAsia="ＭＳ 明朝" w:hAnsi="Century" w:cs="Times New Roman" w:hint="eastAsia"/>
          <w:color w:val="000000" w:themeColor="text1"/>
        </w:rPr>
        <w:t>低下に伴い、</w:t>
      </w:r>
      <w:r w:rsidR="00D452E9">
        <w:rPr>
          <w:rFonts w:ascii="Century" w:eastAsia="ＭＳ 明朝" w:hAnsi="Century" w:cs="Times New Roman" w:hint="eastAsia"/>
          <w:color w:val="000000" w:themeColor="text1"/>
        </w:rPr>
        <w:t>資金の</w:t>
      </w:r>
      <w:r w:rsidR="003E3228">
        <w:rPr>
          <w:rFonts w:ascii="Century" w:eastAsia="ＭＳ 明朝" w:hAnsi="Century" w:cs="Times New Roman" w:hint="eastAsia"/>
          <w:color w:val="000000" w:themeColor="text1"/>
        </w:rPr>
        <w:t>投機的利用</w:t>
      </w:r>
      <w:r w:rsidR="00C66955">
        <w:rPr>
          <w:rFonts w:ascii="Century" w:eastAsia="ＭＳ 明朝" w:hAnsi="Century" w:cs="Times New Roman" w:hint="eastAsia"/>
          <w:color w:val="000000" w:themeColor="text1"/>
        </w:rPr>
        <w:t>を抑制</w:t>
      </w:r>
      <w:r w:rsidR="00D452E9">
        <w:rPr>
          <w:rFonts w:ascii="Century" w:eastAsia="ＭＳ 明朝" w:hAnsi="Century" w:cs="Times New Roman" w:hint="eastAsia"/>
          <w:color w:val="000000" w:themeColor="text1"/>
        </w:rPr>
        <w:t>する</w:t>
      </w:r>
      <w:r w:rsidR="0088454C">
        <w:rPr>
          <w:rFonts w:ascii="Century" w:eastAsia="ＭＳ 明朝" w:hAnsi="Century" w:cs="Times New Roman" w:hint="eastAsia"/>
          <w:color w:val="000000" w:themeColor="text1"/>
        </w:rPr>
        <w:t>ための</w:t>
      </w:r>
      <w:r w:rsidR="00427E7E" w:rsidRPr="008262B2">
        <w:rPr>
          <w:rFonts w:ascii="Century" w:eastAsia="ＭＳ 明朝" w:hAnsi="Century" w:cs="Times New Roman" w:hint="eastAsia"/>
          <w:color w:val="000000" w:themeColor="text1"/>
        </w:rPr>
        <w:t>措置である。</w:t>
      </w:r>
    </w:p>
    <w:p w:rsidR="008B14D0" w:rsidRPr="008262B2" w:rsidRDefault="008B14D0" w:rsidP="008B14D0">
      <w:pPr>
        <w:jc w:val="left"/>
        <w:rPr>
          <w:rFonts w:ascii="Century" w:eastAsia="ＭＳ 明朝" w:hAnsi="Century" w:cs="Times New Roman"/>
          <w:color w:val="000000" w:themeColor="text1"/>
        </w:rPr>
      </w:pPr>
      <w:r w:rsidRPr="008262B2">
        <w:rPr>
          <w:rFonts w:ascii="Century" w:eastAsia="ＭＳ 明朝" w:hAnsi="Century" w:cs="Times New Roman" w:hint="eastAsia"/>
          <w:color w:val="000000" w:themeColor="text1"/>
        </w:rPr>
        <w:t>●ドル建て貸付金利は、</w:t>
      </w:r>
      <w:r w:rsidR="00E50919" w:rsidRPr="008262B2">
        <w:rPr>
          <w:rFonts w:ascii="Century" w:eastAsia="ＭＳ 明朝" w:hAnsi="Century" w:cs="Times New Roman" w:hint="eastAsia"/>
          <w:color w:val="000000" w:themeColor="text1"/>
        </w:rPr>
        <w:t>6</w:t>
      </w:r>
      <w:r w:rsidR="00E50919" w:rsidRPr="008262B2">
        <w:rPr>
          <w:rFonts w:ascii="Century" w:eastAsia="ＭＳ 明朝" w:hAnsi="Century" w:cs="Times New Roman" w:hint="eastAsia"/>
          <w:color w:val="000000" w:themeColor="text1"/>
        </w:rPr>
        <w:t>月に</w:t>
      </w:r>
      <w:r w:rsidRPr="008262B2">
        <w:rPr>
          <w:rFonts w:ascii="Century" w:eastAsia="ＭＳ 明朝" w:hAnsi="Century" w:cs="Times New Roman" w:hint="eastAsia"/>
          <w:color w:val="000000" w:themeColor="text1"/>
        </w:rPr>
        <w:t>国立</w:t>
      </w:r>
      <w:r w:rsidR="00E50919" w:rsidRPr="008262B2">
        <w:rPr>
          <w:rFonts w:ascii="Century" w:eastAsia="ＭＳ 明朝" w:hAnsi="Century" w:cs="Times New Roman" w:hint="eastAsia"/>
          <w:color w:val="000000" w:themeColor="text1"/>
        </w:rPr>
        <w:t>銀行でこの</w:t>
      </w:r>
      <w:r w:rsidR="00E50919" w:rsidRPr="008262B2">
        <w:rPr>
          <w:rFonts w:ascii="Century" w:eastAsia="ＭＳ 明朝" w:hAnsi="Century" w:cs="Times New Roman" w:hint="eastAsia"/>
          <w:color w:val="000000" w:themeColor="text1"/>
        </w:rPr>
        <w:t>1</w:t>
      </w:r>
      <w:r w:rsidR="00E50919" w:rsidRPr="008262B2">
        <w:rPr>
          <w:rFonts w:ascii="Century" w:eastAsia="ＭＳ 明朝" w:hAnsi="Century" w:cs="Times New Roman" w:hint="eastAsia"/>
          <w:color w:val="000000" w:themeColor="text1"/>
        </w:rPr>
        <w:t>年間で最も高い数値</w:t>
      </w:r>
      <w:r w:rsidR="00E50919" w:rsidRPr="008262B2">
        <w:rPr>
          <w:rFonts w:ascii="Century" w:eastAsia="ＭＳ 明朝" w:hAnsi="Century" w:cs="Times New Roman" w:hint="eastAsia"/>
          <w:color w:val="000000" w:themeColor="text1"/>
        </w:rPr>
        <w:t>(11.12)</w:t>
      </w:r>
      <w:r w:rsidR="00E50919" w:rsidRPr="008262B2">
        <w:rPr>
          <w:rFonts w:ascii="Century" w:eastAsia="ＭＳ 明朝" w:hAnsi="Century" w:cs="Times New Roman" w:hint="eastAsia"/>
          <w:color w:val="000000" w:themeColor="text1"/>
        </w:rPr>
        <w:t>を記録した。</w:t>
      </w:r>
      <w:r w:rsidRPr="008262B2">
        <w:rPr>
          <w:rFonts w:ascii="Century" w:eastAsia="ＭＳ 明朝" w:hAnsi="Century" w:cs="Times New Roman" w:hint="eastAsia"/>
          <w:color w:val="000000" w:themeColor="text1"/>
        </w:rPr>
        <w:t>民間銀行</w:t>
      </w:r>
      <w:r w:rsidR="00E50919" w:rsidRPr="008262B2">
        <w:rPr>
          <w:rFonts w:ascii="Century" w:eastAsia="ＭＳ 明朝" w:hAnsi="Century" w:cs="Times New Roman" w:hint="eastAsia"/>
          <w:color w:val="000000" w:themeColor="text1"/>
        </w:rPr>
        <w:t>では、</w:t>
      </w:r>
      <w:r w:rsidR="00E50919" w:rsidRPr="008262B2">
        <w:rPr>
          <w:rFonts w:ascii="Century" w:eastAsia="ＭＳ 明朝" w:hAnsi="Century" w:cs="Times New Roman" w:hint="eastAsia"/>
          <w:color w:val="000000" w:themeColor="text1"/>
        </w:rPr>
        <w:t>5</w:t>
      </w:r>
      <w:r w:rsidR="00153620">
        <w:rPr>
          <w:rFonts w:ascii="Century" w:eastAsia="ＭＳ 明朝" w:hAnsi="Century" w:cs="Times New Roman" w:hint="eastAsia"/>
          <w:color w:val="000000" w:themeColor="text1"/>
        </w:rPr>
        <w:t>月以降低下</w:t>
      </w:r>
      <w:r w:rsidR="00E50919" w:rsidRPr="008262B2">
        <w:rPr>
          <w:rFonts w:ascii="Century" w:eastAsia="ＭＳ 明朝" w:hAnsi="Century" w:cs="Times New Roman" w:hint="eastAsia"/>
          <w:color w:val="000000" w:themeColor="text1"/>
        </w:rPr>
        <w:t>傾向が続き、</w:t>
      </w:r>
      <w:r w:rsidR="00E50919" w:rsidRPr="008262B2">
        <w:rPr>
          <w:rFonts w:ascii="Century" w:eastAsia="ＭＳ 明朝" w:hAnsi="Century" w:cs="Times New Roman" w:hint="eastAsia"/>
          <w:color w:val="000000" w:themeColor="text1"/>
        </w:rPr>
        <w:t>6</w:t>
      </w:r>
      <w:r w:rsidR="00E50919" w:rsidRPr="008262B2">
        <w:rPr>
          <w:rFonts w:ascii="Century" w:eastAsia="ＭＳ 明朝" w:hAnsi="Century" w:cs="Times New Roman" w:hint="eastAsia"/>
          <w:color w:val="000000" w:themeColor="text1"/>
        </w:rPr>
        <w:t>月時点では</w:t>
      </w:r>
      <w:r w:rsidR="00E50919" w:rsidRPr="008262B2">
        <w:rPr>
          <w:rFonts w:ascii="Century" w:eastAsia="ＭＳ 明朝" w:hAnsi="Century" w:cs="Times New Roman" w:hint="eastAsia"/>
          <w:color w:val="000000" w:themeColor="text1"/>
        </w:rPr>
        <w:t>9.64</w:t>
      </w:r>
      <w:r w:rsidR="00E50919" w:rsidRPr="008262B2">
        <w:rPr>
          <w:rFonts w:ascii="Century" w:eastAsia="ＭＳ 明朝" w:hAnsi="Century" w:cs="Times New Roman" w:hint="eastAsia"/>
          <w:color w:val="000000" w:themeColor="text1"/>
        </w:rPr>
        <w:t>％</w:t>
      </w:r>
      <w:r w:rsidR="00A4287D" w:rsidRPr="008262B2">
        <w:rPr>
          <w:rFonts w:ascii="Century" w:eastAsia="ＭＳ 明朝" w:hAnsi="Century" w:cs="Times New Roman" w:hint="eastAsia"/>
          <w:color w:val="000000" w:themeColor="text1"/>
        </w:rPr>
        <w:t>となっている</w:t>
      </w:r>
      <w:r w:rsidRPr="008262B2">
        <w:rPr>
          <w:rFonts w:ascii="Century" w:eastAsia="ＭＳ 明朝" w:hAnsi="Century" w:cs="Times New Roman" w:hint="eastAsia"/>
          <w:color w:val="000000" w:themeColor="text1"/>
        </w:rPr>
        <w:t>。</w:t>
      </w:r>
    </w:p>
    <w:p w:rsidR="008B14D0" w:rsidRDefault="008B14D0" w:rsidP="008B14D0">
      <w:pPr>
        <w:jc w:val="left"/>
        <w:rPr>
          <w:rFonts w:ascii="Century" w:eastAsia="ＭＳ 明朝" w:hAnsi="Century" w:cs="Times New Roman"/>
          <w:color w:val="000000" w:themeColor="text1"/>
        </w:rPr>
      </w:pPr>
      <w:r w:rsidRPr="008262B2">
        <w:rPr>
          <w:rFonts w:ascii="Century" w:eastAsia="ＭＳ 明朝" w:hAnsi="Century" w:cs="Times New Roman" w:hint="eastAsia"/>
          <w:color w:val="000000" w:themeColor="text1"/>
        </w:rPr>
        <w:t>●コロン建て貸付金利は、</w:t>
      </w:r>
      <w:r w:rsidRPr="008262B2">
        <w:rPr>
          <w:rFonts w:ascii="Century" w:eastAsia="ＭＳ 明朝" w:hAnsi="Century" w:cs="Times New Roman" w:hint="eastAsia"/>
          <w:color w:val="000000" w:themeColor="text1"/>
        </w:rPr>
        <w:t>2</w:t>
      </w:r>
      <w:r w:rsidRPr="008262B2">
        <w:rPr>
          <w:rFonts w:ascii="Century" w:eastAsia="ＭＳ 明朝" w:hAnsi="Century" w:cs="Times New Roman" w:hint="eastAsia"/>
          <w:color w:val="000000" w:themeColor="text1"/>
        </w:rPr>
        <w:t>月までの急激なドル高コロン安傾向</w:t>
      </w:r>
      <w:r w:rsidR="008262B2" w:rsidRPr="008262B2">
        <w:rPr>
          <w:rFonts w:ascii="Century" w:eastAsia="ＭＳ 明朝" w:hAnsi="Century" w:cs="Times New Roman" w:hint="eastAsia"/>
          <w:color w:val="000000" w:themeColor="text1"/>
        </w:rPr>
        <w:t>が収束の気配を見せ</w:t>
      </w:r>
      <w:r w:rsidR="00DB2436">
        <w:rPr>
          <w:rFonts w:ascii="Century" w:eastAsia="ＭＳ 明朝" w:hAnsi="Century" w:cs="Times New Roman" w:hint="eastAsia"/>
          <w:color w:val="000000" w:themeColor="text1"/>
        </w:rPr>
        <w:t>、コロン建て貸付に伴うリスクが小さくなったことから、</w:t>
      </w:r>
      <w:r w:rsidR="008262B2" w:rsidRPr="008262B2">
        <w:rPr>
          <w:rFonts w:ascii="Century" w:eastAsia="ＭＳ 明朝" w:hAnsi="Century" w:cs="Times New Roman" w:hint="eastAsia"/>
          <w:color w:val="000000" w:themeColor="text1"/>
        </w:rPr>
        <w:t>民間銀行ではピークの</w:t>
      </w:r>
      <w:r w:rsidRPr="008262B2">
        <w:rPr>
          <w:rFonts w:ascii="Century" w:eastAsia="ＭＳ 明朝" w:hAnsi="Century" w:cs="Times New Roman" w:hint="eastAsia"/>
          <w:color w:val="000000" w:themeColor="text1"/>
        </w:rPr>
        <w:t>3</w:t>
      </w:r>
      <w:r w:rsidRPr="008262B2">
        <w:rPr>
          <w:rFonts w:ascii="Century" w:eastAsia="ＭＳ 明朝" w:hAnsi="Century" w:cs="Times New Roman" w:hint="eastAsia"/>
          <w:color w:val="000000" w:themeColor="text1"/>
        </w:rPr>
        <w:t>月</w:t>
      </w:r>
      <w:r w:rsidR="008262B2" w:rsidRPr="008262B2">
        <w:rPr>
          <w:rFonts w:ascii="Century" w:eastAsia="ＭＳ 明朝" w:hAnsi="Century" w:cs="Times New Roman" w:hint="eastAsia"/>
          <w:color w:val="000000" w:themeColor="text1"/>
        </w:rPr>
        <w:t>(18.48</w:t>
      </w:r>
      <w:r w:rsidR="008262B2" w:rsidRPr="008262B2">
        <w:rPr>
          <w:rFonts w:ascii="Century" w:eastAsia="ＭＳ 明朝" w:hAnsi="Century" w:cs="Times New Roman" w:hint="eastAsia"/>
          <w:color w:val="000000" w:themeColor="text1"/>
        </w:rPr>
        <w:t>％</w:t>
      </w:r>
      <w:r w:rsidR="008262B2" w:rsidRPr="008262B2">
        <w:rPr>
          <w:rFonts w:ascii="Century" w:eastAsia="ＭＳ 明朝" w:hAnsi="Century" w:cs="Times New Roman" w:hint="eastAsia"/>
          <w:color w:val="000000" w:themeColor="text1"/>
        </w:rPr>
        <w:t>)</w:t>
      </w:r>
      <w:r w:rsidR="008262B2" w:rsidRPr="008262B2">
        <w:rPr>
          <w:rFonts w:ascii="Century" w:eastAsia="ＭＳ 明朝" w:hAnsi="Century" w:cs="Times New Roman" w:hint="eastAsia"/>
          <w:color w:val="000000" w:themeColor="text1"/>
        </w:rPr>
        <w:t>から低下傾向が見られ</w:t>
      </w:r>
      <w:r w:rsidR="00DB2436">
        <w:rPr>
          <w:rFonts w:ascii="Century" w:eastAsia="ＭＳ 明朝" w:hAnsi="Century" w:cs="Times New Roman" w:hint="eastAsia"/>
          <w:color w:val="000000" w:themeColor="text1"/>
        </w:rPr>
        <w:t>る。</w:t>
      </w:r>
      <w:r w:rsidR="008262B2" w:rsidRPr="008262B2">
        <w:rPr>
          <w:rFonts w:ascii="Century" w:eastAsia="ＭＳ 明朝" w:hAnsi="Century" w:cs="Times New Roman" w:hint="eastAsia"/>
          <w:color w:val="000000" w:themeColor="text1"/>
        </w:rPr>
        <w:t>6</w:t>
      </w:r>
      <w:r w:rsidR="008262B2" w:rsidRPr="008262B2">
        <w:rPr>
          <w:rFonts w:ascii="Century" w:eastAsia="ＭＳ 明朝" w:hAnsi="Century" w:cs="Times New Roman" w:hint="eastAsia"/>
          <w:color w:val="000000" w:themeColor="text1"/>
        </w:rPr>
        <w:t>月時点では</w:t>
      </w:r>
      <w:r w:rsidR="00DB2436">
        <w:rPr>
          <w:rFonts w:ascii="Century" w:eastAsia="ＭＳ 明朝" w:hAnsi="Century" w:cs="Times New Roman" w:hint="eastAsia"/>
          <w:color w:val="000000" w:themeColor="text1"/>
        </w:rPr>
        <w:t>同値が</w:t>
      </w:r>
      <w:r w:rsidR="008262B2" w:rsidRPr="008262B2">
        <w:rPr>
          <w:rFonts w:ascii="Century" w:eastAsia="ＭＳ 明朝" w:hAnsi="Century" w:cs="Times New Roman" w:hint="eastAsia"/>
          <w:color w:val="000000" w:themeColor="text1"/>
        </w:rPr>
        <w:t>15.47</w:t>
      </w:r>
      <w:r w:rsidR="00080A6F">
        <w:rPr>
          <w:rFonts w:ascii="Century" w:eastAsia="ＭＳ 明朝" w:hAnsi="Century" w:cs="Times New Roman" w:hint="eastAsia"/>
          <w:color w:val="000000" w:themeColor="text1"/>
        </w:rPr>
        <w:t>％となり、最大</w:t>
      </w:r>
      <w:r w:rsidR="008262B2" w:rsidRPr="008262B2">
        <w:rPr>
          <w:rFonts w:ascii="Century" w:eastAsia="ＭＳ 明朝" w:hAnsi="Century" w:cs="Times New Roman" w:hint="eastAsia"/>
          <w:color w:val="000000" w:themeColor="text1"/>
        </w:rPr>
        <w:t>3.4</w:t>
      </w:r>
      <w:r w:rsidR="008262B2" w:rsidRPr="008262B2">
        <w:rPr>
          <w:rFonts w:ascii="Century" w:eastAsia="ＭＳ 明朝" w:hAnsi="Century" w:cs="Times New Roman" w:hint="eastAsia"/>
          <w:color w:val="000000" w:themeColor="text1"/>
        </w:rPr>
        <w:t>ポイント以上</w:t>
      </w:r>
      <w:r w:rsidR="00153620">
        <w:rPr>
          <w:rFonts w:ascii="Century" w:eastAsia="ＭＳ 明朝" w:hAnsi="Century" w:cs="Times New Roman" w:hint="eastAsia"/>
          <w:color w:val="000000" w:themeColor="text1"/>
        </w:rPr>
        <w:t>上回っていた</w:t>
      </w:r>
      <w:r w:rsidR="008262B2" w:rsidRPr="008262B2">
        <w:rPr>
          <w:rFonts w:ascii="Century" w:eastAsia="ＭＳ 明朝" w:hAnsi="Century" w:cs="Times New Roman" w:hint="eastAsia"/>
          <w:color w:val="000000" w:themeColor="text1"/>
        </w:rPr>
        <w:t>国立銀行との金利差が</w:t>
      </w:r>
      <w:r w:rsidR="008262B2" w:rsidRPr="008262B2">
        <w:rPr>
          <w:rFonts w:ascii="Century" w:eastAsia="ＭＳ 明朝" w:hAnsi="Century" w:cs="Times New Roman" w:hint="eastAsia"/>
          <w:color w:val="000000" w:themeColor="text1"/>
        </w:rPr>
        <w:t>6</w:t>
      </w:r>
      <w:r w:rsidR="00153620">
        <w:rPr>
          <w:rFonts w:ascii="Century" w:eastAsia="ＭＳ 明朝" w:hAnsi="Century" w:cs="Times New Roman" w:hint="eastAsia"/>
          <w:color w:val="000000" w:themeColor="text1"/>
        </w:rPr>
        <w:t>月に逆転し、現在国立銀行のコロン金利の法が</w:t>
      </w:r>
      <w:r w:rsidR="008262B2" w:rsidRPr="008262B2">
        <w:rPr>
          <w:rFonts w:ascii="Century" w:eastAsia="ＭＳ 明朝" w:hAnsi="Century" w:cs="Times New Roman" w:hint="eastAsia"/>
          <w:color w:val="000000" w:themeColor="text1"/>
        </w:rPr>
        <w:t>約</w:t>
      </w:r>
      <w:r w:rsidR="008262B2" w:rsidRPr="008262B2">
        <w:rPr>
          <w:rFonts w:ascii="Century" w:eastAsia="ＭＳ 明朝" w:hAnsi="Century" w:cs="Times New Roman" w:hint="eastAsia"/>
          <w:color w:val="000000" w:themeColor="text1"/>
        </w:rPr>
        <w:t>0.3</w:t>
      </w:r>
      <w:r w:rsidR="008262B2" w:rsidRPr="008262B2">
        <w:rPr>
          <w:rFonts w:ascii="Century" w:eastAsia="ＭＳ 明朝" w:hAnsi="Century" w:cs="Times New Roman" w:hint="eastAsia"/>
          <w:color w:val="000000" w:themeColor="text1"/>
        </w:rPr>
        <w:t>ポイント</w:t>
      </w:r>
      <w:r w:rsidR="00153620">
        <w:rPr>
          <w:rFonts w:ascii="Century" w:eastAsia="ＭＳ 明朝" w:hAnsi="Century" w:cs="Times New Roman" w:hint="eastAsia"/>
          <w:color w:val="000000" w:themeColor="text1"/>
        </w:rPr>
        <w:t>上回っている</w:t>
      </w:r>
      <w:r w:rsidR="008262B2" w:rsidRPr="008262B2">
        <w:rPr>
          <w:rFonts w:ascii="Century" w:eastAsia="ＭＳ 明朝" w:hAnsi="Century" w:cs="Times New Roman" w:hint="eastAsia"/>
          <w:color w:val="000000" w:themeColor="text1"/>
        </w:rPr>
        <w:t>。</w:t>
      </w:r>
    </w:p>
    <w:p w:rsidR="003E3228" w:rsidRPr="008262B2" w:rsidRDefault="003E3228" w:rsidP="008B14D0">
      <w:pPr>
        <w:jc w:val="left"/>
        <w:rPr>
          <w:rFonts w:ascii="Century" w:eastAsia="ＭＳ 明朝" w:hAnsi="Century" w:cs="Times New Roman"/>
          <w:color w:val="000000" w:themeColor="text1"/>
        </w:rPr>
      </w:pPr>
      <w:r>
        <w:rPr>
          <w:rFonts w:ascii="Century" w:eastAsia="ＭＳ 明朝" w:hAnsi="Century" w:cs="Times New Roman" w:hint="eastAsia"/>
          <w:color w:val="000000" w:themeColor="text1"/>
        </w:rPr>
        <w:t>●</w:t>
      </w:r>
      <w:r>
        <w:rPr>
          <w:rFonts w:ascii="Century" w:eastAsia="ＭＳ 明朝" w:hAnsi="Century" w:cs="Times New Roman" w:hint="eastAsia"/>
          <w:color w:val="000000" w:themeColor="text1"/>
        </w:rPr>
        <w:t>5</w:t>
      </w:r>
      <w:r>
        <w:rPr>
          <w:rFonts w:ascii="Century" w:eastAsia="ＭＳ 明朝" w:hAnsi="Century" w:cs="Times New Roman" w:hint="eastAsia"/>
          <w:color w:val="000000" w:themeColor="text1"/>
        </w:rPr>
        <w:t>月から</w:t>
      </w:r>
      <w:r>
        <w:rPr>
          <w:rFonts w:ascii="Century" w:eastAsia="ＭＳ 明朝" w:hAnsi="Century" w:cs="Times New Roman" w:hint="eastAsia"/>
          <w:color w:val="000000" w:themeColor="text1"/>
        </w:rPr>
        <w:t>6</w:t>
      </w:r>
      <w:r w:rsidR="00EE6C2A">
        <w:rPr>
          <w:rFonts w:ascii="Century" w:eastAsia="ＭＳ 明朝" w:hAnsi="Century" w:cs="Times New Roman" w:hint="eastAsia"/>
          <w:color w:val="000000" w:themeColor="text1"/>
        </w:rPr>
        <w:t>月にかけての国立銀行による両通貨の貸付金利の上昇は、流通</w:t>
      </w:r>
      <w:r w:rsidR="0088454C">
        <w:rPr>
          <w:rFonts w:ascii="Century" w:eastAsia="ＭＳ 明朝" w:hAnsi="Century" w:cs="Times New Roman" w:hint="eastAsia"/>
          <w:color w:val="000000" w:themeColor="text1"/>
        </w:rPr>
        <w:t>通貨</w:t>
      </w:r>
      <w:r>
        <w:rPr>
          <w:rFonts w:ascii="Century" w:eastAsia="ＭＳ 明朝" w:hAnsi="Century" w:cs="Times New Roman" w:hint="eastAsia"/>
          <w:color w:val="000000" w:themeColor="text1"/>
        </w:rPr>
        <w:t>量を</w:t>
      </w:r>
      <w:r w:rsidR="0088454C">
        <w:rPr>
          <w:rFonts w:ascii="Century" w:eastAsia="ＭＳ 明朝" w:hAnsi="Century" w:cs="Times New Roman" w:hint="eastAsia"/>
          <w:color w:val="000000" w:themeColor="text1"/>
        </w:rPr>
        <w:t>減らし、購買活動を抑制することで</w:t>
      </w:r>
      <w:r>
        <w:rPr>
          <w:rFonts w:ascii="Century" w:eastAsia="ＭＳ 明朝" w:hAnsi="Century" w:cs="Times New Roman" w:hint="eastAsia"/>
          <w:color w:val="000000" w:themeColor="text1"/>
        </w:rPr>
        <w:t>インフレを抑える</w:t>
      </w:r>
      <w:r w:rsidR="0088454C">
        <w:rPr>
          <w:rFonts w:ascii="Century" w:eastAsia="ＭＳ 明朝" w:hAnsi="Century" w:cs="Times New Roman" w:hint="eastAsia"/>
          <w:color w:val="000000" w:themeColor="text1"/>
        </w:rPr>
        <w:t>ことをねらった</w:t>
      </w:r>
      <w:r>
        <w:rPr>
          <w:rFonts w:ascii="Century" w:eastAsia="ＭＳ 明朝" w:hAnsi="Century" w:cs="Times New Roman" w:hint="eastAsia"/>
          <w:color w:val="000000" w:themeColor="text1"/>
        </w:rPr>
        <w:t>措置である。</w:t>
      </w:r>
    </w:p>
    <w:p w:rsidR="006C556F" w:rsidRDefault="006C556F"/>
    <w:p w:rsidR="00B43E7C" w:rsidRDefault="00920D8B">
      <w:r>
        <w:rPr>
          <w:noProof/>
        </w:rPr>
        <w:drawing>
          <wp:inline distT="0" distB="0" distL="0" distR="0">
            <wp:extent cx="5400040" cy="3627522"/>
            <wp:effectExtent l="0" t="0" r="10160" b="11430"/>
            <wp:docPr id="4" name="グラフ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43E7C" w:rsidRDefault="00B43E7C"/>
    <w:p w:rsidR="00B43E7C" w:rsidRDefault="00B43E7C"/>
    <w:p w:rsidR="00485827" w:rsidRDefault="00485827"/>
    <w:p w:rsidR="00B43E7C" w:rsidRDefault="00B43E7C"/>
    <w:p w:rsidR="00B43E7C" w:rsidRDefault="00B43E7C"/>
    <w:p w:rsidR="00380405" w:rsidRDefault="00380405"/>
    <w:p w:rsidR="00380405" w:rsidRDefault="00380405"/>
    <w:p w:rsidR="00B43E7C" w:rsidRPr="00C83D5E" w:rsidRDefault="00B43E7C" w:rsidP="00B43E7C">
      <w:pPr>
        <w:rPr>
          <w:rFonts w:ascii="Century" w:eastAsia="ＭＳ 明朝" w:hAnsi="Century" w:cs="Times New Roman"/>
          <w:color w:val="000000" w:themeColor="text1"/>
        </w:rPr>
      </w:pPr>
      <w:r w:rsidRPr="00C83D5E">
        <w:rPr>
          <w:rFonts w:ascii="Century" w:eastAsia="ＭＳ 明朝" w:hAnsi="Century" w:cs="Times New Roman" w:hint="eastAsia"/>
          <w:color w:val="000000" w:themeColor="text1"/>
        </w:rPr>
        <w:t>６．外貨準備高</w:t>
      </w:r>
    </w:p>
    <w:p w:rsidR="00B43E7C" w:rsidRPr="00C3413E" w:rsidRDefault="00B43E7C" w:rsidP="00B43E7C">
      <w:pPr>
        <w:jc w:val="left"/>
        <w:rPr>
          <w:rFonts w:ascii="Century" w:eastAsia="ＭＳ 明朝" w:hAnsi="Century" w:cs="Times New Roman"/>
          <w:color w:val="000000" w:themeColor="text1"/>
        </w:rPr>
      </w:pPr>
      <w:r w:rsidRPr="00C3413E">
        <w:rPr>
          <w:rFonts w:ascii="Century" w:eastAsia="ＭＳ 明朝" w:hAnsi="Century" w:cs="Times New Roman" w:hint="eastAsia"/>
          <w:color w:val="000000" w:themeColor="text1"/>
        </w:rPr>
        <w:t>●</w:t>
      </w:r>
      <w:r w:rsidR="001F315D" w:rsidRPr="00C3413E">
        <w:rPr>
          <w:rFonts w:ascii="Century" w:eastAsia="ＭＳ 明朝" w:hAnsi="Century" w:cs="Times New Roman" w:hint="eastAsia"/>
          <w:color w:val="000000" w:themeColor="text1"/>
        </w:rPr>
        <w:t>5</w:t>
      </w:r>
      <w:r w:rsidR="001F315D" w:rsidRPr="00C3413E">
        <w:rPr>
          <w:rFonts w:ascii="Century" w:eastAsia="ＭＳ 明朝" w:hAnsi="Century" w:cs="Times New Roman" w:hint="eastAsia"/>
          <w:color w:val="000000" w:themeColor="text1"/>
        </w:rPr>
        <w:t>月及び</w:t>
      </w:r>
      <w:r w:rsidR="001F315D" w:rsidRPr="00C3413E">
        <w:rPr>
          <w:rFonts w:ascii="Century" w:eastAsia="ＭＳ 明朝" w:hAnsi="Century" w:cs="Times New Roman" w:hint="eastAsia"/>
          <w:color w:val="000000" w:themeColor="text1"/>
        </w:rPr>
        <w:t>6</w:t>
      </w:r>
      <w:r w:rsidRPr="00C3413E">
        <w:rPr>
          <w:rFonts w:ascii="Century" w:eastAsia="ＭＳ 明朝" w:hAnsi="Century" w:cs="Times New Roman" w:hint="eastAsia"/>
          <w:color w:val="000000" w:themeColor="text1"/>
        </w:rPr>
        <w:t>月末時点の米ドル準備高</w:t>
      </w:r>
      <w:r w:rsidRPr="00C3413E">
        <w:rPr>
          <w:rFonts w:ascii="Century" w:eastAsia="ＭＳ 明朝" w:hAnsi="Century" w:cs="Times New Roman"/>
          <w:color w:val="000000" w:themeColor="text1"/>
        </w:rPr>
        <w:t>(</w:t>
      </w:r>
      <w:r w:rsidRPr="00C3413E">
        <w:rPr>
          <w:rFonts w:ascii="Century" w:eastAsia="ＭＳ 明朝" w:hAnsi="Century" w:cs="Times New Roman" w:hint="eastAsia"/>
          <w:color w:val="000000" w:themeColor="text1"/>
        </w:rPr>
        <w:t>表</w:t>
      </w:r>
      <w:r w:rsidRPr="00C3413E">
        <w:rPr>
          <w:rFonts w:ascii="Century" w:eastAsia="ＭＳ 明朝" w:hAnsi="Century" w:cs="Times New Roman"/>
          <w:color w:val="000000" w:themeColor="text1"/>
        </w:rPr>
        <w:t>1</w:t>
      </w:r>
      <w:r w:rsidR="001F315D" w:rsidRPr="00C3413E">
        <w:rPr>
          <w:rFonts w:ascii="Century" w:eastAsia="ＭＳ 明朝" w:hAnsi="Century" w:cs="Times New Roman" w:hint="eastAsia"/>
          <w:color w:val="000000" w:themeColor="text1"/>
        </w:rPr>
        <w:t>2</w:t>
      </w:r>
      <w:r w:rsidRPr="00C3413E">
        <w:rPr>
          <w:rFonts w:ascii="Century" w:eastAsia="ＭＳ 明朝" w:hAnsi="Century" w:cs="Times New Roman"/>
          <w:color w:val="000000" w:themeColor="text1"/>
        </w:rPr>
        <w:t>)</w:t>
      </w:r>
      <w:r w:rsidR="005A29E7" w:rsidRPr="00C3413E">
        <w:rPr>
          <w:rFonts w:ascii="Century" w:eastAsia="ＭＳ 明朝" w:hAnsi="Century" w:cs="Times New Roman" w:hint="eastAsia"/>
          <w:color w:val="000000" w:themeColor="text1"/>
        </w:rPr>
        <w:t>は</w:t>
      </w:r>
      <w:r w:rsidR="001F315D" w:rsidRPr="00C3413E">
        <w:rPr>
          <w:rFonts w:ascii="Century" w:eastAsia="ＭＳ 明朝" w:hAnsi="Century" w:cs="Times New Roman" w:hint="eastAsia"/>
          <w:color w:val="000000" w:themeColor="text1"/>
        </w:rPr>
        <w:t>各</w:t>
      </w:r>
      <w:r w:rsidR="005A29E7" w:rsidRPr="00C3413E">
        <w:rPr>
          <w:rFonts w:ascii="Century" w:eastAsia="ＭＳ 明朝" w:hAnsi="Century" w:cs="Times New Roman" w:hint="eastAsia"/>
          <w:color w:val="000000" w:themeColor="text1"/>
        </w:rPr>
        <w:t>7,704.5</w:t>
      </w:r>
      <w:r w:rsidRPr="00C3413E">
        <w:rPr>
          <w:rFonts w:ascii="Century" w:eastAsia="ＭＳ 明朝" w:hAnsi="Century" w:cs="Times New Roman" w:hint="eastAsia"/>
          <w:color w:val="000000" w:themeColor="text1"/>
        </w:rPr>
        <w:t>百万ドル</w:t>
      </w:r>
      <w:r w:rsidR="001F315D" w:rsidRPr="00C3413E">
        <w:rPr>
          <w:rFonts w:ascii="Century" w:eastAsia="ＭＳ 明朝" w:hAnsi="Century" w:cs="Times New Roman" w:hint="eastAsia"/>
          <w:color w:val="000000" w:themeColor="text1"/>
        </w:rPr>
        <w:t>、</w:t>
      </w:r>
      <w:r w:rsidR="001F315D" w:rsidRPr="00C3413E">
        <w:rPr>
          <w:rFonts w:ascii="Century" w:eastAsia="ＭＳ 明朝" w:hAnsi="Century" w:cs="Times New Roman" w:hint="eastAsia"/>
          <w:color w:val="000000" w:themeColor="text1"/>
        </w:rPr>
        <w:t>7,4940</w:t>
      </w:r>
      <w:r w:rsidR="001F315D" w:rsidRPr="00C3413E">
        <w:rPr>
          <w:rFonts w:ascii="Century" w:eastAsia="ＭＳ 明朝" w:hAnsi="Century" w:cs="Times New Roman" w:hint="eastAsia"/>
          <w:color w:val="000000" w:themeColor="text1"/>
        </w:rPr>
        <w:t>百万ドル</w:t>
      </w:r>
      <w:r w:rsidRPr="00C3413E">
        <w:rPr>
          <w:rFonts w:ascii="Century" w:eastAsia="ＭＳ 明朝" w:hAnsi="Century" w:cs="Times New Roman" w:hint="eastAsia"/>
          <w:color w:val="000000" w:themeColor="text1"/>
        </w:rPr>
        <w:t>となった。</w:t>
      </w:r>
    </w:p>
    <w:p w:rsidR="00B43E7C" w:rsidRPr="00C3413E" w:rsidRDefault="00B43E7C" w:rsidP="00B43E7C">
      <w:pPr>
        <w:jc w:val="left"/>
        <w:rPr>
          <w:rFonts w:ascii="Century" w:eastAsia="ＭＳ 明朝" w:hAnsi="Century" w:cs="Times New Roman"/>
          <w:color w:val="000000" w:themeColor="text1"/>
        </w:rPr>
      </w:pPr>
      <w:r w:rsidRPr="00C3413E">
        <w:rPr>
          <w:rFonts w:ascii="Century" w:eastAsia="ＭＳ 明朝" w:hAnsi="Century" w:cs="Times New Roman" w:hint="eastAsia"/>
          <w:color w:val="000000" w:themeColor="text1"/>
        </w:rPr>
        <w:t>●当面は</w:t>
      </w:r>
      <w:r w:rsidR="001F0388">
        <w:rPr>
          <w:rFonts w:ascii="Century" w:eastAsia="ＭＳ 明朝" w:hAnsi="Century" w:cs="Times New Roman" w:hint="eastAsia"/>
          <w:color w:val="000000" w:themeColor="text1"/>
        </w:rPr>
        <w:t>インテル社の生産部門撤退</w:t>
      </w:r>
      <w:r w:rsidR="00485827">
        <w:rPr>
          <w:rFonts w:ascii="Century" w:eastAsia="ＭＳ 明朝" w:hAnsi="Century" w:cs="Times New Roman" w:hint="eastAsia"/>
          <w:color w:val="000000" w:themeColor="text1"/>
        </w:rPr>
        <w:t>などを要因とした</w:t>
      </w:r>
      <w:r w:rsidR="001F0388">
        <w:rPr>
          <w:rFonts w:ascii="Century" w:eastAsia="ＭＳ 明朝" w:hAnsi="Century" w:cs="Times New Roman" w:hint="eastAsia"/>
          <w:color w:val="000000" w:themeColor="text1"/>
        </w:rPr>
        <w:t>輸出額の伸び悩みにより、</w:t>
      </w:r>
      <w:r w:rsidR="00485827">
        <w:rPr>
          <w:rFonts w:ascii="Century" w:eastAsia="ＭＳ 明朝" w:hAnsi="Century" w:cs="Times New Roman" w:hint="eastAsia"/>
          <w:color w:val="000000" w:themeColor="text1"/>
        </w:rPr>
        <w:t>顕著な外貨獲得量の増加</w:t>
      </w:r>
      <w:r w:rsidR="001F0388">
        <w:rPr>
          <w:rFonts w:ascii="Century" w:eastAsia="ＭＳ 明朝" w:hAnsi="Century" w:cs="Times New Roman" w:hint="eastAsia"/>
          <w:color w:val="000000" w:themeColor="text1"/>
        </w:rPr>
        <w:t>が見込まれ</w:t>
      </w:r>
      <w:r w:rsidR="009F73A8">
        <w:rPr>
          <w:rFonts w:ascii="Century" w:eastAsia="ＭＳ 明朝" w:hAnsi="Century" w:cs="Times New Roman" w:hint="eastAsia"/>
          <w:color w:val="000000" w:themeColor="text1"/>
        </w:rPr>
        <w:t>ないこ</w:t>
      </w:r>
      <w:r w:rsidR="008E2889" w:rsidRPr="00C3413E">
        <w:rPr>
          <w:rFonts w:ascii="Century" w:eastAsia="ＭＳ 明朝" w:hAnsi="Century" w:cs="Times New Roman" w:hint="eastAsia"/>
          <w:color w:val="000000" w:themeColor="text1"/>
        </w:rPr>
        <w:t>とから、</w:t>
      </w:r>
      <w:r w:rsidRPr="00C3413E">
        <w:rPr>
          <w:rFonts w:ascii="Century" w:eastAsia="ＭＳ 明朝" w:hAnsi="Century" w:cs="Times New Roman" w:hint="eastAsia"/>
          <w:color w:val="000000" w:themeColor="text1"/>
        </w:rPr>
        <w:t>外貨準備高</w:t>
      </w:r>
      <w:r w:rsidR="008E2889" w:rsidRPr="00C3413E">
        <w:rPr>
          <w:rFonts w:ascii="Century" w:eastAsia="ＭＳ 明朝" w:hAnsi="Century" w:cs="Times New Roman" w:hint="eastAsia"/>
          <w:color w:val="000000" w:themeColor="text1"/>
        </w:rPr>
        <w:t>は</w:t>
      </w:r>
      <w:r w:rsidR="00CC750E">
        <w:rPr>
          <w:rFonts w:ascii="Century" w:eastAsia="ＭＳ 明朝" w:hAnsi="Century" w:cs="Times New Roman" w:hint="eastAsia"/>
          <w:color w:val="000000" w:themeColor="text1"/>
        </w:rPr>
        <w:t>昨年よりも早い</w:t>
      </w:r>
      <w:r w:rsidR="001F0388">
        <w:rPr>
          <w:rFonts w:ascii="Century" w:eastAsia="ＭＳ 明朝" w:hAnsi="Century" w:cs="Times New Roman" w:hint="eastAsia"/>
          <w:color w:val="000000" w:themeColor="text1"/>
        </w:rPr>
        <w:t>ペースで</w:t>
      </w:r>
      <w:r w:rsidR="00CC750E">
        <w:rPr>
          <w:rFonts w:ascii="Century" w:eastAsia="ＭＳ 明朝" w:hAnsi="Century" w:cs="Times New Roman" w:hint="eastAsia"/>
          <w:color w:val="000000" w:themeColor="text1"/>
        </w:rPr>
        <w:t>減少</w:t>
      </w:r>
      <w:r w:rsidR="001F0388">
        <w:rPr>
          <w:rFonts w:ascii="Century" w:eastAsia="ＭＳ 明朝" w:hAnsi="Century" w:cs="Times New Roman" w:hint="eastAsia"/>
          <w:color w:val="000000" w:themeColor="text1"/>
        </w:rPr>
        <w:t>することが予想される</w:t>
      </w:r>
      <w:r w:rsidR="008E2889" w:rsidRPr="00C3413E">
        <w:rPr>
          <w:rFonts w:ascii="Century" w:eastAsia="ＭＳ 明朝" w:hAnsi="Century" w:cs="Times New Roman" w:hint="eastAsia"/>
          <w:color w:val="000000" w:themeColor="text1"/>
        </w:rPr>
        <w:t>。</w:t>
      </w:r>
    </w:p>
    <w:p w:rsidR="00B7315C" w:rsidRPr="00B43E7C" w:rsidRDefault="00B7315C" w:rsidP="00B7315C">
      <w:pPr>
        <w:rPr>
          <w:color w:val="FF0000"/>
        </w:rPr>
      </w:pPr>
    </w:p>
    <w:p w:rsidR="00B7315C" w:rsidRDefault="00B7315C" w:rsidP="00B7315C">
      <w:pPr>
        <w:jc w:val="center"/>
      </w:pPr>
    </w:p>
    <w:p w:rsidR="00B7315C" w:rsidRDefault="003C4337" w:rsidP="00B7315C">
      <w:pPr>
        <w:jc w:val="center"/>
      </w:pPr>
      <w:r w:rsidRPr="003C4337">
        <w:rPr>
          <w:noProof/>
        </w:rPr>
        <w:drawing>
          <wp:inline distT="0" distB="0" distL="0" distR="0">
            <wp:extent cx="4171950" cy="2838450"/>
            <wp:effectExtent l="0" t="0" r="0" b="0"/>
            <wp:docPr id="16" name="グラフ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7315C" w:rsidRDefault="00B7315C" w:rsidP="00B7315C">
      <w:pPr>
        <w:jc w:val="center"/>
      </w:pPr>
    </w:p>
    <w:p w:rsidR="00B7315C" w:rsidRDefault="00B7315C" w:rsidP="00B7315C">
      <w:pPr>
        <w:jc w:val="center"/>
      </w:pPr>
    </w:p>
    <w:p w:rsidR="00B7315C" w:rsidRDefault="00B7315C" w:rsidP="00B7315C">
      <w:pPr>
        <w:jc w:val="center"/>
      </w:pPr>
    </w:p>
    <w:p w:rsidR="004676C3" w:rsidRDefault="004676C3" w:rsidP="00B7315C">
      <w:pPr>
        <w:jc w:val="center"/>
      </w:pPr>
    </w:p>
    <w:p w:rsidR="004676C3" w:rsidRDefault="004676C3" w:rsidP="00B7315C">
      <w:pPr>
        <w:jc w:val="center"/>
      </w:pPr>
    </w:p>
    <w:p w:rsidR="004676C3" w:rsidRDefault="004676C3" w:rsidP="00B7315C">
      <w:pPr>
        <w:jc w:val="center"/>
      </w:pPr>
    </w:p>
    <w:p w:rsidR="004676C3" w:rsidRDefault="004676C3" w:rsidP="00B7315C">
      <w:pPr>
        <w:jc w:val="center"/>
      </w:pPr>
    </w:p>
    <w:p w:rsidR="004676C3" w:rsidRDefault="004676C3" w:rsidP="00B7315C">
      <w:pPr>
        <w:jc w:val="center"/>
      </w:pPr>
    </w:p>
    <w:p w:rsidR="004676C3" w:rsidRDefault="004676C3" w:rsidP="00B7315C">
      <w:pPr>
        <w:jc w:val="center"/>
      </w:pPr>
    </w:p>
    <w:p w:rsidR="004676C3" w:rsidRDefault="004676C3" w:rsidP="00B7315C">
      <w:pPr>
        <w:jc w:val="center"/>
      </w:pPr>
    </w:p>
    <w:p w:rsidR="004676C3" w:rsidRDefault="004676C3" w:rsidP="00B7315C">
      <w:pPr>
        <w:jc w:val="center"/>
      </w:pPr>
    </w:p>
    <w:p w:rsidR="004676C3" w:rsidRDefault="004676C3" w:rsidP="00B7315C">
      <w:pPr>
        <w:jc w:val="center"/>
      </w:pPr>
    </w:p>
    <w:p w:rsidR="004676C3" w:rsidRDefault="004676C3" w:rsidP="00B7315C">
      <w:pPr>
        <w:jc w:val="center"/>
      </w:pPr>
    </w:p>
    <w:p w:rsidR="0099658D" w:rsidRDefault="0099658D" w:rsidP="00B7315C">
      <w:pPr>
        <w:jc w:val="center"/>
      </w:pPr>
    </w:p>
    <w:p w:rsidR="00167B3D" w:rsidRDefault="00167B3D" w:rsidP="007B5481">
      <w:r>
        <w:rPr>
          <w:rFonts w:hint="eastAsia"/>
        </w:rPr>
        <w:lastRenderedPageBreak/>
        <w:t>7</w:t>
      </w:r>
      <w:r>
        <w:rPr>
          <w:rFonts w:hint="eastAsia"/>
        </w:rPr>
        <w:t>．主な出来事</w:t>
      </w:r>
    </w:p>
    <w:p w:rsidR="00F1600E" w:rsidRDefault="00F1600E" w:rsidP="007B5481">
      <w:r>
        <w:rPr>
          <w:rFonts w:hint="eastAsia"/>
        </w:rPr>
        <w:t>(</w:t>
      </w:r>
      <w:r>
        <w:rPr>
          <w:rFonts w:hint="eastAsia"/>
        </w:rPr>
        <w:t>１</w:t>
      </w:r>
      <w:r>
        <w:rPr>
          <w:rFonts w:hint="eastAsia"/>
        </w:rPr>
        <w:t>)</w:t>
      </w:r>
      <w:r>
        <w:rPr>
          <w:rFonts w:hint="eastAsia"/>
        </w:rPr>
        <w:t>国内経済</w:t>
      </w:r>
    </w:p>
    <w:p w:rsidR="00F1600E" w:rsidRDefault="00F1600E" w:rsidP="007B5481">
      <w:r>
        <w:rPr>
          <w:rFonts w:hint="eastAsia"/>
        </w:rPr>
        <w:t>ア　財政</w:t>
      </w:r>
    </w:p>
    <w:p w:rsidR="00F1600E" w:rsidRPr="00F1600E" w:rsidRDefault="00F1600E" w:rsidP="00F1600E">
      <w:pPr>
        <w:rPr>
          <w:u w:val="single"/>
        </w:rPr>
      </w:pPr>
      <w:r w:rsidRPr="00F1600E">
        <w:rPr>
          <w:rFonts w:hint="eastAsia"/>
          <w:u w:val="single"/>
        </w:rPr>
        <w:t>●財務省　財政赤字対策を発表</w:t>
      </w:r>
      <w:r w:rsidRPr="00F1600E">
        <w:rPr>
          <w:rFonts w:hint="eastAsia"/>
          <w:u w:val="single"/>
        </w:rPr>
        <w:t>(6/5)</w:t>
      </w:r>
    </w:p>
    <w:p w:rsidR="00F1600E" w:rsidRDefault="00F1600E" w:rsidP="00F1600E">
      <w:r>
        <w:rPr>
          <w:rFonts w:hint="eastAsia"/>
        </w:rPr>
        <w:t>財務省はこの</w:t>
      </w:r>
      <w:r>
        <w:rPr>
          <w:rFonts w:hint="eastAsia"/>
        </w:rPr>
        <w:t>1</w:t>
      </w:r>
      <w:r>
        <w:rPr>
          <w:rFonts w:hint="eastAsia"/>
        </w:rPr>
        <w:t>年間で実行する予定の</w:t>
      </w:r>
      <w:r>
        <w:rPr>
          <w:rFonts w:hint="eastAsia"/>
        </w:rPr>
        <w:t>55</w:t>
      </w:r>
      <w:r>
        <w:rPr>
          <w:rFonts w:hint="eastAsia"/>
        </w:rPr>
        <w:t>の具体的アクションを発表し、そこには脱税対策、税制改革、空席となっている</w:t>
      </w:r>
      <w:r>
        <w:rPr>
          <w:rFonts w:hint="eastAsia"/>
        </w:rPr>
        <w:t>2,500</w:t>
      </w:r>
      <w:r>
        <w:rPr>
          <w:rFonts w:hint="eastAsia"/>
        </w:rPr>
        <w:t>の公務員ポストの凍結、公務員給与体系の見直し、年金制度改革などが含まれている。財務省は今後</w:t>
      </w:r>
      <w:r>
        <w:rPr>
          <w:rFonts w:hint="eastAsia"/>
        </w:rPr>
        <w:t>2</w:t>
      </w:r>
      <w:r w:rsidR="00147861">
        <w:rPr>
          <w:rFonts w:hint="eastAsia"/>
        </w:rPr>
        <w:t>年間、前述のアクション</w:t>
      </w:r>
      <w:r>
        <w:rPr>
          <w:rFonts w:hint="eastAsia"/>
        </w:rPr>
        <w:t>実行に努め、この期間の実績を元に、</w:t>
      </w:r>
      <w:r>
        <w:rPr>
          <w:rFonts w:hint="eastAsia"/>
        </w:rPr>
        <w:t>2016</w:t>
      </w:r>
      <w:r>
        <w:rPr>
          <w:rFonts w:hint="eastAsia"/>
        </w:rPr>
        <w:t>年までには基礎的財政収支</w:t>
      </w:r>
      <w:r>
        <w:rPr>
          <w:rFonts w:hint="eastAsia"/>
        </w:rPr>
        <w:t>(</w:t>
      </w:r>
      <w:r>
        <w:rPr>
          <w:rFonts w:hint="eastAsia"/>
        </w:rPr>
        <w:t>プライマリーバランス</w:t>
      </w:r>
      <w:r>
        <w:rPr>
          <w:rFonts w:hint="eastAsia"/>
        </w:rPr>
        <w:t>)</w:t>
      </w:r>
      <w:r>
        <w:rPr>
          <w:rFonts w:hint="eastAsia"/>
        </w:rPr>
        <w:t>の赤字</w:t>
      </w:r>
      <w:r w:rsidR="00147861">
        <w:rPr>
          <w:rFonts w:hint="eastAsia"/>
        </w:rPr>
        <w:t>の解消</w:t>
      </w:r>
      <w:r>
        <w:rPr>
          <w:rFonts w:hint="eastAsia"/>
        </w:rPr>
        <w:t>を目指している。</w:t>
      </w:r>
    </w:p>
    <w:p w:rsidR="0099658D" w:rsidRDefault="0099658D" w:rsidP="00F1600E"/>
    <w:p w:rsidR="004B675E" w:rsidRDefault="004B675E" w:rsidP="00F1600E">
      <w:r w:rsidRPr="004B675E">
        <w:rPr>
          <w:rFonts w:hint="eastAsia"/>
        </w:rPr>
        <w:t>イ　為替</w:t>
      </w:r>
    </w:p>
    <w:p w:rsidR="004B675E" w:rsidRPr="00FC61B5" w:rsidRDefault="004B675E" w:rsidP="004B675E">
      <w:pPr>
        <w:rPr>
          <w:u w:val="single"/>
        </w:rPr>
      </w:pPr>
      <w:r w:rsidRPr="00FC61B5">
        <w:rPr>
          <w:rFonts w:hint="eastAsia"/>
          <w:u w:val="single"/>
        </w:rPr>
        <w:t>●新政権による為替介入実施</w:t>
      </w:r>
      <w:r w:rsidRPr="00FC61B5">
        <w:rPr>
          <w:rFonts w:hint="eastAsia"/>
          <w:u w:val="single"/>
        </w:rPr>
        <w:t>(5/22</w:t>
      </w:r>
      <w:r w:rsidR="00A75509">
        <w:rPr>
          <w:rFonts w:hint="eastAsia"/>
          <w:u w:val="single"/>
        </w:rPr>
        <w:t>、</w:t>
      </w:r>
      <w:r w:rsidRPr="00FC61B5">
        <w:rPr>
          <w:rFonts w:hint="eastAsia"/>
          <w:u w:val="single"/>
        </w:rPr>
        <w:t>6/7)</w:t>
      </w:r>
    </w:p>
    <w:p w:rsidR="004B675E" w:rsidRDefault="004B675E" w:rsidP="004B675E">
      <w:r>
        <w:rPr>
          <w:rFonts w:hint="eastAsia"/>
        </w:rPr>
        <w:t>5</w:t>
      </w:r>
      <w:r>
        <w:rPr>
          <w:rFonts w:hint="eastAsia"/>
        </w:rPr>
        <w:t>月</w:t>
      </w:r>
      <w:r>
        <w:rPr>
          <w:rFonts w:hint="eastAsia"/>
        </w:rPr>
        <w:t>19</w:t>
      </w:r>
      <w:r>
        <w:rPr>
          <w:rFonts w:hint="eastAsia"/>
        </w:rPr>
        <w:t>－</w:t>
      </w:r>
      <w:r>
        <w:rPr>
          <w:rFonts w:hint="eastAsia"/>
        </w:rPr>
        <w:t>21</w:t>
      </w:r>
      <w:r>
        <w:rPr>
          <w:rFonts w:hint="eastAsia"/>
        </w:rPr>
        <w:t>日にかけて、米ドル価格が</w:t>
      </w:r>
      <w:r>
        <w:rPr>
          <w:rFonts w:hint="eastAsia"/>
        </w:rPr>
        <w:t>4.84</w:t>
      </w:r>
      <w:r>
        <w:rPr>
          <w:rFonts w:hint="eastAsia"/>
        </w:rPr>
        <w:t>コロン上昇し、</w:t>
      </w:r>
      <w:r>
        <w:rPr>
          <w:rFonts w:hint="eastAsia"/>
        </w:rPr>
        <w:t>1</w:t>
      </w:r>
      <w:r>
        <w:rPr>
          <w:rFonts w:hint="eastAsia"/>
        </w:rPr>
        <w:t>ドル</w:t>
      </w:r>
      <w:r>
        <w:rPr>
          <w:rFonts w:hint="eastAsia"/>
        </w:rPr>
        <w:t>558.6</w:t>
      </w:r>
      <w:r>
        <w:rPr>
          <w:rFonts w:hint="eastAsia"/>
        </w:rPr>
        <w:t>コロンとなった。為替の安定を見込んでいた市場の動揺を沈静化させるため、カストロ中銀総裁は新政権初の為替介入として、</w:t>
      </w:r>
      <w:r>
        <w:rPr>
          <w:rFonts w:hint="eastAsia"/>
        </w:rPr>
        <w:t>1,070</w:t>
      </w:r>
      <w:r>
        <w:rPr>
          <w:rFonts w:hint="eastAsia"/>
        </w:rPr>
        <w:t>万ドルを市場で売った。同様に</w:t>
      </w:r>
      <w:r>
        <w:rPr>
          <w:rFonts w:hint="eastAsia"/>
        </w:rPr>
        <w:t>5</w:t>
      </w:r>
      <w:r>
        <w:rPr>
          <w:rFonts w:hint="eastAsia"/>
        </w:rPr>
        <w:t>月末から</w:t>
      </w:r>
      <w:r>
        <w:rPr>
          <w:rFonts w:hint="eastAsia"/>
        </w:rPr>
        <w:t>6</w:t>
      </w:r>
      <w:r>
        <w:rPr>
          <w:rFonts w:hint="eastAsia"/>
        </w:rPr>
        <w:t>月上旬にかけても、ドル高を抑えるために総額</w:t>
      </w:r>
      <w:r>
        <w:rPr>
          <w:rFonts w:hint="eastAsia"/>
        </w:rPr>
        <w:t>7</w:t>
      </w:r>
      <w:r>
        <w:rPr>
          <w:rFonts w:hint="eastAsia"/>
        </w:rPr>
        <w:t>､</w:t>
      </w:r>
      <w:r>
        <w:rPr>
          <w:rFonts w:hint="eastAsia"/>
        </w:rPr>
        <w:t>890</w:t>
      </w:r>
      <w:r>
        <w:rPr>
          <w:rFonts w:hint="eastAsia"/>
        </w:rPr>
        <w:t>万ドルを売り、その結果、米ドル価格に大きな変化は生じなかった。専門家の一部は、今回の中銀の動きを為替の固定相場制への方針転換とみなしているが、カストロ中銀総裁はあくまでも過剰な為替変動を抑えるための措置だったとし、これを否定している。</w:t>
      </w:r>
    </w:p>
    <w:p w:rsidR="004B675E" w:rsidRPr="009614A8" w:rsidRDefault="004B675E" w:rsidP="004B675E">
      <w:pPr>
        <w:rPr>
          <w:color w:val="FF0000"/>
          <w:u w:val="single"/>
        </w:rPr>
      </w:pPr>
      <w:r w:rsidRPr="0084424E">
        <w:rPr>
          <w:rFonts w:hint="eastAsia"/>
          <w:u w:val="single"/>
        </w:rPr>
        <w:t>●中銀はクローリング・バンド</w:t>
      </w:r>
      <w:r>
        <w:rPr>
          <w:rFonts w:hint="eastAsia"/>
          <w:u w:val="single"/>
        </w:rPr>
        <w:t>制</w:t>
      </w:r>
      <w:r w:rsidRPr="0084424E">
        <w:rPr>
          <w:rFonts w:hint="eastAsia"/>
          <w:u w:val="single"/>
        </w:rPr>
        <w:t>の調整を検討</w:t>
      </w:r>
      <w:r w:rsidRPr="001252D6">
        <w:rPr>
          <w:rFonts w:hint="eastAsia"/>
          <w:color w:val="000000" w:themeColor="text1"/>
          <w:u w:val="single"/>
        </w:rPr>
        <w:t>(</w:t>
      </w:r>
      <w:r w:rsidR="0099658D" w:rsidRPr="001252D6">
        <w:rPr>
          <w:rFonts w:hint="eastAsia"/>
          <w:color w:val="000000" w:themeColor="text1"/>
          <w:u w:val="single"/>
        </w:rPr>
        <w:t>5/22</w:t>
      </w:r>
      <w:r w:rsidRPr="001252D6">
        <w:rPr>
          <w:rFonts w:hint="eastAsia"/>
          <w:color w:val="000000" w:themeColor="text1"/>
          <w:u w:val="single"/>
        </w:rPr>
        <w:t>)</w:t>
      </w:r>
    </w:p>
    <w:p w:rsidR="004B675E" w:rsidRDefault="004B675E" w:rsidP="004B675E">
      <w:r>
        <w:rPr>
          <w:rFonts w:hint="eastAsia"/>
        </w:rPr>
        <w:t>カストロ中銀総裁は現行のクローリング・バンド制で定められている為替変動幅の再検討中であることを明らかにした。また、将来的には他の為替制度へ移行する可能性もあることを示唆した。この新政権の為替政策に対し、ボラ－ニョス前中銀総裁は、クローリング・バンドの上限値と下限値の幅を縮小させることは、為替の自由変動制への移行を目指したここ数年の動きに逆行するとの懸念を示している。今後、銀行及び金融機関協会は、本件に関して中銀との協議の場を毎月設けることになっている。</w:t>
      </w:r>
    </w:p>
    <w:p w:rsidR="004B675E" w:rsidRDefault="004B675E" w:rsidP="004B675E"/>
    <w:p w:rsidR="001679B7" w:rsidRDefault="001679B7" w:rsidP="001679B7">
      <w:pPr>
        <w:rPr>
          <w:bdr w:val="single" w:sz="4" w:space="0" w:color="auto"/>
        </w:rPr>
      </w:pPr>
      <w:r>
        <w:rPr>
          <w:rFonts w:hint="eastAsia"/>
        </w:rPr>
        <w:t>ウ　金融政策</w:t>
      </w:r>
    </w:p>
    <w:p w:rsidR="001679B7" w:rsidRPr="0084424E" w:rsidRDefault="001679B7" w:rsidP="001679B7">
      <w:pPr>
        <w:rPr>
          <w:u w:val="single"/>
        </w:rPr>
      </w:pPr>
      <w:r w:rsidRPr="002659EB">
        <w:rPr>
          <w:rFonts w:hint="eastAsia"/>
          <w:u w:val="single"/>
        </w:rPr>
        <w:t>●中銀はインフレ</w:t>
      </w:r>
      <w:r>
        <w:rPr>
          <w:rFonts w:hint="eastAsia"/>
          <w:u w:val="single"/>
        </w:rPr>
        <w:t>・</w:t>
      </w:r>
      <w:r w:rsidRPr="002659EB">
        <w:rPr>
          <w:rFonts w:hint="eastAsia"/>
          <w:u w:val="single"/>
        </w:rPr>
        <w:t>ターゲット</w:t>
      </w:r>
      <w:r>
        <w:rPr>
          <w:rFonts w:hint="eastAsia"/>
          <w:u w:val="single"/>
        </w:rPr>
        <w:t>修正を</w:t>
      </w:r>
      <w:r w:rsidRPr="002659EB">
        <w:rPr>
          <w:rFonts w:hint="eastAsia"/>
          <w:u w:val="single"/>
        </w:rPr>
        <w:t>検討</w:t>
      </w:r>
      <w:r>
        <w:rPr>
          <w:rFonts w:hint="eastAsia"/>
          <w:u w:val="single"/>
        </w:rPr>
        <w:t>（</w:t>
      </w:r>
      <w:r>
        <w:rPr>
          <w:rFonts w:hint="eastAsia"/>
          <w:u w:val="single"/>
        </w:rPr>
        <w:t>5/6</w:t>
      </w:r>
      <w:r>
        <w:rPr>
          <w:rFonts w:hint="eastAsia"/>
          <w:u w:val="single"/>
        </w:rPr>
        <w:t>､</w:t>
      </w:r>
      <w:r w:rsidRPr="002659EB">
        <w:rPr>
          <w:rFonts w:hint="eastAsia"/>
          <w:u w:val="single"/>
        </w:rPr>
        <w:t>5/26</w:t>
      </w:r>
      <w:r>
        <w:rPr>
          <w:rFonts w:hint="eastAsia"/>
          <w:u w:val="single"/>
        </w:rPr>
        <w:t>）</w:t>
      </w:r>
    </w:p>
    <w:p w:rsidR="001679B7" w:rsidRDefault="001679B7" w:rsidP="001679B7">
      <w:r>
        <w:rPr>
          <w:rFonts w:hint="eastAsia"/>
        </w:rPr>
        <w:t>中銀が</w:t>
      </w:r>
      <w:r>
        <w:rPr>
          <w:rFonts w:hint="eastAsia"/>
        </w:rPr>
        <w:t>7</w:t>
      </w:r>
      <w:r>
        <w:rPr>
          <w:rFonts w:hint="eastAsia"/>
        </w:rPr>
        <w:t>月末に提出を予定している「</w:t>
      </w:r>
      <w:r>
        <w:rPr>
          <w:rFonts w:hint="eastAsia"/>
        </w:rPr>
        <w:t>2014</w:t>
      </w:r>
      <w:r>
        <w:rPr>
          <w:rFonts w:hint="eastAsia"/>
        </w:rPr>
        <w:t>－</w:t>
      </w:r>
      <w:r>
        <w:rPr>
          <w:rFonts w:hint="eastAsia"/>
        </w:rPr>
        <w:t>2015</w:t>
      </w:r>
      <w:r>
        <w:rPr>
          <w:rFonts w:hint="eastAsia"/>
        </w:rPr>
        <w:t>年マクロ経済プログラム修正報告書」において、現行のインフレ・ターゲット</w:t>
      </w:r>
      <w:r>
        <w:rPr>
          <w:rFonts w:hint="eastAsia"/>
        </w:rPr>
        <w:t>(3</w:t>
      </w:r>
      <w:r>
        <w:rPr>
          <w:rFonts w:hint="eastAsia"/>
        </w:rPr>
        <w:t>－</w:t>
      </w:r>
      <w:r>
        <w:rPr>
          <w:rFonts w:hint="eastAsia"/>
        </w:rPr>
        <w:t>5</w:t>
      </w:r>
      <w:r>
        <w:rPr>
          <w:rFonts w:hint="eastAsia"/>
        </w:rPr>
        <w:t>％</w:t>
      </w:r>
      <w:r>
        <w:rPr>
          <w:rFonts w:hint="eastAsia"/>
        </w:rPr>
        <w:t>)</w:t>
      </w:r>
      <w:r>
        <w:rPr>
          <w:rFonts w:hint="eastAsia"/>
        </w:rPr>
        <w:t>と経済成長目標率</w:t>
      </w:r>
      <w:r>
        <w:rPr>
          <w:rFonts w:hint="eastAsia"/>
        </w:rPr>
        <w:t>(3.8</w:t>
      </w:r>
      <w:r>
        <w:rPr>
          <w:rFonts w:hint="eastAsia"/>
        </w:rPr>
        <w:t>％</w:t>
      </w:r>
      <w:r>
        <w:rPr>
          <w:rFonts w:hint="eastAsia"/>
        </w:rPr>
        <w:t>)</w:t>
      </w:r>
      <w:r>
        <w:rPr>
          <w:rFonts w:hint="eastAsia"/>
        </w:rPr>
        <w:t>の修正がなされるかに注目が集まっている。専門家の間でも、今年の下半期に現在のインフレターゲット</w:t>
      </w:r>
      <w:r>
        <w:rPr>
          <w:rFonts w:hint="eastAsia"/>
        </w:rPr>
        <w:t>(3</w:t>
      </w:r>
      <w:r>
        <w:rPr>
          <w:rFonts w:hint="eastAsia"/>
        </w:rPr>
        <w:t>－</w:t>
      </w:r>
      <w:r>
        <w:rPr>
          <w:rFonts w:hint="eastAsia"/>
        </w:rPr>
        <w:t>5</w:t>
      </w:r>
      <w:r>
        <w:rPr>
          <w:rFonts w:hint="eastAsia"/>
        </w:rPr>
        <w:t>％</w:t>
      </w:r>
      <w:r>
        <w:rPr>
          <w:rFonts w:hint="eastAsia"/>
        </w:rPr>
        <w:t>)</w:t>
      </w:r>
      <w:r>
        <w:rPr>
          <w:rFonts w:hint="eastAsia"/>
        </w:rPr>
        <w:t>を維持するか否かで意見が分かれている。</w:t>
      </w:r>
      <w:r w:rsidRPr="0084424E">
        <w:rPr>
          <w:rFonts w:hint="eastAsia"/>
        </w:rPr>
        <w:t>ドル高によ</w:t>
      </w:r>
      <w:r>
        <w:rPr>
          <w:rFonts w:hint="eastAsia"/>
        </w:rPr>
        <w:t>る</w:t>
      </w:r>
      <w:r w:rsidRPr="0084424E">
        <w:rPr>
          <w:rFonts w:hint="eastAsia"/>
        </w:rPr>
        <w:t>燃料や電気料金の高騰により</w:t>
      </w:r>
      <w:r w:rsidRPr="0084424E">
        <w:rPr>
          <w:rFonts w:hint="eastAsia"/>
        </w:rPr>
        <w:t>4</w:t>
      </w:r>
      <w:r w:rsidRPr="0084424E">
        <w:rPr>
          <w:rFonts w:hint="eastAsia"/>
        </w:rPr>
        <w:t>月の月別の消費者物価指数は、過去</w:t>
      </w:r>
      <w:r w:rsidRPr="0084424E">
        <w:rPr>
          <w:rFonts w:hint="eastAsia"/>
        </w:rPr>
        <w:t>10</w:t>
      </w:r>
      <w:r w:rsidRPr="0084424E">
        <w:rPr>
          <w:rFonts w:hint="eastAsia"/>
        </w:rPr>
        <w:t>年で最も高い上昇率</w:t>
      </w:r>
      <w:r w:rsidRPr="0084424E">
        <w:rPr>
          <w:rFonts w:hint="eastAsia"/>
        </w:rPr>
        <w:t>(1.14</w:t>
      </w:r>
      <w:r w:rsidRPr="0084424E">
        <w:rPr>
          <w:rFonts w:hint="eastAsia"/>
        </w:rPr>
        <w:t>％</w:t>
      </w:r>
      <w:r w:rsidRPr="0084424E">
        <w:rPr>
          <w:rFonts w:hint="eastAsia"/>
        </w:rPr>
        <w:t>)</w:t>
      </w:r>
      <w:r w:rsidRPr="0084424E">
        <w:rPr>
          <w:rFonts w:hint="eastAsia"/>
        </w:rPr>
        <w:t>を記録し</w:t>
      </w:r>
      <w:r>
        <w:rPr>
          <w:rFonts w:hint="eastAsia"/>
        </w:rPr>
        <w:t>、年始からの</w:t>
      </w:r>
      <w:r w:rsidRPr="0084424E">
        <w:rPr>
          <w:rFonts w:hint="eastAsia"/>
        </w:rPr>
        <w:t>4</w:t>
      </w:r>
      <w:r w:rsidRPr="0084424E">
        <w:rPr>
          <w:rFonts w:hint="eastAsia"/>
        </w:rPr>
        <w:t>ヶ月間の累積上昇率は</w:t>
      </w:r>
      <w:r w:rsidRPr="0084424E">
        <w:rPr>
          <w:rFonts w:hint="eastAsia"/>
        </w:rPr>
        <w:t>3.20</w:t>
      </w:r>
      <w:r>
        <w:rPr>
          <w:rFonts w:hint="eastAsia"/>
        </w:rPr>
        <w:t>％となっている</w:t>
      </w:r>
      <w:r w:rsidRPr="0084424E">
        <w:rPr>
          <w:rFonts w:hint="eastAsia"/>
        </w:rPr>
        <w:t>。</w:t>
      </w:r>
    </w:p>
    <w:p w:rsidR="001679B7" w:rsidRDefault="001679B7" w:rsidP="001679B7"/>
    <w:p w:rsidR="001679B7" w:rsidRPr="006705F1" w:rsidRDefault="001679B7" w:rsidP="001679B7">
      <w:pPr>
        <w:rPr>
          <w:u w:val="single"/>
        </w:rPr>
      </w:pPr>
      <w:r w:rsidRPr="006705F1">
        <w:rPr>
          <w:rFonts w:hint="eastAsia"/>
          <w:u w:val="single"/>
        </w:rPr>
        <w:lastRenderedPageBreak/>
        <w:t>●開発のための金融政策</w:t>
      </w:r>
      <w:r w:rsidRPr="006705F1">
        <w:rPr>
          <w:rFonts w:hint="eastAsia"/>
          <w:u w:val="single"/>
        </w:rPr>
        <w:t>(6/3</w:t>
      </w:r>
      <w:r w:rsidR="002A28D1">
        <w:rPr>
          <w:rFonts w:hint="eastAsia"/>
          <w:u w:val="single"/>
        </w:rPr>
        <w:t>、</w:t>
      </w:r>
      <w:r w:rsidRPr="006705F1">
        <w:rPr>
          <w:rFonts w:hint="eastAsia"/>
          <w:u w:val="single"/>
        </w:rPr>
        <w:t>6/4</w:t>
      </w:r>
      <w:r w:rsidR="002A28D1">
        <w:rPr>
          <w:rFonts w:hint="eastAsia"/>
          <w:u w:val="single"/>
        </w:rPr>
        <w:t>、</w:t>
      </w:r>
      <w:r w:rsidRPr="002A28D1">
        <w:rPr>
          <w:rFonts w:hint="eastAsia"/>
          <w:u w:val="single"/>
        </w:rPr>
        <w:t>6/6</w:t>
      </w:r>
      <w:r w:rsidR="002A28D1" w:rsidRPr="002A28D1">
        <w:rPr>
          <w:rFonts w:hint="eastAsia"/>
          <w:u w:val="single"/>
        </w:rPr>
        <w:t>、</w:t>
      </w:r>
      <w:r w:rsidR="002A28D1">
        <w:rPr>
          <w:rFonts w:hint="eastAsia"/>
          <w:u w:val="single"/>
        </w:rPr>
        <w:t>6/10</w:t>
      </w:r>
      <w:r w:rsidR="002A28D1">
        <w:rPr>
          <w:rFonts w:hint="eastAsia"/>
          <w:u w:val="single"/>
        </w:rPr>
        <w:t>、</w:t>
      </w:r>
      <w:r w:rsidRPr="006705F1">
        <w:rPr>
          <w:rFonts w:hint="eastAsia"/>
          <w:u w:val="single"/>
        </w:rPr>
        <w:t>6/27)</w:t>
      </w:r>
    </w:p>
    <w:p w:rsidR="001679B7" w:rsidRPr="00257A2B" w:rsidRDefault="001679B7" w:rsidP="001679B7">
      <w:r>
        <w:rPr>
          <w:rFonts w:hint="eastAsia"/>
        </w:rPr>
        <w:t>中小企業への融資</w:t>
      </w:r>
      <w:r w:rsidRPr="00DA5983">
        <w:rPr>
          <w:rFonts w:hint="eastAsia"/>
        </w:rPr>
        <w:t>拡大を目的とし</w:t>
      </w:r>
      <w:r>
        <w:rPr>
          <w:rFonts w:hint="eastAsia"/>
        </w:rPr>
        <w:t>、前政権時代から国会で議論されてきた「</w:t>
      </w:r>
      <w:r w:rsidRPr="00DA5983">
        <w:rPr>
          <w:rFonts w:hint="eastAsia"/>
        </w:rPr>
        <w:t>開発のための金融政策</w:t>
      </w:r>
      <w:r>
        <w:rPr>
          <w:rFonts w:hint="eastAsia"/>
        </w:rPr>
        <w:t>(SBD)</w:t>
      </w:r>
      <w:r>
        <w:rPr>
          <w:rFonts w:hint="eastAsia"/>
        </w:rPr>
        <w:t>」の第二回目採決は</w:t>
      </w:r>
      <w:r>
        <w:rPr>
          <w:rFonts w:hint="eastAsia"/>
        </w:rPr>
        <w:t>8</w:t>
      </w:r>
      <w:r>
        <w:rPr>
          <w:rFonts w:hint="eastAsia"/>
        </w:rPr>
        <w:t>月以降に持ち越される可能性が出てきた。</w:t>
      </w:r>
      <w:r w:rsidRPr="00FA3927">
        <w:rPr>
          <w:rFonts w:hint="eastAsia"/>
        </w:rPr>
        <w:t>多くの政党が今国会の優先事項の一つとして、同制度の改正案可決を掲げていたが、オット・ゲバラ議員率いる自由運動党</w:t>
      </w:r>
      <w:r>
        <w:rPr>
          <w:rFonts w:hint="eastAsia"/>
        </w:rPr>
        <w:t>が同制度の法的能力や運営権の不明確さを指摘し</w:t>
      </w:r>
      <w:r w:rsidRPr="00FA3927">
        <w:rPr>
          <w:rFonts w:hint="eastAsia"/>
        </w:rPr>
        <w:t>反対</w:t>
      </w:r>
      <w:r>
        <w:rPr>
          <w:rFonts w:hint="eastAsia"/>
        </w:rPr>
        <w:t>をしていたために</w:t>
      </w:r>
      <w:r w:rsidRPr="00FA3927">
        <w:rPr>
          <w:rFonts w:hint="eastAsia"/>
        </w:rPr>
        <w:t>協議は難航していた。</w:t>
      </w:r>
      <w:r>
        <w:rPr>
          <w:rFonts w:hint="eastAsia"/>
        </w:rPr>
        <w:t>しかし</w:t>
      </w:r>
      <w:r>
        <w:rPr>
          <w:rFonts w:hint="eastAsia"/>
        </w:rPr>
        <w:t>6</w:t>
      </w:r>
      <w:r>
        <w:rPr>
          <w:rFonts w:hint="eastAsia"/>
        </w:rPr>
        <w:t>月</w:t>
      </w:r>
      <w:r>
        <w:rPr>
          <w:rFonts w:hint="eastAsia"/>
        </w:rPr>
        <w:t>3</w:t>
      </w:r>
      <w:r>
        <w:rPr>
          <w:rFonts w:hint="eastAsia"/>
        </w:rPr>
        <w:t>日に同党が、</w:t>
      </w:r>
      <w:r w:rsidRPr="00FA3927">
        <w:rPr>
          <w:rFonts w:hint="eastAsia"/>
        </w:rPr>
        <w:t>第</w:t>
      </w:r>
      <w:r>
        <w:rPr>
          <w:rFonts w:hint="eastAsia"/>
        </w:rPr>
        <w:t>四法廷が同法案の欠陥を指摘した場合に</w:t>
      </w:r>
      <w:r w:rsidRPr="00FA3927">
        <w:rPr>
          <w:rFonts w:hint="eastAsia"/>
        </w:rPr>
        <w:t>迅速な措置が執られる</w:t>
      </w:r>
      <w:r>
        <w:rPr>
          <w:rFonts w:hint="eastAsia"/>
        </w:rPr>
        <w:t>という前提のもと、採決に応じる姿勢に転じ、第一回目の採決が実施される運びとなっていた。しかし、国会のテクニカル・サービス局が、同法案について関連機関とのさらなる協議を求めことにより、さらなる審議が課せられた。</w:t>
      </w:r>
      <w:r>
        <w:rPr>
          <w:rFonts w:hint="eastAsia"/>
        </w:rPr>
        <w:t>26</w:t>
      </w:r>
      <w:r>
        <w:rPr>
          <w:rFonts w:hint="eastAsia"/>
        </w:rPr>
        <w:t>日には国会に於いて第一回目の採決がなされ、今後第四法廷に一連の文書が送られることになったが、手続きには通常</w:t>
      </w:r>
      <w:r>
        <w:rPr>
          <w:rFonts w:hint="eastAsia"/>
        </w:rPr>
        <w:t>1</w:t>
      </w:r>
      <w:r>
        <w:rPr>
          <w:rFonts w:hint="eastAsia"/>
        </w:rPr>
        <w:t>ヶ月を要し、違憲性が指摘された場合には再審議が課せられるため、それらを考慮すると第二回目採決までにはさらに時間を要する可能性がある。</w:t>
      </w:r>
    </w:p>
    <w:p w:rsidR="001679B7" w:rsidRPr="001679B7" w:rsidRDefault="001679B7" w:rsidP="001679B7"/>
    <w:p w:rsidR="001679B7" w:rsidRPr="001679B7" w:rsidRDefault="001679B7" w:rsidP="004B675E">
      <w:r>
        <w:rPr>
          <w:rFonts w:hint="eastAsia"/>
        </w:rPr>
        <w:t>オ　その他</w:t>
      </w:r>
    </w:p>
    <w:p w:rsidR="007B5481" w:rsidRPr="00C83EF6" w:rsidRDefault="007B5481" w:rsidP="007B5481">
      <w:pPr>
        <w:rPr>
          <w:u w:val="single"/>
        </w:rPr>
      </w:pPr>
      <w:r>
        <w:rPr>
          <w:rFonts w:hint="eastAsia"/>
        </w:rPr>
        <w:t>●</w:t>
      </w:r>
      <w:r w:rsidR="00C83EF6" w:rsidRPr="00C83EF6">
        <w:rPr>
          <w:rFonts w:hint="eastAsia"/>
          <w:u w:val="single"/>
        </w:rPr>
        <w:t>INEC(</w:t>
      </w:r>
      <w:r w:rsidR="00C83EF6" w:rsidRPr="00C83EF6">
        <w:rPr>
          <w:rFonts w:hint="eastAsia"/>
          <w:u w:val="single"/>
        </w:rPr>
        <w:t>国家統計局</w:t>
      </w:r>
      <w:r w:rsidR="00C83EF6" w:rsidRPr="00C83EF6">
        <w:rPr>
          <w:rFonts w:hint="eastAsia"/>
          <w:u w:val="single"/>
        </w:rPr>
        <w:t>)</w:t>
      </w:r>
      <w:r w:rsidR="0036142E">
        <w:rPr>
          <w:rFonts w:hint="eastAsia"/>
          <w:u w:val="single"/>
        </w:rPr>
        <w:t>による「収入と支出に関するアンケート調査」</w:t>
      </w:r>
      <w:r w:rsidR="00C83EF6" w:rsidRPr="00C83EF6">
        <w:rPr>
          <w:rFonts w:hint="eastAsia"/>
          <w:u w:val="single"/>
        </w:rPr>
        <w:t>結果</w:t>
      </w:r>
      <w:r w:rsidRPr="00C83EF6">
        <w:rPr>
          <w:rFonts w:hint="eastAsia"/>
          <w:u w:val="single"/>
        </w:rPr>
        <w:t>(5/1)</w:t>
      </w:r>
    </w:p>
    <w:p w:rsidR="0076484A" w:rsidRDefault="0006088E" w:rsidP="0076484A">
      <w:r>
        <w:rPr>
          <w:rFonts w:hint="eastAsia"/>
        </w:rPr>
        <w:t>INEC(</w:t>
      </w:r>
      <w:r>
        <w:rPr>
          <w:rFonts w:hint="eastAsia"/>
        </w:rPr>
        <w:t>国家統計局</w:t>
      </w:r>
      <w:r>
        <w:rPr>
          <w:rFonts w:hint="eastAsia"/>
        </w:rPr>
        <w:t>)</w:t>
      </w:r>
      <w:r>
        <w:rPr>
          <w:rFonts w:hint="eastAsia"/>
        </w:rPr>
        <w:t>の調べによると、</w:t>
      </w:r>
      <w:r w:rsidR="0076484A">
        <w:rPr>
          <w:rFonts w:hint="eastAsia"/>
        </w:rPr>
        <w:t>2004</w:t>
      </w:r>
      <w:r w:rsidR="00AF7F46">
        <w:rPr>
          <w:rFonts w:hint="eastAsia"/>
        </w:rPr>
        <w:t>年から</w:t>
      </w:r>
      <w:r w:rsidR="0076484A">
        <w:rPr>
          <w:rFonts w:hint="eastAsia"/>
        </w:rPr>
        <w:t>2013</w:t>
      </w:r>
      <w:r w:rsidR="0076484A">
        <w:rPr>
          <w:rFonts w:hint="eastAsia"/>
        </w:rPr>
        <w:t>年</w:t>
      </w:r>
      <w:r w:rsidR="007B5481">
        <w:rPr>
          <w:rFonts w:hint="eastAsia"/>
        </w:rPr>
        <w:t>の</w:t>
      </w:r>
      <w:r w:rsidR="00AF7F46">
        <w:rPr>
          <w:rFonts w:hint="eastAsia"/>
        </w:rPr>
        <w:t>10</w:t>
      </w:r>
      <w:r w:rsidR="00AF7F46">
        <w:rPr>
          <w:rFonts w:hint="eastAsia"/>
        </w:rPr>
        <w:t>年間に、</w:t>
      </w:r>
      <w:r w:rsidR="001815E5">
        <w:rPr>
          <w:rFonts w:hint="eastAsia"/>
        </w:rPr>
        <w:t>コスタリカ国内の</w:t>
      </w:r>
      <w:r w:rsidR="0076484A">
        <w:rPr>
          <w:rFonts w:hint="eastAsia"/>
        </w:rPr>
        <w:t>一家庭あたり</w:t>
      </w:r>
      <w:r w:rsidR="001815E5">
        <w:rPr>
          <w:rFonts w:hint="eastAsia"/>
        </w:rPr>
        <w:t>の</w:t>
      </w:r>
      <w:r w:rsidR="007B5481">
        <w:rPr>
          <w:rFonts w:hint="eastAsia"/>
        </w:rPr>
        <w:t>収入</w:t>
      </w:r>
      <w:r w:rsidR="001815E5">
        <w:rPr>
          <w:rFonts w:hint="eastAsia"/>
        </w:rPr>
        <w:t>額</w:t>
      </w:r>
      <w:r w:rsidR="007B5481">
        <w:rPr>
          <w:rFonts w:hint="eastAsia"/>
        </w:rPr>
        <w:t>が</w:t>
      </w:r>
      <w:r w:rsidR="00901E1C">
        <w:rPr>
          <w:rFonts w:hint="eastAsia"/>
        </w:rPr>
        <w:t>約</w:t>
      </w:r>
      <w:r w:rsidR="00901E1C">
        <w:rPr>
          <w:rFonts w:hint="eastAsia"/>
        </w:rPr>
        <w:t>14</w:t>
      </w:r>
      <w:r w:rsidR="00901E1C">
        <w:rPr>
          <w:rFonts w:hint="eastAsia"/>
        </w:rPr>
        <w:t>％</w:t>
      </w:r>
      <w:r w:rsidR="0076484A">
        <w:rPr>
          <w:rFonts w:hint="eastAsia"/>
        </w:rPr>
        <w:t>増加した</w:t>
      </w:r>
      <w:r w:rsidR="007B5481">
        <w:rPr>
          <w:rFonts w:hint="eastAsia"/>
        </w:rPr>
        <w:t>一方で</w:t>
      </w:r>
      <w:r w:rsidR="00AF7F46">
        <w:rPr>
          <w:rFonts w:hint="eastAsia"/>
        </w:rPr>
        <w:t>、</w:t>
      </w:r>
      <w:r w:rsidR="0076484A">
        <w:rPr>
          <w:rFonts w:hint="eastAsia"/>
        </w:rPr>
        <w:t>支出</w:t>
      </w:r>
      <w:r w:rsidR="001815E5">
        <w:rPr>
          <w:rFonts w:hint="eastAsia"/>
        </w:rPr>
        <w:t>額</w:t>
      </w:r>
      <w:r w:rsidR="0076484A">
        <w:rPr>
          <w:rFonts w:hint="eastAsia"/>
        </w:rPr>
        <w:t>はそれ以上に増加した</w:t>
      </w:r>
      <w:r w:rsidR="007B5481">
        <w:rPr>
          <w:rFonts w:hint="eastAsia"/>
        </w:rPr>
        <w:t>ことが明らかになった</w:t>
      </w:r>
      <w:r w:rsidR="0076484A">
        <w:rPr>
          <w:rFonts w:hint="eastAsia"/>
        </w:rPr>
        <w:t>。</w:t>
      </w:r>
      <w:r w:rsidR="00152F78">
        <w:rPr>
          <w:rFonts w:hint="eastAsia"/>
        </w:rPr>
        <w:t>この</w:t>
      </w:r>
      <w:r w:rsidR="007B5481">
        <w:rPr>
          <w:rFonts w:hint="eastAsia"/>
        </w:rPr>
        <w:t>間に顕著な増加がみられたのは</w:t>
      </w:r>
      <w:r w:rsidR="00AF7F46">
        <w:rPr>
          <w:rFonts w:hint="eastAsia"/>
        </w:rPr>
        <w:t>教育費、各種サービス料金、</w:t>
      </w:r>
      <w:r w:rsidR="0076484A">
        <w:rPr>
          <w:rFonts w:hint="eastAsia"/>
        </w:rPr>
        <w:t>交通費</w:t>
      </w:r>
      <w:r w:rsidR="00AF7F46">
        <w:rPr>
          <w:rFonts w:hint="eastAsia"/>
        </w:rPr>
        <w:t>などで</w:t>
      </w:r>
      <w:r w:rsidR="001815E5">
        <w:rPr>
          <w:rFonts w:hint="eastAsia"/>
        </w:rPr>
        <w:t>、これにより</w:t>
      </w:r>
      <w:r w:rsidR="007B5481">
        <w:rPr>
          <w:rFonts w:hint="eastAsia"/>
        </w:rPr>
        <w:t>国民は収入</w:t>
      </w:r>
      <w:r w:rsidR="0076484A" w:rsidRPr="00FC6D7E">
        <w:rPr>
          <w:rFonts w:hint="eastAsia"/>
        </w:rPr>
        <w:t>増加を実感でき</w:t>
      </w:r>
      <w:r w:rsidR="00AF7F46">
        <w:rPr>
          <w:rFonts w:hint="eastAsia"/>
        </w:rPr>
        <w:t>て</w:t>
      </w:r>
      <w:r w:rsidR="0076484A" w:rsidRPr="00FC6D7E">
        <w:rPr>
          <w:rFonts w:hint="eastAsia"/>
        </w:rPr>
        <w:t>ない。</w:t>
      </w:r>
      <w:r w:rsidR="0046321F">
        <w:rPr>
          <w:rFonts w:hint="eastAsia"/>
        </w:rPr>
        <w:t>また、国民間の経済格差の度合</w:t>
      </w:r>
      <w:r w:rsidR="00AF7F46">
        <w:rPr>
          <w:rFonts w:hint="eastAsia"/>
        </w:rPr>
        <w:t>を示す</w:t>
      </w:r>
      <w:r w:rsidR="0076484A">
        <w:rPr>
          <w:rFonts w:hint="eastAsia"/>
        </w:rPr>
        <w:t>ジニ係数</w:t>
      </w:r>
      <w:r w:rsidR="00AF7F46">
        <w:rPr>
          <w:rFonts w:hint="eastAsia"/>
        </w:rPr>
        <w:t>も、</w:t>
      </w:r>
      <w:r w:rsidR="00AF7F46">
        <w:rPr>
          <w:rFonts w:hint="eastAsia"/>
        </w:rPr>
        <w:t>20</w:t>
      </w:r>
      <w:r w:rsidR="0076484A">
        <w:rPr>
          <w:rFonts w:hint="eastAsia"/>
        </w:rPr>
        <w:t>04</w:t>
      </w:r>
      <w:r w:rsidR="00AF7F46">
        <w:rPr>
          <w:rFonts w:hint="eastAsia"/>
        </w:rPr>
        <w:t>年の</w:t>
      </w:r>
      <w:r w:rsidR="0076484A">
        <w:rPr>
          <w:rFonts w:hint="eastAsia"/>
        </w:rPr>
        <w:t>0.5448</w:t>
      </w:r>
      <w:r w:rsidR="00152F78">
        <w:rPr>
          <w:rFonts w:hint="eastAsia"/>
        </w:rPr>
        <w:t>か</w:t>
      </w:r>
      <w:r w:rsidR="00AF7F46">
        <w:rPr>
          <w:rFonts w:hint="eastAsia"/>
        </w:rPr>
        <w:t>ら</w:t>
      </w:r>
      <w:r w:rsidR="0076484A">
        <w:rPr>
          <w:rFonts w:hint="eastAsia"/>
        </w:rPr>
        <w:t>2013</w:t>
      </w:r>
      <w:r w:rsidR="00AF7F46">
        <w:rPr>
          <w:rFonts w:hint="eastAsia"/>
        </w:rPr>
        <w:t>年の</w:t>
      </w:r>
      <w:r w:rsidR="0076484A">
        <w:rPr>
          <w:rFonts w:hint="eastAsia"/>
        </w:rPr>
        <w:t>0.5341</w:t>
      </w:r>
      <w:r w:rsidR="0046321F">
        <w:rPr>
          <w:rFonts w:hint="eastAsia"/>
        </w:rPr>
        <w:t>と大きく変化はせず</w:t>
      </w:r>
      <w:r w:rsidR="00AF7F46">
        <w:rPr>
          <w:rFonts w:hint="eastAsia"/>
        </w:rPr>
        <w:t>、収入額</w:t>
      </w:r>
      <w:r w:rsidR="007B5481">
        <w:rPr>
          <w:rFonts w:hint="eastAsia"/>
        </w:rPr>
        <w:t>上位</w:t>
      </w:r>
      <w:r w:rsidR="00AF7F46">
        <w:rPr>
          <w:rFonts w:hint="eastAsia"/>
        </w:rPr>
        <w:t>2</w:t>
      </w:r>
      <w:r w:rsidR="007B5481">
        <w:rPr>
          <w:rFonts w:hint="eastAsia"/>
        </w:rPr>
        <w:t>割</w:t>
      </w:r>
      <w:r w:rsidR="00AF7F46">
        <w:rPr>
          <w:rFonts w:hint="eastAsia"/>
        </w:rPr>
        <w:t>の</w:t>
      </w:r>
      <w:r w:rsidR="0046321F">
        <w:rPr>
          <w:rFonts w:hint="eastAsia"/>
        </w:rPr>
        <w:t>層の</w:t>
      </w:r>
      <w:r w:rsidR="00AF7F46">
        <w:rPr>
          <w:rFonts w:hint="eastAsia"/>
        </w:rPr>
        <w:t>平均所得</w:t>
      </w:r>
      <w:r w:rsidR="00AF7F46">
        <w:rPr>
          <w:rFonts w:hint="eastAsia"/>
        </w:rPr>
        <w:t>(200</w:t>
      </w:r>
      <w:r w:rsidR="00AF7F46">
        <w:rPr>
          <w:rFonts w:hint="eastAsia"/>
        </w:rPr>
        <w:t>万コロン</w:t>
      </w:r>
      <w:r w:rsidR="00AF7F46">
        <w:rPr>
          <w:rFonts w:hint="eastAsia"/>
        </w:rPr>
        <w:t>)</w:t>
      </w:r>
      <w:r w:rsidR="00AF7F46">
        <w:rPr>
          <w:rFonts w:hint="eastAsia"/>
        </w:rPr>
        <w:t>と、</w:t>
      </w:r>
      <w:r w:rsidR="007B5481">
        <w:rPr>
          <w:rFonts w:hint="eastAsia"/>
        </w:rPr>
        <w:t>下位</w:t>
      </w:r>
      <w:r w:rsidR="0076484A">
        <w:rPr>
          <w:rFonts w:hint="eastAsia"/>
        </w:rPr>
        <w:t>2</w:t>
      </w:r>
      <w:r w:rsidR="0076484A">
        <w:rPr>
          <w:rFonts w:hint="eastAsia"/>
        </w:rPr>
        <w:t>割</w:t>
      </w:r>
      <w:r w:rsidR="007B5481">
        <w:rPr>
          <w:rFonts w:hint="eastAsia"/>
        </w:rPr>
        <w:t>の</w:t>
      </w:r>
      <w:r w:rsidR="0046321F">
        <w:rPr>
          <w:rFonts w:hint="eastAsia"/>
        </w:rPr>
        <w:t>層の</w:t>
      </w:r>
      <w:r w:rsidR="007B5481">
        <w:rPr>
          <w:rFonts w:hint="eastAsia"/>
        </w:rPr>
        <w:t>それ</w:t>
      </w:r>
      <w:r w:rsidR="00AF7F46">
        <w:rPr>
          <w:rFonts w:hint="eastAsia"/>
        </w:rPr>
        <w:t>(22.5</w:t>
      </w:r>
      <w:r w:rsidR="00AF7F46">
        <w:rPr>
          <w:rFonts w:hint="eastAsia"/>
        </w:rPr>
        <w:t>万コロン</w:t>
      </w:r>
      <w:r w:rsidR="00AF7F46">
        <w:rPr>
          <w:rFonts w:hint="eastAsia"/>
        </w:rPr>
        <w:t>)</w:t>
      </w:r>
      <w:r w:rsidR="007B5481">
        <w:rPr>
          <w:rFonts w:hint="eastAsia"/>
        </w:rPr>
        <w:t>とは</w:t>
      </w:r>
      <w:r w:rsidR="00AF7F46">
        <w:rPr>
          <w:rFonts w:hint="eastAsia"/>
        </w:rPr>
        <w:t>約</w:t>
      </w:r>
      <w:r w:rsidR="00AF7F46">
        <w:rPr>
          <w:rFonts w:hint="eastAsia"/>
        </w:rPr>
        <w:t>9</w:t>
      </w:r>
      <w:r w:rsidR="00AF7F46">
        <w:rPr>
          <w:rFonts w:hint="eastAsia"/>
        </w:rPr>
        <w:t>倍の差</w:t>
      </w:r>
      <w:r w:rsidR="00151E7B">
        <w:rPr>
          <w:rFonts w:hint="eastAsia"/>
        </w:rPr>
        <w:t>があることも明らかになった。また、</w:t>
      </w:r>
      <w:r w:rsidR="007B5481">
        <w:rPr>
          <w:rFonts w:hint="eastAsia"/>
        </w:rPr>
        <w:t>一家庭あたりの収入は、</w:t>
      </w:r>
      <w:r w:rsidR="0046321F">
        <w:rPr>
          <w:rFonts w:hint="eastAsia"/>
        </w:rPr>
        <w:t>都市部と地方で</w:t>
      </w:r>
      <w:r w:rsidR="00151E7B">
        <w:rPr>
          <w:rFonts w:hint="eastAsia"/>
        </w:rPr>
        <w:t>倍</w:t>
      </w:r>
      <w:r w:rsidR="0046321F">
        <w:rPr>
          <w:rFonts w:hint="eastAsia"/>
        </w:rPr>
        <w:t>近く</w:t>
      </w:r>
      <w:r w:rsidR="00151E7B">
        <w:rPr>
          <w:rFonts w:hint="eastAsia"/>
        </w:rPr>
        <w:t>異なり、</w:t>
      </w:r>
      <w:r w:rsidR="0076484A">
        <w:rPr>
          <w:rFonts w:hint="eastAsia"/>
        </w:rPr>
        <w:t>次期政権</w:t>
      </w:r>
      <w:r w:rsidR="00151E7B">
        <w:rPr>
          <w:rFonts w:hint="eastAsia"/>
        </w:rPr>
        <w:t>にとって</w:t>
      </w:r>
      <w:r w:rsidR="0076484A">
        <w:rPr>
          <w:rFonts w:hint="eastAsia"/>
        </w:rPr>
        <w:t>富の再分配が課題</w:t>
      </w:r>
      <w:r w:rsidR="00151E7B">
        <w:rPr>
          <w:rFonts w:hint="eastAsia"/>
        </w:rPr>
        <w:t>となる</w:t>
      </w:r>
      <w:r w:rsidR="0076484A">
        <w:rPr>
          <w:rFonts w:hint="eastAsia"/>
        </w:rPr>
        <w:t>。</w:t>
      </w:r>
    </w:p>
    <w:p w:rsidR="0076484A" w:rsidRDefault="0076484A" w:rsidP="0076484A">
      <w:pPr>
        <w:rPr>
          <w:lang w:val="es-ES"/>
        </w:rPr>
      </w:pPr>
    </w:p>
    <w:p w:rsidR="001679B7" w:rsidRDefault="001679B7" w:rsidP="0076484A">
      <w:pPr>
        <w:rPr>
          <w:lang w:val="es-ES"/>
        </w:rPr>
      </w:pPr>
      <w:r>
        <w:rPr>
          <w:rFonts w:hint="eastAsia"/>
          <w:lang w:val="es-ES"/>
        </w:rPr>
        <w:t>(</w:t>
      </w:r>
      <w:r>
        <w:rPr>
          <w:rFonts w:hint="eastAsia"/>
          <w:lang w:val="es-ES"/>
        </w:rPr>
        <w:t>２</w:t>
      </w:r>
      <w:r>
        <w:rPr>
          <w:rFonts w:hint="eastAsia"/>
          <w:lang w:val="es-ES"/>
        </w:rPr>
        <w:t>)</w:t>
      </w:r>
      <w:r>
        <w:rPr>
          <w:rFonts w:hint="eastAsia"/>
          <w:lang w:val="es-ES"/>
        </w:rPr>
        <w:t>対外経済</w:t>
      </w:r>
    </w:p>
    <w:p w:rsidR="000E4CBC" w:rsidRDefault="000E4CBC" w:rsidP="0076484A">
      <w:pPr>
        <w:rPr>
          <w:lang w:val="es-ES"/>
        </w:rPr>
      </w:pPr>
      <w:r>
        <w:rPr>
          <w:rFonts w:hint="eastAsia"/>
          <w:lang w:val="es-ES"/>
        </w:rPr>
        <w:t>ア　自由貿易協定・貿易</w:t>
      </w:r>
    </w:p>
    <w:p w:rsidR="000E4CBC" w:rsidRDefault="000E4CBC" w:rsidP="000E4CBC">
      <w:r>
        <w:rPr>
          <w:rFonts w:hint="eastAsia"/>
        </w:rPr>
        <w:t>太平洋同盟</w:t>
      </w:r>
    </w:p>
    <w:p w:rsidR="000E4CBC" w:rsidRPr="004D541F" w:rsidRDefault="000E4CBC" w:rsidP="000E4CBC">
      <w:pPr>
        <w:rPr>
          <w:u w:val="single"/>
        </w:rPr>
      </w:pPr>
      <w:r w:rsidRPr="004D541F">
        <w:rPr>
          <w:rFonts w:hint="eastAsia"/>
          <w:u w:val="single"/>
        </w:rPr>
        <w:t>●コスタリカ、太平洋同盟加盟条件を再検討</w:t>
      </w:r>
      <w:r w:rsidRPr="004D541F">
        <w:rPr>
          <w:rFonts w:hint="eastAsia"/>
          <w:u w:val="single"/>
        </w:rPr>
        <w:t>(6/16)</w:t>
      </w:r>
    </w:p>
    <w:p w:rsidR="000E4CBC" w:rsidRDefault="000E4CBC" w:rsidP="000E4CBC">
      <w:r>
        <w:rPr>
          <w:rFonts w:hint="eastAsia"/>
        </w:rPr>
        <w:t>モラ貿易大臣は、</w:t>
      </w:r>
      <w:r>
        <w:rPr>
          <w:rFonts w:hint="eastAsia"/>
        </w:rPr>
        <w:t>6</w:t>
      </w:r>
      <w:r>
        <w:rPr>
          <w:rFonts w:hint="eastAsia"/>
        </w:rPr>
        <w:t>月</w:t>
      </w:r>
      <w:r>
        <w:rPr>
          <w:rFonts w:hint="eastAsia"/>
        </w:rPr>
        <w:t>19</w:t>
      </w:r>
      <w:r>
        <w:rPr>
          <w:rFonts w:hint="eastAsia"/>
        </w:rPr>
        <w:t>－</w:t>
      </w:r>
      <w:r>
        <w:rPr>
          <w:rFonts w:hint="eastAsia"/>
        </w:rPr>
        <w:t>20</w:t>
      </w:r>
      <w:r>
        <w:rPr>
          <w:rFonts w:hint="eastAsia"/>
        </w:rPr>
        <w:t>日にかけてメキシコで開催される同同盟第</w:t>
      </w:r>
      <w:r>
        <w:rPr>
          <w:rFonts w:hint="eastAsia"/>
        </w:rPr>
        <w:t>9</w:t>
      </w:r>
      <w:r>
        <w:rPr>
          <w:rFonts w:hint="eastAsia"/>
        </w:rPr>
        <w:t>回会合の場で、関係国の代表者に今後のコスタリカの加盟に向けたプロセスについて説明をする予定となっている。政権内では、フェリペ・アラウス農牧大臣が、太平洋同盟加盟により現行のＦＴＡで規定されている条件が変更することで製造業や農業などの国内産業に負の影響が及ぶことを懸念し、加盟に反対姿勢を示している。モラ貿易大臣は、加盟交渉を進めながら国内産業の保護を図っていくとし、加盟プロセスが予定通りに進まなかった場合の最終的判断は大統領に委ねるとしている。</w:t>
      </w:r>
    </w:p>
    <w:p w:rsidR="000E4CBC" w:rsidRPr="000E4CBC" w:rsidRDefault="000E4CBC" w:rsidP="0076484A"/>
    <w:p w:rsidR="000E4CBC" w:rsidRDefault="000E4CBC" w:rsidP="0076484A">
      <w:pPr>
        <w:rPr>
          <w:lang w:val="es-ES"/>
        </w:rPr>
      </w:pPr>
      <w:r>
        <w:rPr>
          <w:rFonts w:hint="eastAsia"/>
          <w:lang w:val="es-ES"/>
        </w:rPr>
        <w:lastRenderedPageBreak/>
        <w:t>イ　外国直接投資</w:t>
      </w:r>
    </w:p>
    <w:p w:rsidR="0076484A" w:rsidRPr="00D62A18" w:rsidRDefault="00D62A18" w:rsidP="0076484A">
      <w:pPr>
        <w:rPr>
          <w:u w:val="single"/>
        </w:rPr>
      </w:pPr>
      <w:r w:rsidRPr="00D62A18">
        <w:rPr>
          <w:rFonts w:hint="eastAsia"/>
          <w:u w:val="single"/>
        </w:rPr>
        <w:t>●</w:t>
      </w:r>
      <w:r w:rsidR="002162A9">
        <w:rPr>
          <w:rFonts w:hint="eastAsia"/>
          <w:u w:val="single"/>
        </w:rPr>
        <w:t>FDI(</w:t>
      </w:r>
      <w:r w:rsidR="002162A9">
        <w:rPr>
          <w:rFonts w:hint="eastAsia"/>
          <w:u w:val="single"/>
        </w:rPr>
        <w:t>外国直接投資</w:t>
      </w:r>
      <w:r w:rsidR="002162A9">
        <w:rPr>
          <w:rFonts w:hint="eastAsia"/>
          <w:u w:val="single"/>
        </w:rPr>
        <w:t>)</w:t>
      </w:r>
      <w:r w:rsidR="0076484A" w:rsidRPr="00D62A18">
        <w:rPr>
          <w:rFonts w:hint="eastAsia"/>
          <w:u w:val="single"/>
        </w:rPr>
        <w:t>の増加が顕著</w:t>
      </w:r>
      <w:r w:rsidRPr="00D62A18">
        <w:rPr>
          <w:rFonts w:hint="eastAsia"/>
          <w:u w:val="single"/>
        </w:rPr>
        <w:t>(5/30)</w:t>
      </w:r>
    </w:p>
    <w:p w:rsidR="0076484A" w:rsidRDefault="00F809C7" w:rsidP="005B5721">
      <w:r w:rsidRPr="00F809C7">
        <w:rPr>
          <w:rFonts w:hint="eastAsia"/>
        </w:rPr>
        <w:t>国連ラテンアメリカ・カリブ経済委員会</w:t>
      </w:r>
      <w:r w:rsidR="00D82836">
        <w:rPr>
          <w:rFonts w:hint="eastAsia"/>
        </w:rPr>
        <w:t>(ECLAC)</w:t>
      </w:r>
      <w:r w:rsidR="002162A9">
        <w:rPr>
          <w:rFonts w:hint="eastAsia"/>
        </w:rPr>
        <w:t>の調べによると</w:t>
      </w:r>
      <w:r>
        <w:rPr>
          <w:rFonts w:hint="eastAsia"/>
        </w:rPr>
        <w:t>、</w:t>
      </w:r>
      <w:r w:rsidR="0076484A">
        <w:rPr>
          <w:rFonts w:hint="eastAsia"/>
        </w:rPr>
        <w:t>2013</w:t>
      </w:r>
      <w:r w:rsidR="00D82836">
        <w:rPr>
          <w:rFonts w:hint="eastAsia"/>
        </w:rPr>
        <w:t>年に</w:t>
      </w:r>
      <w:r w:rsidR="0076484A">
        <w:rPr>
          <w:rFonts w:hint="eastAsia"/>
        </w:rPr>
        <w:t>コスタリカはラテンアメリカ</w:t>
      </w:r>
      <w:r>
        <w:rPr>
          <w:rFonts w:hint="eastAsia"/>
        </w:rPr>
        <w:t>・</w:t>
      </w:r>
      <w:r w:rsidR="002162A9">
        <w:rPr>
          <w:rFonts w:hint="eastAsia"/>
        </w:rPr>
        <w:t>カリブ地域で最も</w:t>
      </w:r>
      <w:r w:rsidR="002162A9">
        <w:rPr>
          <w:rFonts w:hint="eastAsia"/>
        </w:rPr>
        <w:t>FDI</w:t>
      </w:r>
      <w:r w:rsidR="0076484A">
        <w:rPr>
          <w:rFonts w:hint="eastAsia"/>
        </w:rPr>
        <w:t>が増加した国の</w:t>
      </w:r>
      <w:r w:rsidR="0076484A">
        <w:rPr>
          <w:rFonts w:hint="eastAsia"/>
        </w:rPr>
        <w:t>1</w:t>
      </w:r>
      <w:r w:rsidR="0076484A">
        <w:rPr>
          <w:rFonts w:hint="eastAsia"/>
        </w:rPr>
        <w:t>つ</w:t>
      </w:r>
      <w:r w:rsidR="002162A9">
        <w:rPr>
          <w:rFonts w:hint="eastAsia"/>
        </w:rPr>
        <w:t>であることが明らかとなった</w:t>
      </w:r>
      <w:r w:rsidR="0076484A">
        <w:rPr>
          <w:rFonts w:hint="eastAsia"/>
        </w:rPr>
        <w:t>。同地域の平均が</w:t>
      </w:r>
      <w:r w:rsidR="0076484A">
        <w:rPr>
          <w:rFonts w:hint="eastAsia"/>
        </w:rPr>
        <w:t>5</w:t>
      </w:r>
      <w:r w:rsidR="0076484A">
        <w:rPr>
          <w:rFonts w:hint="eastAsia"/>
        </w:rPr>
        <w:t>％増だったのに対し、コスタリカは</w:t>
      </w:r>
      <w:r w:rsidR="0076484A">
        <w:rPr>
          <w:rFonts w:hint="eastAsia"/>
        </w:rPr>
        <w:t>15</w:t>
      </w:r>
      <w:r w:rsidR="002162A9">
        <w:rPr>
          <w:rFonts w:hint="eastAsia"/>
        </w:rPr>
        <w:t>％増を記録した</w:t>
      </w:r>
      <w:r w:rsidR="0076484A">
        <w:rPr>
          <w:rFonts w:hint="eastAsia"/>
        </w:rPr>
        <w:t>。</w:t>
      </w:r>
      <w:r w:rsidR="002162A9">
        <w:rPr>
          <w:rFonts w:hint="eastAsia"/>
        </w:rPr>
        <w:t>また、</w:t>
      </w:r>
      <w:r w:rsidR="0076484A">
        <w:rPr>
          <w:rFonts w:hint="eastAsia"/>
        </w:rPr>
        <w:t>従来は製造業が主な投資対象だった</w:t>
      </w:r>
      <w:r w:rsidR="002162A9">
        <w:rPr>
          <w:rFonts w:hint="eastAsia"/>
        </w:rPr>
        <w:t>の</w:t>
      </w:r>
      <w:r w:rsidR="0076484A">
        <w:rPr>
          <w:rFonts w:hint="eastAsia"/>
        </w:rPr>
        <w:t>が、近年は保険・通信</w:t>
      </w:r>
      <w:r w:rsidR="002162A9">
        <w:rPr>
          <w:rFonts w:hint="eastAsia"/>
        </w:rPr>
        <w:t>などのサービス業や、</w:t>
      </w:r>
      <w:r w:rsidR="0076484A">
        <w:rPr>
          <w:rFonts w:hint="eastAsia"/>
        </w:rPr>
        <w:t>不動産業への</w:t>
      </w:r>
      <w:r w:rsidR="002162A9">
        <w:rPr>
          <w:rFonts w:hint="eastAsia"/>
        </w:rPr>
        <w:t>投資が増加していることも判明した</w:t>
      </w:r>
      <w:r w:rsidR="0076484A">
        <w:rPr>
          <w:rFonts w:hint="eastAsia"/>
        </w:rPr>
        <w:t>。</w:t>
      </w:r>
      <w:r w:rsidR="005B5721">
        <w:rPr>
          <w:rFonts w:hint="eastAsia"/>
        </w:rPr>
        <w:t>他方で、同委員会からは今後の</w:t>
      </w:r>
      <w:r w:rsidR="0076484A">
        <w:rPr>
          <w:rFonts w:hint="eastAsia"/>
        </w:rPr>
        <w:t>今後の</w:t>
      </w:r>
      <w:r w:rsidR="005B5721">
        <w:rPr>
          <w:rFonts w:hint="eastAsia"/>
        </w:rPr>
        <w:t>コスタリカの</w:t>
      </w:r>
      <w:r w:rsidR="0076484A">
        <w:rPr>
          <w:rFonts w:hint="eastAsia"/>
        </w:rPr>
        <w:t>課題として</w:t>
      </w:r>
      <w:r w:rsidR="005B5721">
        <w:rPr>
          <w:rFonts w:hint="eastAsia"/>
        </w:rPr>
        <w:t>、</w:t>
      </w:r>
      <w:r w:rsidR="0076484A">
        <w:rPr>
          <w:rFonts w:hint="eastAsia"/>
        </w:rPr>
        <w:t>外資と国内企業の連携</w:t>
      </w:r>
      <w:r w:rsidR="005B5721">
        <w:rPr>
          <w:rFonts w:hint="eastAsia"/>
        </w:rPr>
        <w:t>強化および調査研究や開発への投資額</w:t>
      </w:r>
      <w:r w:rsidR="0076484A">
        <w:rPr>
          <w:rFonts w:hint="eastAsia"/>
        </w:rPr>
        <w:t>増加</w:t>
      </w:r>
      <w:r w:rsidR="005B5721">
        <w:rPr>
          <w:rFonts w:hint="eastAsia"/>
        </w:rPr>
        <w:t>の</w:t>
      </w:r>
      <w:r w:rsidR="005B5721" w:rsidRPr="005B5721">
        <w:rPr>
          <w:rFonts w:hint="eastAsia"/>
        </w:rPr>
        <w:t>2</w:t>
      </w:r>
      <w:r w:rsidR="005B5721" w:rsidRPr="005B5721">
        <w:rPr>
          <w:rFonts w:hint="eastAsia"/>
        </w:rPr>
        <w:t>点</w:t>
      </w:r>
      <w:r w:rsidR="005B5721">
        <w:rPr>
          <w:rFonts w:hint="eastAsia"/>
        </w:rPr>
        <w:t>が</w:t>
      </w:r>
      <w:r w:rsidR="005B5721" w:rsidRPr="005B5721">
        <w:rPr>
          <w:rFonts w:hint="eastAsia"/>
        </w:rPr>
        <w:t>指摘</w:t>
      </w:r>
      <w:r w:rsidR="005B5721">
        <w:rPr>
          <w:rFonts w:hint="eastAsia"/>
        </w:rPr>
        <w:t>されている</w:t>
      </w:r>
      <w:r w:rsidR="005B5721" w:rsidRPr="005B5721">
        <w:rPr>
          <w:rFonts w:hint="eastAsia"/>
        </w:rPr>
        <w:t>。</w:t>
      </w:r>
    </w:p>
    <w:p w:rsidR="00F27863" w:rsidRPr="006B59DD" w:rsidRDefault="001950B2" w:rsidP="00F27863">
      <w:pPr>
        <w:rPr>
          <w:u w:val="single"/>
        </w:rPr>
      </w:pPr>
      <w:r w:rsidRPr="006B59DD">
        <w:rPr>
          <w:rFonts w:hint="eastAsia"/>
          <w:u w:val="single"/>
        </w:rPr>
        <w:t>●</w:t>
      </w:r>
      <w:r w:rsidR="00F27863" w:rsidRPr="006B59DD">
        <w:rPr>
          <w:rFonts w:hint="eastAsia"/>
          <w:u w:val="single"/>
        </w:rPr>
        <w:t>インテル</w:t>
      </w:r>
      <w:r w:rsidR="002F6F75">
        <w:rPr>
          <w:rFonts w:hint="eastAsia"/>
          <w:u w:val="single"/>
        </w:rPr>
        <w:t>社</w:t>
      </w:r>
      <w:r w:rsidRPr="006B59DD">
        <w:rPr>
          <w:rFonts w:hint="eastAsia"/>
          <w:u w:val="single"/>
        </w:rPr>
        <w:t xml:space="preserve">　コスタリカに大規模</w:t>
      </w:r>
      <w:r w:rsidR="00F27863" w:rsidRPr="006B59DD">
        <w:rPr>
          <w:rFonts w:hint="eastAsia"/>
          <w:u w:val="single"/>
        </w:rPr>
        <w:t>研究施設</w:t>
      </w:r>
      <w:r w:rsidRPr="006B59DD">
        <w:rPr>
          <w:rFonts w:hint="eastAsia"/>
          <w:u w:val="single"/>
        </w:rPr>
        <w:t>を設置</w:t>
      </w:r>
      <w:r w:rsidR="009704FB">
        <w:rPr>
          <w:rFonts w:hint="eastAsia"/>
          <w:u w:val="single"/>
        </w:rPr>
        <w:t>(</w:t>
      </w:r>
      <w:r w:rsidRPr="006B59DD">
        <w:rPr>
          <w:rFonts w:hint="eastAsia"/>
          <w:u w:val="single"/>
        </w:rPr>
        <w:t>6/11</w:t>
      </w:r>
      <w:r w:rsidR="009704FB">
        <w:rPr>
          <w:rFonts w:hint="eastAsia"/>
          <w:u w:val="single"/>
        </w:rPr>
        <w:t>)</w:t>
      </w:r>
    </w:p>
    <w:p w:rsidR="00F27863" w:rsidRDefault="001950B2" w:rsidP="00F27863">
      <w:r>
        <w:rPr>
          <w:rFonts w:hint="eastAsia"/>
        </w:rPr>
        <w:t>ソリス大統領は</w:t>
      </w:r>
      <w:r w:rsidR="00D82836">
        <w:rPr>
          <w:rFonts w:hint="eastAsia"/>
        </w:rPr>
        <w:t>米国訪問中に</w:t>
      </w:r>
      <w:r w:rsidR="00F27863">
        <w:rPr>
          <w:rFonts w:hint="eastAsia"/>
        </w:rPr>
        <w:t>インテル</w:t>
      </w:r>
      <w:r>
        <w:rPr>
          <w:rFonts w:hint="eastAsia"/>
        </w:rPr>
        <w:t>社</w:t>
      </w:r>
      <w:r w:rsidR="00F27863">
        <w:rPr>
          <w:rFonts w:hint="eastAsia"/>
        </w:rPr>
        <w:t>幹部と会談</w:t>
      </w:r>
      <w:r>
        <w:rPr>
          <w:rFonts w:hint="eastAsia"/>
        </w:rPr>
        <w:t>し、</w:t>
      </w:r>
      <w:r w:rsidR="00D42F71">
        <w:rPr>
          <w:rFonts w:hint="eastAsia"/>
        </w:rPr>
        <w:t>将来</w:t>
      </w:r>
      <w:r w:rsidR="00F27863">
        <w:rPr>
          <w:rFonts w:hint="eastAsia"/>
        </w:rPr>
        <w:t>コスタリカ国内で製品開発のための</w:t>
      </w:r>
      <w:r w:rsidR="00D42F71">
        <w:rPr>
          <w:rFonts w:hint="eastAsia"/>
        </w:rPr>
        <w:t>同社の</w:t>
      </w:r>
      <w:r>
        <w:rPr>
          <w:rFonts w:hint="eastAsia"/>
        </w:rPr>
        <w:t>大規模</w:t>
      </w:r>
      <w:r w:rsidR="00F27863">
        <w:rPr>
          <w:rFonts w:hint="eastAsia"/>
        </w:rPr>
        <w:t>研究施設を設置し</w:t>
      </w:r>
      <w:r>
        <w:rPr>
          <w:rFonts w:hint="eastAsia"/>
        </w:rPr>
        <w:t>、</w:t>
      </w:r>
      <w:r w:rsidR="00F27863">
        <w:rPr>
          <w:rFonts w:hint="eastAsia"/>
        </w:rPr>
        <w:t>新たに</w:t>
      </w:r>
      <w:r w:rsidR="00F27863">
        <w:rPr>
          <w:rFonts w:hint="eastAsia"/>
        </w:rPr>
        <w:t>100</w:t>
      </w:r>
      <w:r w:rsidR="00C37683">
        <w:rPr>
          <w:rFonts w:hint="eastAsia"/>
        </w:rPr>
        <w:t>人</w:t>
      </w:r>
      <w:r>
        <w:rPr>
          <w:rFonts w:hint="eastAsia"/>
        </w:rPr>
        <w:t>の雇用を創出することで</w:t>
      </w:r>
      <w:r w:rsidR="00F27863">
        <w:rPr>
          <w:rFonts w:hint="eastAsia"/>
        </w:rPr>
        <w:t>同意</w:t>
      </w:r>
      <w:r>
        <w:rPr>
          <w:rFonts w:hint="eastAsia"/>
        </w:rPr>
        <w:t>に至った</w:t>
      </w:r>
      <w:r w:rsidR="00F27863">
        <w:rPr>
          <w:rFonts w:hint="eastAsia"/>
        </w:rPr>
        <w:t>。</w:t>
      </w:r>
      <w:r w:rsidR="00D82836">
        <w:rPr>
          <w:rFonts w:hint="eastAsia"/>
        </w:rPr>
        <w:t>同研究施設は、現在</w:t>
      </w:r>
      <w:r w:rsidR="00F27863">
        <w:rPr>
          <w:rFonts w:hint="eastAsia"/>
        </w:rPr>
        <w:t>国内で</w:t>
      </w:r>
      <w:r>
        <w:rPr>
          <w:rFonts w:hint="eastAsia"/>
        </w:rPr>
        <w:t>稼働中の</w:t>
      </w:r>
      <w:r w:rsidR="00F27863">
        <w:rPr>
          <w:rFonts w:hint="eastAsia"/>
        </w:rPr>
        <w:t>デザイン部門や・エンジニアリング部門・サービスセンターとも連携していく</w:t>
      </w:r>
      <w:r>
        <w:rPr>
          <w:rFonts w:hint="eastAsia"/>
        </w:rPr>
        <w:t>予定となっている</w:t>
      </w:r>
      <w:r w:rsidR="00D42F71">
        <w:rPr>
          <w:rFonts w:hint="eastAsia"/>
        </w:rPr>
        <w:t>。</w:t>
      </w:r>
      <w:r w:rsidR="00F27863">
        <w:rPr>
          <w:rFonts w:hint="eastAsia"/>
        </w:rPr>
        <w:t>インテル</w:t>
      </w:r>
      <w:r w:rsidR="00D82836">
        <w:rPr>
          <w:rFonts w:hint="eastAsia"/>
        </w:rPr>
        <w:t>社にとっては</w:t>
      </w:r>
      <w:r>
        <w:rPr>
          <w:rFonts w:hint="eastAsia"/>
        </w:rPr>
        <w:t>米</w:t>
      </w:r>
      <w:r w:rsidR="00F27863">
        <w:rPr>
          <w:rFonts w:hint="eastAsia"/>
        </w:rPr>
        <w:t>国外で</w:t>
      </w:r>
      <w:r w:rsidR="00575179">
        <w:rPr>
          <w:rFonts w:hint="eastAsia"/>
        </w:rPr>
        <w:t>初</w:t>
      </w:r>
      <w:r w:rsidR="00D82836">
        <w:rPr>
          <w:rFonts w:hint="eastAsia"/>
        </w:rPr>
        <w:t>の大規模研究施設</w:t>
      </w:r>
      <w:r w:rsidR="00F27863">
        <w:rPr>
          <w:rFonts w:hint="eastAsia"/>
        </w:rPr>
        <w:t>設置</w:t>
      </w:r>
      <w:r w:rsidR="00D82836">
        <w:rPr>
          <w:rFonts w:hint="eastAsia"/>
        </w:rPr>
        <w:t>となり、</w:t>
      </w:r>
      <w:r w:rsidR="00F27863">
        <w:rPr>
          <w:rFonts w:hint="eastAsia"/>
        </w:rPr>
        <w:t>2015</w:t>
      </w:r>
      <w:r w:rsidR="00F27863">
        <w:rPr>
          <w:rFonts w:hint="eastAsia"/>
        </w:rPr>
        <w:t>年末までは既存の国内従業員と合わせ</w:t>
      </w:r>
      <w:r w:rsidR="00D65BBE">
        <w:rPr>
          <w:rFonts w:hint="eastAsia"/>
        </w:rPr>
        <w:t>た総</w:t>
      </w:r>
      <w:r w:rsidR="00F27863">
        <w:rPr>
          <w:rFonts w:hint="eastAsia"/>
        </w:rPr>
        <w:t>従業員数は</w:t>
      </w:r>
      <w:r w:rsidR="00F27863">
        <w:rPr>
          <w:rFonts w:hint="eastAsia"/>
        </w:rPr>
        <w:t>1</w:t>
      </w:r>
      <w:r w:rsidR="00DD5F7A">
        <w:rPr>
          <w:rFonts w:hint="eastAsia"/>
        </w:rPr>
        <w:t>,</w:t>
      </w:r>
      <w:r w:rsidR="00F27863">
        <w:rPr>
          <w:rFonts w:hint="eastAsia"/>
        </w:rPr>
        <w:t>500</w:t>
      </w:r>
      <w:r w:rsidR="00F27863">
        <w:rPr>
          <w:rFonts w:hint="eastAsia"/>
        </w:rPr>
        <w:t>人規模に</w:t>
      </w:r>
      <w:r>
        <w:rPr>
          <w:rFonts w:hint="eastAsia"/>
        </w:rPr>
        <w:t>なる見込である</w:t>
      </w:r>
      <w:r w:rsidR="00F27863">
        <w:rPr>
          <w:rFonts w:hint="eastAsia"/>
        </w:rPr>
        <w:t>。</w:t>
      </w:r>
      <w:r w:rsidR="00F27863" w:rsidRPr="00D44A3F">
        <w:rPr>
          <w:rFonts w:hint="eastAsia"/>
        </w:rPr>
        <w:t>ソ</w:t>
      </w:r>
      <w:r w:rsidR="00F27863">
        <w:rPr>
          <w:rFonts w:hint="eastAsia"/>
        </w:rPr>
        <w:t>リス</w:t>
      </w:r>
      <w:r w:rsidR="006B59DD">
        <w:rPr>
          <w:rFonts w:hint="eastAsia"/>
        </w:rPr>
        <w:t>大統領は今回の決定を</w:t>
      </w:r>
      <w:r w:rsidR="00D42F71">
        <w:rPr>
          <w:rFonts w:hint="eastAsia"/>
        </w:rPr>
        <w:t>「</w:t>
      </w:r>
      <w:r w:rsidR="00F27863">
        <w:rPr>
          <w:rFonts w:hint="eastAsia"/>
        </w:rPr>
        <w:t>歴史的快挙</w:t>
      </w:r>
      <w:r w:rsidR="00D42F71">
        <w:rPr>
          <w:rFonts w:hint="eastAsia"/>
        </w:rPr>
        <w:t>」称</w:t>
      </w:r>
      <w:r w:rsidR="006B59DD">
        <w:rPr>
          <w:rFonts w:hint="eastAsia"/>
        </w:rPr>
        <w:t>し、</w:t>
      </w:r>
      <w:r w:rsidR="00F27863">
        <w:rPr>
          <w:rFonts w:hint="eastAsia"/>
        </w:rPr>
        <w:t>コスタリカは</w:t>
      </w:r>
      <w:r w:rsidR="00D42F71">
        <w:rPr>
          <w:rFonts w:hint="eastAsia"/>
        </w:rPr>
        <w:t>グローバルな生産活動において新たな段階</w:t>
      </w:r>
      <w:r w:rsidR="00F27863">
        <w:rPr>
          <w:rFonts w:hint="eastAsia"/>
        </w:rPr>
        <w:t>に入った</w:t>
      </w:r>
      <w:r w:rsidR="006B59DD">
        <w:rPr>
          <w:rFonts w:hint="eastAsia"/>
        </w:rPr>
        <w:t>と述べ、</w:t>
      </w:r>
      <w:r w:rsidR="00F27863">
        <w:rPr>
          <w:rFonts w:hint="eastAsia"/>
        </w:rPr>
        <w:t>今後も人材の質を上げていくためにあらゆる手段を</w:t>
      </w:r>
      <w:r w:rsidR="00E801A6">
        <w:rPr>
          <w:rFonts w:hint="eastAsia"/>
        </w:rPr>
        <w:t>講じていく</w:t>
      </w:r>
      <w:r w:rsidR="006B59DD">
        <w:rPr>
          <w:rFonts w:hint="eastAsia"/>
        </w:rPr>
        <w:t>ことを誓った</w:t>
      </w:r>
      <w:r w:rsidR="00F27863">
        <w:rPr>
          <w:rFonts w:hint="eastAsia"/>
        </w:rPr>
        <w:t>。</w:t>
      </w:r>
    </w:p>
    <w:p w:rsidR="00C613FE" w:rsidRPr="00C613FE" w:rsidRDefault="00C613FE" w:rsidP="00F27863"/>
    <w:p w:rsidR="00C76D12" w:rsidRDefault="000E4CBC" w:rsidP="00993A3D">
      <w:r>
        <w:rPr>
          <w:rFonts w:hint="eastAsia"/>
        </w:rPr>
        <w:t>ウ　その他</w:t>
      </w:r>
    </w:p>
    <w:p w:rsidR="00AE2674" w:rsidRPr="00214DD5" w:rsidRDefault="00214DD5" w:rsidP="0076484A">
      <w:pPr>
        <w:jc w:val="left"/>
        <w:rPr>
          <w:u w:val="single"/>
        </w:rPr>
      </w:pPr>
      <w:r>
        <w:rPr>
          <w:rFonts w:hint="eastAsia"/>
        </w:rPr>
        <w:t>●</w:t>
      </w:r>
      <w:r w:rsidR="00AE2674" w:rsidRPr="00214DD5">
        <w:rPr>
          <w:rFonts w:hint="eastAsia"/>
          <w:u w:val="single"/>
        </w:rPr>
        <w:t>OECD</w:t>
      </w:r>
      <w:r w:rsidR="00DE6011">
        <w:rPr>
          <w:rFonts w:hint="eastAsia"/>
          <w:u w:val="single"/>
        </w:rPr>
        <w:t>調査</w:t>
      </w:r>
      <w:r w:rsidR="00AE2674" w:rsidRPr="00214DD5">
        <w:rPr>
          <w:rFonts w:hint="eastAsia"/>
          <w:u w:val="single"/>
        </w:rPr>
        <w:t>団</w:t>
      </w:r>
      <w:r w:rsidRPr="00214DD5">
        <w:rPr>
          <w:rFonts w:hint="eastAsia"/>
          <w:u w:val="single"/>
        </w:rPr>
        <w:t xml:space="preserve">　</w:t>
      </w:r>
      <w:r w:rsidR="00DE6011">
        <w:rPr>
          <w:rFonts w:hint="eastAsia"/>
          <w:u w:val="single"/>
        </w:rPr>
        <w:t>コスタリカ訪問</w:t>
      </w:r>
      <w:r w:rsidRPr="00214DD5">
        <w:rPr>
          <w:rFonts w:hint="eastAsia"/>
          <w:u w:val="single"/>
        </w:rPr>
        <w:t>(6/4)</w:t>
      </w:r>
    </w:p>
    <w:p w:rsidR="00254144" w:rsidRPr="00F27863" w:rsidRDefault="00AE2674" w:rsidP="00400C8B">
      <w:pPr>
        <w:jc w:val="left"/>
      </w:pPr>
      <w:r>
        <w:rPr>
          <w:rFonts w:hint="eastAsia"/>
        </w:rPr>
        <w:t>6</w:t>
      </w:r>
      <w:r>
        <w:rPr>
          <w:rFonts w:hint="eastAsia"/>
        </w:rPr>
        <w:t>月</w:t>
      </w:r>
      <w:r>
        <w:rPr>
          <w:rFonts w:hint="eastAsia"/>
        </w:rPr>
        <w:t>2</w:t>
      </w:r>
      <w:r>
        <w:rPr>
          <w:rFonts w:hint="eastAsia"/>
        </w:rPr>
        <w:t>日から</w:t>
      </w:r>
      <w:r>
        <w:rPr>
          <w:rFonts w:hint="eastAsia"/>
        </w:rPr>
        <w:t>3</w:t>
      </w:r>
      <w:r>
        <w:rPr>
          <w:rFonts w:hint="eastAsia"/>
        </w:rPr>
        <w:t>日にかけ</w:t>
      </w:r>
      <w:r w:rsidR="0073658E">
        <w:rPr>
          <w:rFonts w:hint="eastAsia"/>
        </w:rPr>
        <w:t>、</w:t>
      </w:r>
      <w:r w:rsidR="0073658E" w:rsidRPr="0073658E">
        <w:rPr>
          <w:rFonts w:hint="eastAsia"/>
        </w:rPr>
        <w:t>OECD</w:t>
      </w:r>
      <w:r w:rsidR="00C37683">
        <w:rPr>
          <w:rFonts w:hint="eastAsia"/>
        </w:rPr>
        <w:t>ミッション</w:t>
      </w:r>
      <w:r w:rsidR="0073658E">
        <w:rPr>
          <w:rFonts w:hint="eastAsia"/>
        </w:rPr>
        <w:t>が</w:t>
      </w:r>
      <w:r w:rsidR="00A50F5C">
        <w:rPr>
          <w:rFonts w:hint="eastAsia"/>
        </w:rPr>
        <w:t>コスタリカを訪問し、ソリス大統領を初め財務省や貿易省といった関係省庁の代表者ら</w:t>
      </w:r>
      <w:r>
        <w:rPr>
          <w:rFonts w:hint="eastAsia"/>
        </w:rPr>
        <w:t>、今後のコスタリカの加盟プロセスについて協議した。</w:t>
      </w:r>
      <w:r w:rsidR="0073658E">
        <w:rPr>
          <w:rFonts w:hint="eastAsia"/>
        </w:rPr>
        <w:t>協議終了後</w:t>
      </w:r>
      <w:r w:rsidR="00A50F5C">
        <w:rPr>
          <w:rFonts w:hint="eastAsia"/>
        </w:rPr>
        <w:t>、</w:t>
      </w:r>
      <w:r>
        <w:rPr>
          <w:rFonts w:hint="eastAsia"/>
        </w:rPr>
        <w:t>ソリス大統領</w:t>
      </w:r>
      <w:r w:rsidR="00A50F5C">
        <w:rPr>
          <w:rFonts w:hint="eastAsia"/>
        </w:rPr>
        <w:t>は</w:t>
      </w:r>
      <w:r>
        <w:rPr>
          <w:rFonts w:hint="eastAsia"/>
        </w:rPr>
        <w:t>、</w:t>
      </w:r>
      <w:r>
        <w:rPr>
          <w:rFonts w:hint="eastAsia"/>
        </w:rPr>
        <w:t>OECD</w:t>
      </w:r>
      <w:r>
        <w:rPr>
          <w:rFonts w:hint="eastAsia"/>
        </w:rPr>
        <w:t>加盟は国民に大きな利益をもたらすとし、</w:t>
      </w:r>
      <w:r w:rsidR="00C37683">
        <w:rPr>
          <w:rFonts w:hint="eastAsia"/>
        </w:rPr>
        <w:t>加盟に向けた努力を継続していくと述べた</w:t>
      </w:r>
      <w:r w:rsidR="00A50F5C">
        <w:rPr>
          <w:rFonts w:hint="eastAsia"/>
        </w:rPr>
        <w:t>。また</w:t>
      </w:r>
      <w:r w:rsidR="0073658E">
        <w:rPr>
          <w:rFonts w:hint="eastAsia"/>
        </w:rPr>
        <w:t>、</w:t>
      </w:r>
      <w:r w:rsidR="00A50F5C">
        <w:rPr>
          <w:rFonts w:hint="eastAsia"/>
        </w:rPr>
        <w:t>モラ</w:t>
      </w:r>
      <w:r w:rsidR="0073658E">
        <w:rPr>
          <w:rFonts w:hint="eastAsia"/>
        </w:rPr>
        <w:t>貿易</w:t>
      </w:r>
      <w:r w:rsidR="00A50F5C">
        <w:rPr>
          <w:rFonts w:hint="eastAsia"/>
        </w:rPr>
        <w:t>大臣も、今回の協議</w:t>
      </w:r>
      <w:r w:rsidR="0073658E">
        <w:rPr>
          <w:rFonts w:hint="eastAsia"/>
        </w:rPr>
        <w:t>で不明</w:t>
      </w:r>
      <w:r w:rsidR="00A50F5C">
        <w:rPr>
          <w:rFonts w:hint="eastAsia"/>
        </w:rPr>
        <w:t>点</w:t>
      </w:r>
      <w:r w:rsidR="0073658E">
        <w:rPr>
          <w:rFonts w:hint="eastAsia"/>
        </w:rPr>
        <w:t>が</w:t>
      </w:r>
      <w:r w:rsidR="00A50F5C">
        <w:rPr>
          <w:rFonts w:hint="eastAsia"/>
        </w:rPr>
        <w:t>言及されたことにより、加盟に向けた道筋が整ったとの見方を示した。</w:t>
      </w:r>
      <w:r w:rsidR="00A50F5C">
        <w:rPr>
          <w:rFonts w:hint="eastAsia"/>
        </w:rPr>
        <w:t>OECD</w:t>
      </w:r>
      <w:r w:rsidR="00C37683">
        <w:rPr>
          <w:rFonts w:hint="eastAsia"/>
        </w:rPr>
        <w:t>ミッション</w:t>
      </w:r>
      <w:r w:rsidR="00A50F5C">
        <w:rPr>
          <w:rFonts w:hint="eastAsia"/>
        </w:rPr>
        <w:t>も、コスタリカの加盟が同組織及びコスタリカ</w:t>
      </w:r>
      <w:r w:rsidR="00B83A14">
        <w:rPr>
          <w:rFonts w:hint="eastAsia"/>
        </w:rPr>
        <w:t>双方</w:t>
      </w:r>
      <w:r w:rsidR="00A50F5C">
        <w:rPr>
          <w:rFonts w:hint="eastAsia"/>
        </w:rPr>
        <w:t>にとって重要な意味を</w:t>
      </w:r>
      <w:r w:rsidR="0073658E">
        <w:rPr>
          <w:rFonts w:hint="eastAsia"/>
        </w:rPr>
        <w:t>持つこと</w:t>
      </w:r>
      <w:r w:rsidR="00A50F5C">
        <w:rPr>
          <w:rFonts w:hint="eastAsia"/>
        </w:rPr>
        <w:t>を確認できたと</w:t>
      </w:r>
      <w:r w:rsidR="00B83A14">
        <w:rPr>
          <w:rFonts w:hint="eastAsia"/>
        </w:rPr>
        <w:t>して</w:t>
      </w:r>
      <w:r w:rsidR="00A50F5C">
        <w:rPr>
          <w:rFonts w:hint="eastAsia"/>
        </w:rPr>
        <w:t>、今回</w:t>
      </w:r>
      <w:r w:rsidR="0073658E">
        <w:rPr>
          <w:rFonts w:hint="eastAsia"/>
        </w:rPr>
        <w:t>の訪問</w:t>
      </w:r>
      <w:r w:rsidR="00B76071">
        <w:rPr>
          <w:rFonts w:hint="eastAsia"/>
        </w:rPr>
        <w:t>で得られた</w:t>
      </w:r>
      <w:r w:rsidR="00A50F5C">
        <w:rPr>
          <w:rFonts w:hint="eastAsia"/>
        </w:rPr>
        <w:t>成果に満足</w:t>
      </w:r>
      <w:r w:rsidR="00C37683">
        <w:rPr>
          <w:rFonts w:hint="eastAsia"/>
        </w:rPr>
        <w:t>の意</w:t>
      </w:r>
      <w:r w:rsidR="00A50F5C">
        <w:rPr>
          <w:rFonts w:hint="eastAsia"/>
        </w:rPr>
        <w:t>を</w:t>
      </w:r>
      <w:r w:rsidR="00C37683">
        <w:rPr>
          <w:rFonts w:hint="eastAsia"/>
        </w:rPr>
        <w:t>表明</w:t>
      </w:r>
      <w:r w:rsidR="00A50F5C">
        <w:rPr>
          <w:rFonts w:hint="eastAsia"/>
        </w:rPr>
        <w:t>した。</w:t>
      </w:r>
      <w:bookmarkStart w:id="0" w:name="_GoBack"/>
      <w:bookmarkEnd w:id="0"/>
      <w:r w:rsidR="00254144">
        <w:rPr>
          <w:rFonts w:hint="eastAsia"/>
        </w:rPr>
        <w:t>(</w:t>
      </w:r>
      <w:r w:rsidR="00254144">
        <w:rPr>
          <w:rFonts w:hint="eastAsia"/>
        </w:rPr>
        <w:t>了</w:t>
      </w:r>
      <w:r w:rsidR="00254144">
        <w:rPr>
          <w:rFonts w:hint="eastAsia"/>
        </w:rPr>
        <w:t>)</w:t>
      </w:r>
    </w:p>
    <w:sectPr w:rsidR="00254144" w:rsidRPr="00F27863" w:rsidSect="00966B7C">
      <w:footerReference w:type="default" r:id="rId21"/>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6FE2" w:rsidRDefault="00576FE2" w:rsidP="001C09C4">
      <w:r>
        <w:separator/>
      </w:r>
    </w:p>
  </w:endnote>
  <w:endnote w:type="continuationSeparator" w:id="0">
    <w:p w:rsidR="00576FE2" w:rsidRDefault="00576FE2" w:rsidP="001C09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35924"/>
      <w:docPartObj>
        <w:docPartGallery w:val="Page Numbers (Bottom of Page)"/>
        <w:docPartUnique/>
      </w:docPartObj>
    </w:sdtPr>
    <w:sdtEndPr/>
    <w:sdtContent>
      <w:p w:rsidR="001C09C4" w:rsidRDefault="003326B7">
        <w:pPr>
          <w:pStyle w:val="a7"/>
          <w:jc w:val="right"/>
        </w:pPr>
        <w:r>
          <w:fldChar w:fldCharType="begin"/>
        </w:r>
        <w:r w:rsidR="001E5205">
          <w:instrText xml:space="preserve"> PAGE   \* MERGEFORMAT </w:instrText>
        </w:r>
        <w:r>
          <w:fldChar w:fldCharType="separate"/>
        </w:r>
        <w:r w:rsidR="00400C8B" w:rsidRPr="00400C8B">
          <w:rPr>
            <w:noProof/>
            <w:lang w:val="ja-JP"/>
          </w:rPr>
          <w:t>1</w:t>
        </w:r>
        <w:r>
          <w:rPr>
            <w:noProof/>
            <w:lang w:val="ja-JP"/>
          </w:rPr>
          <w:fldChar w:fldCharType="end"/>
        </w:r>
      </w:p>
    </w:sdtContent>
  </w:sdt>
  <w:p w:rsidR="001C09C4" w:rsidRDefault="001C09C4">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6FE2" w:rsidRDefault="00576FE2" w:rsidP="001C09C4">
      <w:r>
        <w:separator/>
      </w:r>
    </w:p>
  </w:footnote>
  <w:footnote w:type="continuationSeparator" w:id="0">
    <w:p w:rsidR="00576FE2" w:rsidRDefault="00576FE2" w:rsidP="001C09C4">
      <w:r>
        <w:continuationSeparator/>
      </w:r>
    </w:p>
  </w:footnote>
  <w:footnote w:id="1">
    <w:p w:rsidR="00BD4B5A" w:rsidRPr="009356A9" w:rsidRDefault="00BD4B5A">
      <w:pPr>
        <w:pStyle w:val="a9"/>
        <w:rPr>
          <w:sz w:val="18"/>
          <w:szCs w:val="18"/>
        </w:rPr>
      </w:pPr>
      <w:r>
        <w:rPr>
          <w:rStyle w:val="ab"/>
        </w:rPr>
        <w:footnoteRef/>
      </w:r>
      <w:r>
        <w:t xml:space="preserve"> </w:t>
      </w:r>
      <w:r w:rsidR="009356A9" w:rsidRPr="009356A9">
        <w:rPr>
          <w:rFonts w:hint="eastAsia"/>
        </w:rPr>
        <w:t xml:space="preserve"> </w:t>
      </w:r>
      <w:r w:rsidR="009356A9" w:rsidRPr="009356A9">
        <w:rPr>
          <w:rFonts w:hint="eastAsia"/>
          <w:sz w:val="18"/>
          <w:szCs w:val="18"/>
        </w:rPr>
        <w:t xml:space="preserve"> </w:t>
      </w:r>
      <w:r w:rsidR="009356A9" w:rsidRPr="009356A9">
        <w:rPr>
          <w:rFonts w:hint="eastAsia"/>
          <w:sz w:val="18"/>
          <w:szCs w:val="18"/>
        </w:rPr>
        <w:t>ラ・ナシオン紙、ラ・プレンサリブレ紙、ラ・レプブリカ紙、エル・フィナンシエロ紙</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8D6998"/>
    <w:multiLevelType w:val="hybridMultilevel"/>
    <w:tmpl w:val="CC0C5EF0"/>
    <w:lvl w:ilvl="0" w:tplc="A1B4017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522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0389"/>
    <w:rsid w:val="00001398"/>
    <w:rsid w:val="000059BC"/>
    <w:rsid w:val="000068CD"/>
    <w:rsid w:val="00007D62"/>
    <w:rsid w:val="00013AB5"/>
    <w:rsid w:val="00021566"/>
    <w:rsid w:val="00026EE4"/>
    <w:rsid w:val="00027BE6"/>
    <w:rsid w:val="00031FBC"/>
    <w:rsid w:val="00041EE3"/>
    <w:rsid w:val="00045213"/>
    <w:rsid w:val="00046D2F"/>
    <w:rsid w:val="00052A54"/>
    <w:rsid w:val="00053B13"/>
    <w:rsid w:val="00055475"/>
    <w:rsid w:val="0006088E"/>
    <w:rsid w:val="00061151"/>
    <w:rsid w:val="000643D0"/>
    <w:rsid w:val="00074F78"/>
    <w:rsid w:val="00077CFE"/>
    <w:rsid w:val="00080A6F"/>
    <w:rsid w:val="000825F0"/>
    <w:rsid w:val="000841C9"/>
    <w:rsid w:val="000862AB"/>
    <w:rsid w:val="000878C2"/>
    <w:rsid w:val="000975C3"/>
    <w:rsid w:val="000A3F77"/>
    <w:rsid w:val="000A619B"/>
    <w:rsid w:val="000A77CE"/>
    <w:rsid w:val="000A7804"/>
    <w:rsid w:val="000C1682"/>
    <w:rsid w:val="000C2377"/>
    <w:rsid w:val="000C3DEC"/>
    <w:rsid w:val="000C5591"/>
    <w:rsid w:val="000D115E"/>
    <w:rsid w:val="000E4CBC"/>
    <w:rsid w:val="000E512D"/>
    <w:rsid w:val="000E6590"/>
    <w:rsid w:val="000E66F6"/>
    <w:rsid w:val="000E67F0"/>
    <w:rsid w:val="000F5FDD"/>
    <w:rsid w:val="000F7330"/>
    <w:rsid w:val="001011C7"/>
    <w:rsid w:val="00103AAD"/>
    <w:rsid w:val="001053AB"/>
    <w:rsid w:val="00111496"/>
    <w:rsid w:val="00114203"/>
    <w:rsid w:val="001145AB"/>
    <w:rsid w:val="001149C8"/>
    <w:rsid w:val="0012062A"/>
    <w:rsid w:val="00122B48"/>
    <w:rsid w:val="0012362E"/>
    <w:rsid w:val="00123B50"/>
    <w:rsid w:val="001252D6"/>
    <w:rsid w:val="00130201"/>
    <w:rsid w:val="00131F89"/>
    <w:rsid w:val="001349C7"/>
    <w:rsid w:val="00135F8A"/>
    <w:rsid w:val="00136A50"/>
    <w:rsid w:val="00136AF3"/>
    <w:rsid w:val="00140DF5"/>
    <w:rsid w:val="00147861"/>
    <w:rsid w:val="001510E7"/>
    <w:rsid w:val="00151E7B"/>
    <w:rsid w:val="00152F78"/>
    <w:rsid w:val="00153620"/>
    <w:rsid w:val="00155CAD"/>
    <w:rsid w:val="00156ACB"/>
    <w:rsid w:val="001611B8"/>
    <w:rsid w:val="00163199"/>
    <w:rsid w:val="001668EE"/>
    <w:rsid w:val="001679B7"/>
    <w:rsid w:val="00167B3D"/>
    <w:rsid w:val="00167B86"/>
    <w:rsid w:val="0017426D"/>
    <w:rsid w:val="00175F45"/>
    <w:rsid w:val="001815E5"/>
    <w:rsid w:val="001828D7"/>
    <w:rsid w:val="0018301A"/>
    <w:rsid w:val="001950B2"/>
    <w:rsid w:val="001A679D"/>
    <w:rsid w:val="001B188B"/>
    <w:rsid w:val="001B2DAE"/>
    <w:rsid w:val="001C09C4"/>
    <w:rsid w:val="001C4574"/>
    <w:rsid w:val="001C4979"/>
    <w:rsid w:val="001C5288"/>
    <w:rsid w:val="001C5BF3"/>
    <w:rsid w:val="001D1506"/>
    <w:rsid w:val="001D3008"/>
    <w:rsid w:val="001D4517"/>
    <w:rsid w:val="001D4623"/>
    <w:rsid w:val="001D4FB7"/>
    <w:rsid w:val="001E5205"/>
    <w:rsid w:val="001E5C6D"/>
    <w:rsid w:val="001E68AE"/>
    <w:rsid w:val="001E7DEA"/>
    <w:rsid w:val="001F0388"/>
    <w:rsid w:val="001F315D"/>
    <w:rsid w:val="001F440C"/>
    <w:rsid w:val="001F505E"/>
    <w:rsid w:val="001F790B"/>
    <w:rsid w:val="00202E45"/>
    <w:rsid w:val="0020587D"/>
    <w:rsid w:val="002066A3"/>
    <w:rsid w:val="00214031"/>
    <w:rsid w:val="00214DD5"/>
    <w:rsid w:val="002162A9"/>
    <w:rsid w:val="0022173F"/>
    <w:rsid w:val="002249A5"/>
    <w:rsid w:val="00226D5F"/>
    <w:rsid w:val="0023475D"/>
    <w:rsid w:val="00247010"/>
    <w:rsid w:val="00251192"/>
    <w:rsid w:val="00251E2D"/>
    <w:rsid w:val="00254144"/>
    <w:rsid w:val="0025756E"/>
    <w:rsid w:val="002659EB"/>
    <w:rsid w:val="002712F6"/>
    <w:rsid w:val="0027395C"/>
    <w:rsid w:val="002740BC"/>
    <w:rsid w:val="00274B13"/>
    <w:rsid w:val="00274FFA"/>
    <w:rsid w:val="002755BB"/>
    <w:rsid w:val="0027720D"/>
    <w:rsid w:val="00277BDE"/>
    <w:rsid w:val="00281FB7"/>
    <w:rsid w:val="00287AFD"/>
    <w:rsid w:val="00292CE8"/>
    <w:rsid w:val="00296F9F"/>
    <w:rsid w:val="002A28D1"/>
    <w:rsid w:val="002A4822"/>
    <w:rsid w:val="002B0017"/>
    <w:rsid w:val="002B04E8"/>
    <w:rsid w:val="002B2CC4"/>
    <w:rsid w:val="002C20A1"/>
    <w:rsid w:val="002C3114"/>
    <w:rsid w:val="002C3F24"/>
    <w:rsid w:val="002C4F7D"/>
    <w:rsid w:val="002C731B"/>
    <w:rsid w:val="002C7BC2"/>
    <w:rsid w:val="002D221A"/>
    <w:rsid w:val="002E1403"/>
    <w:rsid w:val="002E1D72"/>
    <w:rsid w:val="002E314B"/>
    <w:rsid w:val="002E5BEF"/>
    <w:rsid w:val="002F0450"/>
    <w:rsid w:val="002F1CBD"/>
    <w:rsid w:val="002F4FAF"/>
    <w:rsid w:val="002F61BF"/>
    <w:rsid w:val="002F63DF"/>
    <w:rsid w:val="002F6F75"/>
    <w:rsid w:val="0030174A"/>
    <w:rsid w:val="00310CA1"/>
    <w:rsid w:val="003326B7"/>
    <w:rsid w:val="00337208"/>
    <w:rsid w:val="00337E74"/>
    <w:rsid w:val="00345E43"/>
    <w:rsid w:val="00346DB8"/>
    <w:rsid w:val="0035191D"/>
    <w:rsid w:val="00352AC4"/>
    <w:rsid w:val="0035580B"/>
    <w:rsid w:val="00356C73"/>
    <w:rsid w:val="0036142E"/>
    <w:rsid w:val="003637A9"/>
    <w:rsid w:val="0036438E"/>
    <w:rsid w:val="00370C77"/>
    <w:rsid w:val="00380405"/>
    <w:rsid w:val="00390E48"/>
    <w:rsid w:val="00392989"/>
    <w:rsid w:val="00394715"/>
    <w:rsid w:val="00396A05"/>
    <w:rsid w:val="00397D7B"/>
    <w:rsid w:val="003A1250"/>
    <w:rsid w:val="003A2A77"/>
    <w:rsid w:val="003A6AF2"/>
    <w:rsid w:val="003B07CF"/>
    <w:rsid w:val="003B4B6E"/>
    <w:rsid w:val="003B640C"/>
    <w:rsid w:val="003C4337"/>
    <w:rsid w:val="003C71C3"/>
    <w:rsid w:val="003D137F"/>
    <w:rsid w:val="003D3854"/>
    <w:rsid w:val="003D4D0B"/>
    <w:rsid w:val="003D6520"/>
    <w:rsid w:val="003D6819"/>
    <w:rsid w:val="003E3228"/>
    <w:rsid w:val="003E6326"/>
    <w:rsid w:val="003E7DFF"/>
    <w:rsid w:val="003F0817"/>
    <w:rsid w:val="003F3A26"/>
    <w:rsid w:val="003F661A"/>
    <w:rsid w:val="00400C8B"/>
    <w:rsid w:val="00404131"/>
    <w:rsid w:val="00404D13"/>
    <w:rsid w:val="0040616F"/>
    <w:rsid w:val="00406B8D"/>
    <w:rsid w:val="00407C66"/>
    <w:rsid w:val="004114D3"/>
    <w:rsid w:val="00412C0D"/>
    <w:rsid w:val="00412EFC"/>
    <w:rsid w:val="00413264"/>
    <w:rsid w:val="00425AEB"/>
    <w:rsid w:val="00427E7E"/>
    <w:rsid w:val="004317C2"/>
    <w:rsid w:val="00446748"/>
    <w:rsid w:val="00446B71"/>
    <w:rsid w:val="00446B7A"/>
    <w:rsid w:val="0044723C"/>
    <w:rsid w:val="00447572"/>
    <w:rsid w:val="00452C5A"/>
    <w:rsid w:val="0046321F"/>
    <w:rsid w:val="004676C3"/>
    <w:rsid w:val="004718B9"/>
    <w:rsid w:val="00473435"/>
    <w:rsid w:val="00473E3C"/>
    <w:rsid w:val="00474B11"/>
    <w:rsid w:val="00477051"/>
    <w:rsid w:val="0048020F"/>
    <w:rsid w:val="00485827"/>
    <w:rsid w:val="00491686"/>
    <w:rsid w:val="00491AC0"/>
    <w:rsid w:val="004A3BA6"/>
    <w:rsid w:val="004A6031"/>
    <w:rsid w:val="004A7CD9"/>
    <w:rsid w:val="004B675E"/>
    <w:rsid w:val="004C4719"/>
    <w:rsid w:val="004C7BE8"/>
    <w:rsid w:val="004D25F4"/>
    <w:rsid w:val="004D4D2E"/>
    <w:rsid w:val="004D541F"/>
    <w:rsid w:val="004D5F08"/>
    <w:rsid w:val="004E0B05"/>
    <w:rsid w:val="004E1A16"/>
    <w:rsid w:val="004E2031"/>
    <w:rsid w:val="004F15A5"/>
    <w:rsid w:val="004F16AC"/>
    <w:rsid w:val="004F5E4B"/>
    <w:rsid w:val="004F5F93"/>
    <w:rsid w:val="00504D38"/>
    <w:rsid w:val="005050A3"/>
    <w:rsid w:val="005172ED"/>
    <w:rsid w:val="00522854"/>
    <w:rsid w:val="005248E6"/>
    <w:rsid w:val="00527CAA"/>
    <w:rsid w:val="00537C7D"/>
    <w:rsid w:val="0054003A"/>
    <w:rsid w:val="0055481F"/>
    <w:rsid w:val="00556858"/>
    <w:rsid w:val="00556DC1"/>
    <w:rsid w:val="0056521E"/>
    <w:rsid w:val="00571884"/>
    <w:rsid w:val="00571D85"/>
    <w:rsid w:val="00573A2A"/>
    <w:rsid w:val="00575179"/>
    <w:rsid w:val="00576FE2"/>
    <w:rsid w:val="00582303"/>
    <w:rsid w:val="005847BF"/>
    <w:rsid w:val="0058759A"/>
    <w:rsid w:val="00590523"/>
    <w:rsid w:val="00597D79"/>
    <w:rsid w:val="005A29E7"/>
    <w:rsid w:val="005A33C5"/>
    <w:rsid w:val="005A3EC2"/>
    <w:rsid w:val="005B4EE4"/>
    <w:rsid w:val="005B5721"/>
    <w:rsid w:val="005B679C"/>
    <w:rsid w:val="005B6C11"/>
    <w:rsid w:val="005C7189"/>
    <w:rsid w:val="005D0E13"/>
    <w:rsid w:val="005D4752"/>
    <w:rsid w:val="005E44EE"/>
    <w:rsid w:val="005E6917"/>
    <w:rsid w:val="005F0A85"/>
    <w:rsid w:val="00604241"/>
    <w:rsid w:val="00605A0C"/>
    <w:rsid w:val="00606F95"/>
    <w:rsid w:val="006122D7"/>
    <w:rsid w:val="00614078"/>
    <w:rsid w:val="00620B7F"/>
    <w:rsid w:val="00620EE1"/>
    <w:rsid w:val="0062473F"/>
    <w:rsid w:val="0062798A"/>
    <w:rsid w:val="00630BB1"/>
    <w:rsid w:val="00635596"/>
    <w:rsid w:val="00642E56"/>
    <w:rsid w:val="00646B88"/>
    <w:rsid w:val="00646DF2"/>
    <w:rsid w:val="00650ECD"/>
    <w:rsid w:val="00652C5E"/>
    <w:rsid w:val="00656065"/>
    <w:rsid w:val="00657995"/>
    <w:rsid w:val="00657999"/>
    <w:rsid w:val="006705F1"/>
    <w:rsid w:val="00675E50"/>
    <w:rsid w:val="00676BFA"/>
    <w:rsid w:val="0067722C"/>
    <w:rsid w:val="00681B02"/>
    <w:rsid w:val="00686639"/>
    <w:rsid w:val="006917A2"/>
    <w:rsid w:val="006945DB"/>
    <w:rsid w:val="00694690"/>
    <w:rsid w:val="00694704"/>
    <w:rsid w:val="0069670F"/>
    <w:rsid w:val="006972F4"/>
    <w:rsid w:val="006A2D82"/>
    <w:rsid w:val="006A5A73"/>
    <w:rsid w:val="006B22CF"/>
    <w:rsid w:val="006B4DF7"/>
    <w:rsid w:val="006B59DD"/>
    <w:rsid w:val="006B608D"/>
    <w:rsid w:val="006C00FF"/>
    <w:rsid w:val="006C0D70"/>
    <w:rsid w:val="006C44E4"/>
    <w:rsid w:val="006C48C5"/>
    <w:rsid w:val="006C556F"/>
    <w:rsid w:val="006D68AA"/>
    <w:rsid w:val="006E60B0"/>
    <w:rsid w:val="006E6D6D"/>
    <w:rsid w:val="006E7B0C"/>
    <w:rsid w:val="006F3083"/>
    <w:rsid w:val="006F3456"/>
    <w:rsid w:val="006F485A"/>
    <w:rsid w:val="00705A01"/>
    <w:rsid w:val="00706404"/>
    <w:rsid w:val="00706FC5"/>
    <w:rsid w:val="007070AE"/>
    <w:rsid w:val="007150CD"/>
    <w:rsid w:val="00721E00"/>
    <w:rsid w:val="00721E2A"/>
    <w:rsid w:val="00724055"/>
    <w:rsid w:val="00727FEE"/>
    <w:rsid w:val="0073658E"/>
    <w:rsid w:val="00740144"/>
    <w:rsid w:val="00740D69"/>
    <w:rsid w:val="0074153F"/>
    <w:rsid w:val="00744AFD"/>
    <w:rsid w:val="00746D9E"/>
    <w:rsid w:val="00747902"/>
    <w:rsid w:val="0076001D"/>
    <w:rsid w:val="0076484A"/>
    <w:rsid w:val="007675EC"/>
    <w:rsid w:val="00771368"/>
    <w:rsid w:val="00783CEA"/>
    <w:rsid w:val="00784210"/>
    <w:rsid w:val="00786EC7"/>
    <w:rsid w:val="007944D0"/>
    <w:rsid w:val="00794B8F"/>
    <w:rsid w:val="007B0784"/>
    <w:rsid w:val="007B153F"/>
    <w:rsid w:val="007B5481"/>
    <w:rsid w:val="007B5AA5"/>
    <w:rsid w:val="007B7E9D"/>
    <w:rsid w:val="007C3456"/>
    <w:rsid w:val="007C4DE8"/>
    <w:rsid w:val="007C599F"/>
    <w:rsid w:val="007D2A5B"/>
    <w:rsid w:val="007D3D62"/>
    <w:rsid w:val="007D7D54"/>
    <w:rsid w:val="007E027C"/>
    <w:rsid w:val="007E0AFE"/>
    <w:rsid w:val="007E1932"/>
    <w:rsid w:val="007E2587"/>
    <w:rsid w:val="007E34F1"/>
    <w:rsid w:val="007E3DE5"/>
    <w:rsid w:val="007E5EF1"/>
    <w:rsid w:val="007F131B"/>
    <w:rsid w:val="007F6FA7"/>
    <w:rsid w:val="007F7983"/>
    <w:rsid w:val="008058DA"/>
    <w:rsid w:val="008123A2"/>
    <w:rsid w:val="00825FBE"/>
    <w:rsid w:val="008262B2"/>
    <w:rsid w:val="00842944"/>
    <w:rsid w:val="00842FC2"/>
    <w:rsid w:val="008433E5"/>
    <w:rsid w:val="0084424E"/>
    <w:rsid w:val="00845FB5"/>
    <w:rsid w:val="008475FD"/>
    <w:rsid w:val="00850A5A"/>
    <w:rsid w:val="0085217E"/>
    <w:rsid w:val="00854555"/>
    <w:rsid w:val="00855FE8"/>
    <w:rsid w:val="00857359"/>
    <w:rsid w:val="00865FF8"/>
    <w:rsid w:val="0086777C"/>
    <w:rsid w:val="0087053C"/>
    <w:rsid w:val="00870D46"/>
    <w:rsid w:val="00871BE8"/>
    <w:rsid w:val="008724F1"/>
    <w:rsid w:val="0088454C"/>
    <w:rsid w:val="00884A94"/>
    <w:rsid w:val="008909AE"/>
    <w:rsid w:val="008915CE"/>
    <w:rsid w:val="00891914"/>
    <w:rsid w:val="00896BE7"/>
    <w:rsid w:val="008A14F1"/>
    <w:rsid w:val="008A2E28"/>
    <w:rsid w:val="008A3235"/>
    <w:rsid w:val="008A3458"/>
    <w:rsid w:val="008B14D0"/>
    <w:rsid w:val="008B20AA"/>
    <w:rsid w:val="008B4362"/>
    <w:rsid w:val="008B506A"/>
    <w:rsid w:val="008C1C2A"/>
    <w:rsid w:val="008C24B1"/>
    <w:rsid w:val="008C4F3C"/>
    <w:rsid w:val="008D1CBC"/>
    <w:rsid w:val="008D7CFD"/>
    <w:rsid w:val="008D7D60"/>
    <w:rsid w:val="008E1337"/>
    <w:rsid w:val="008E2889"/>
    <w:rsid w:val="008E7ED3"/>
    <w:rsid w:val="008E7EE8"/>
    <w:rsid w:val="008F0E02"/>
    <w:rsid w:val="008F4289"/>
    <w:rsid w:val="00901E1C"/>
    <w:rsid w:val="0090569D"/>
    <w:rsid w:val="00913F42"/>
    <w:rsid w:val="00920D8B"/>
    <w:rsid w:val="00924925"/>
    <w:rsid w:val="00927766"/>
    <w:rsid w:val="00930C2D"/>
    <w:rsid w:val="009356A9"/>
    <w:rsid w:val="009362EC"/>
    <w:rsid w:val="00936B4E"/>
    <w:rsid w:val="00940C6D"/>
    <w:rsid w:val="00942609"/>
    <w:rsid w:val="009432FB"/>
    <w:rsid w:val="00945FE6"/>
    <w:rsid w:val="00953E00"/>
    <w:rsid w:val="00960F3A"/>
    <w:rsid w:val="009613B9"/>
    <w:rsid w:val="009614A8"/>
    <w:rsid w:val="0096201C"/>
    <w:rsid w:val="00962E92"/>
    <w:rsid w:val="00964681"/>
    <w:rsid w:val="00966B7C"/>
    <w:rsid w:val="009704FB"/>
    <w:rsid w:val="00973006"/>
    <w:rsid w:val="009731C7"/>
    <w:rsid w:val="00974019"/>
    <w:rsid w:val="0097559B"/>
    <w:rsid w:val="0098181A"/>
    <w:rsid w:val="00984215"/>
    <w:rsid w:val="00993A3D"/>
    <w:rsid w:val="0099658D"/>
    <w:rsid w:val="009A0DAD"/>
    <w:rsid w:val="009A1503"/>
    <w:rsid w:val="009A22C4"/>
    <w:rsid w:val="009A6ECE"/>
    <w:rsid w:val="009B362F"/>
    <w:rsid w:val="009C1767"/>
    <w:rsid w:val="009E1444"/>
    <w:rsid w:val="009E2B79"/>
    <w:rsid w:val="009E37FE"/>
    <w:rsid w:val="009E5E69"/>
    <w:rsid w:val="009F424D"/>
    <w:rsid w:val="009F73A8"/>
    <w:rsid w:val="00A06DC7"/>
    <w:rsid w:val="00A070B7"/>
    <w:rsid w:val="00A17FF1"/>
    <w:rsid w:val="00A278F0"/>
    <w:rsid w:val="00A35F0D"/>
    <w:rsid w:val="00A40CB7"/>
    <w:rsid w:val="00A4287D"/>
    <w:rsid w:val="00A4305D"/>
    <w:rsid w:val="00A442A0"/>
    <w:rsid w:val="00A50F5C"/>
    <w:rsid w:val="00A53F2F"/>
    <w:rsid w:val="00A626AB"/>
    <w:rsid w:val="00A65870"/>
    <w:rsid w:val="00A75509"/>
    <w:rsid w:val="00A80DED"/>
    <w:rsid w:val="00A82937"/>
    <w:rsid w:val="00A84015"/>
    <w:rsid w:val="00A84909"/>
    <w:rsid w:val="00A85EA1"/>
    <w:rsid w:val="00A9795C"/>
    <w:rsid w:val="00AA61EB"/>
    <w:rsid w:val="00AA7647"/>
    <w:rsid w:val="00AB05EA"/>
    <w:rsid w:val="00AB1B5C"/>
    <w:rsid w:val="00AC2E95"/>
    <w:rsid w:val="00AC77CD"/>
    <w:rsid w:val="00AE2674"/>
    <w:rsid w:val="00AF07B7"/>
    <w:rsid w:val="00AF1C0F"/>
    <w:rsid w:val="00AF2CE8"/>
    <w:rsid w:val="00AF63C9"/>
    <w:rsid w:val="00AF7F46"/>
    <w:rsid w:val="00B1266C"/>
    <w:rsid w:val="00B129BF"/>
    <w:rsid w:val="00B13647"/>
    <w:rsid w:val="00B15E9B"/>
    <w:rsid w:val="00B16D2E"/>
    <w:rsid w:val="00B17902"/>
    <w:rsid w:val="00B2205C"/>
    <w:rsid w:val="00B23F96"/>
    <w:rsid w:val="00B249AA"/>
    <w:rsid w:val="00B26A47"/>
    <w:rsid w:val="00B27641"/>
    <w:rsid w:val="00B344E5"/>
    <w:rsid w:val="00B43E7C"/>
    <w:rsid w:val="00B527B6"/>
    <w:rsid w:val="00B5363A"/>
    <w:rsid w:val="00B5608B"/>
    <w:rsid w:val="00B612CF"/>
    <w:rsid w:val="00B64588"/>
    <w:rsid w:val="00B7182E"/>
    <w:rsid w:val="00B7315C"/>
    <w:rsid w:val="00B76071"/>
    <w:rsid w:val="00B82260"/>
    <w:rsid w:val="00B82F4E"/>
    <w:rsid w:val="00B83A14"/>
    <w:rsid w:val="00B85CE7"/>
    <w:rsid w:val="00B92D91"/>
    <w:rsid w:val="00B93A8B"/>
    <w:rsid w:val="00B9474E"/>
    <w:rsid w:val="00BA2BCE"/>
    <w:rsid w:val="00BA2C8A"/>
    <w:rsid w:val="00BA3A29"/>
    <w:rsid w:val="00BA4A91"/>
    <w:rsid w:val="00BB49B3"/>
    <w:rsid w:val="00BB7841"/>
    <w:rsid w:val="00BB7C5F"/>
    <w:rsid w:val="00BC26B3"/>
    <w:rsid w:val="00BD3FA9"/>
    <w:rsid w:val="00BD3FDF"/>
    <w:rsid w:val="00BD4B5A"/>
    <w:rsid w:val="00BE289E"/>
    <w:rsid w:val="00BE2C8E"/>
    <w:rsid w:val="00BE3A91"/>
    <w:rsid w:val="00BE5AD1"/>
    <w:rsid w:val="00BE64E1"/>
    <w:rsid w:val="00BF1CB2"/>
    <w:rsid w:val="00BF4A2A"/>
    <w:rsid w:val="00BF57AB"/>
    <w:rsid w:val="00C017DA"/>
    <w:rsid w:val="00C02424"/>
    <w:rsid w:val="00C15E23"/>
    <w:rsid w:val="00C17EE3"/>
    <w:rsid w:val="00C2333D"/>
    <w:rsid w:val="00C3377F"/>
    <w:rsid w:val="00C3413E"/>
    <w:rsid w:val="00C34232"/>
    <w:rsid w:val="00C36413"/>
    <w:rsid w:val="00C37683"/>
    <w:rsid w:val="00C53A62"/>
    <w:rsid w:val="00C53F82"/>
    <w:rsid w:val="00C60B36"/>
    <w:rsid w:val="00C61051"/>
    <w:rsid w:val="00C613FE"/>
    <w:rsid w:val="00C65737"/>
    <w:rsid w:val="00C66955"/>
    <w:rsid w:val="00C706D6"/>
    <w:rsid w:val="00C72A7B"/>
    <w:rsid w:val="00C746DE"/>
    <w:rsid w:val="00C76D12"/>
    <w:rsid w:val="00C812A5"/>
    <w:rsid w:val="00C83D5E"/>
    <w:rsid w:val="00C83EF6"/>
    <w:rsid w:val="00C95BF3"/>
    <w:rsid w:val="00C96911"/>
    <w:rsid w:val="00CA2AA9"/>
    <w:rsid w:val="00CA4B84"/>
    <w:rsid w:val="00CB1372"/>
    <w:rsid w:val="00CB2529"/>
    <w:rsid w:val="00CB29A4"/>
    <w:rsid w:val="00CB3980"/>
    <w:rsid w:val="00CB7283"/>
    <w:rsid w:val="00CB7FC7"/>
    <w:rsid w:val="00CC4519"/>
    <w:rsid w:val="00CC4587"/>
    <w:rsid w:val="00CC750E"/>
    <w:rsid w:val="00CD0B35"/>
    <w:rsid w:val="00CD57BF"/>
    <w:rsid w:val="00CD722A"/>
    <w:rsid w:val="00D001DF"/>
    <w:rsid w:val="00D11481"/>
    <w:rsid w:val="00D22566"/>
    <w:rsid w:val="00D24489"/>
    <w:rsid w:val="00D24795"/>
    <w:rsid w:val="00D3015E"/>
    <w:rsid w:val="00D32E79"/>
    <w:rsid w:val="00D37020"/>
    <w:rsid w:val="00D37F11"/>
    <w:rsid w:val="00D42F71"/>
    <w:rsid w:val="00D44A3F"/>
    <w:rsid w:val="00D452E9"/>
    <w:rsid w:val="00D5169E"/>
    <w:rsid w:val="00D517CC"/>
    <w:rsid w:val="00D5486C"/>
    <w:rsid w:val="00D60389"/>
    <w:rsid w:val="00D62222"/>
    <w:rsid w:val="00D62A18"/>
    <w:rsid w:val="00D64D22"/>
    <w:rsid w:val="00D65BBE"/>
    <w:rsid w:val="00D661FD"/>
    <w:rsid w:val="00D66609"/>
    <w:rsid w:val="00D676E8"/>
    <w:rsid w:val="00D70141"/>
    <w:rsid w:val="00D74A0A"/>
    <w:rsid w:val="00D758EE"/>
    <w:rsid w:val="00D80950"/>
    <w:rsid w:val="00D823EA"/>
    <w:rsid w:val="00D82836"/>
    <w:rsid w:val="00D913CD"/>
    <w:rsid w:val="00D94D62"/>
    <w:rsid w:val="00D94FAC"/>
    <w:rsid w:val="00D970E5"/>
    <w:rsid w:val="00DA23EF"/>
    <w:rsid w:val="00DA5983"/>
    <w:rsid w:val="00DA7558"/>
    <w:rsid w:val="00DB17A2"/>
    <w:rsid w:val="00DB2436"/>
    <w:rsid w:val="00DB6C33"/>
    <w:rsid w:val="00DC1420"/>
    <w:rsid w:val="00DC3825"/>
    <w:rsid w:val="00DC4CA0"/>
    <w:rsid w:val="00DD5F7A"/>
    <w:rsid w:val="00DD67C5"/>
    <w:rsid w:val="00DD7C17"/>
    <w:rsid w:val="00DD7CBF"/>
    <w:rsid w:val="00DE2616"/>
    <w:rsid w:val="00DE6011"/>
    <w:rsid w:val="00DF14B9"/>
    <w:rsid w:val="00DF213F"/>
    <w:rsid w:val="00DF322D"/>
    <w:rsid w:val="00DF40F5"/>
    <w:rsid w:val="00DF60AE"/>
    <w:rsid w:val="00DF7A4F"/>
    <w:rsid w:val="00E00922"/>
    <w:rsid w:val="00E01623"/>
    <w:rsid w:val="00E03C91"/>
    <w:rsid w:val="00E042B3"/>
    <w:rsid w:val="00E054CC"/>
    <w:rsid w:val="00E068DE"/>
    <w:rsid w:val="00E0763E"/>
    <w:rsid w:val="00E10EC5"/>
    <w:rsid w:val="00E10ED2"/>
    <w:rsid w:val="00E30245"/>
    <w:rsid w:val="00E359C6"/>
    <w:rsid w:val="00E46C2A"/>
    <w:rsid w:val="00E46FA5"/>
    <w:rsid w:val="00E50919"/>
    <w:rsid w:val="00E50B15"/>
    <w:rsid w:val="00E52F16"/>
    <w:rsid w:val="00E53A3C"/>
    <w:rsid w:val="00E57210"/>
    <w:rsid w:val="00E6443F"/>
    <w:rsid w:val="00E702A4"/>
    <w:rsid w:val="00E801A6"/>
    <w:rsid w:val="00E80293"/>
    <w:rsid w:val="00E8300B"/>
    <w:rsid w:val="00E85CB5"/>
    <w:rsid w:val="00E868A7"/>
    <w:rsid w:val="00E86BD8"/>
    <w:rsid w:val="00E95DFF"/>
    <w:rsid w:val="00E9654B"/>
    <w:rsid w:val="00EA0719"/>
    <w:rsid w:val="00EA0B6D"/>
    <w:rsid w:val="00EA4A33"/>
    <w:rsid w:val="00EB4E96"/>
    <w:rsid w:val="00EC1534"/>
    <w:rsid w:val="00EC7E4B"/>
    <w:rsid w:val="00ED028E"/>
    <w:rsid w:val="00ED29A8"/>
    <w:rsid w:val="00ED2DF9"/>
    <w:rsid w:val="00ED3058"/>
    <w:rsid w:val="00EE17A4"/>
    <w:rsid w:val="00EE64C3"/>
    <w:rsid w:val="00EE6C2A"/>
    <w:rsid w:val="00EF73E5"/>
    <w:rsid w:val="00F018F3"/>
    <w:rsid w:val="00F0639E"/>
    <w:rsid w:val="00F1600E"/>
    <w:rsid w:val="00F16078"/>
    <w:rsid w:val="00F17D3B"/>
    <w:rsid w:val="00F27863"/>
    <w:rsid w:val="00F47BC8"/>
    <w:rsid w:val="00F47F5C"/>
    <w:rsid w:val="00F52FDA"/>
    <w:rsid w:val="00F550DC"/>
    <w:rsid w:val="00F552D0"/>
    <w:rsid w:val="00F575F2"/>
    <w:rsid w:val="00F6051F"/>
    <w:rsid w:val="00F63CF2"/>
    <w:rsid w:val="00F7142A"/>
    <w:rsid w:val="00F809C7"/>
    <w:rsid w:val="00F91247"/>
    <w:rsid w:val="00F93B25"/>
    <w:rsid w:val="00F94D23"/>
    <w:rsid w:val="00FA3927"/>
    <w:rsid w:val="00FA4503"/>
    <w:rsid w:val="00FA718B"/>
    <w:rsid w:val="00FB25F1"/>
    <w:rsid w:val="00FB31B7"/>
    <w:rsid w:val="00FB772E"/>
    <w:rsid w:val="00FC08E7"/>
    <w:rsid w:val="00FC11A7"/>
    <w:rsid w:val="00FC2771"/>
    <w:rsid w:val="00FC31E5"/>
    <w:rsid w:val="00FC34E7"/>
    <w:rsid w:val="00FC61B5"/>
    <w:rsid w:val="00FD2A73"/>
    <w:rsid w:val="00FD6CD4"/>
    <w:rsid w:val="00FE1983"/>
    <w:rsid w:val="00FE552F"/>
    <w:rsid w:val="00FF1CF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222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510E7"/>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1510E7"/>
    <w:rPr>
      <w:rFonts w:asciiTheme="majorHAnsi" w:eastAsiaTheme="majorEastAsia" w:hAnsiTheme="majorHAnsi" w:cstheme="majorBidi"/>
      <w:sz w:val="18"/>
      <w:szCs w:val="18"/>
    </w:rPr>
  </w:style>
  <w:style w:type="paragraph" w:styleId="a5">
    <w:name w:val="header"/>
    <w:basedOn w:val="a"/>
    <w:link w:val="a6"/>
    <w:uiPriority w:val="99"/>
    <w:unhideWhenUsed/>
    <w:rsid w:val="001C09C4"/>
    <w:pPr>
      <w:tabs>
        <w:tab w:val="center" w:pos="4252"/>
        <w:tab w:val="right" w:pos="8504"/>
      </w:tabs>
      <w:snapToGrid w:val="0"/>
    </w:pPr>
  </w:style>
  <w:style w:type="character" w:customStyle="1" w:styleId="a6">
    <w:name w:val="ヘッダー (文字)"/>
    <w:basedOn w:val="a0"/>
    <w:link w:val="a5"/>
    <w:uiPriority w:val="99"/>
    <w:rsid w:val="001C09C4"/>
  </w:style>
  <w:style w:type="paragraph" w:styleId="a7">
    <w:name w:val="footer"/>
    <w:basedOn w:val="a"/>
    <w:link w:val="a8"/>
    <w:uiPriority w:val="99"/>
    <w:unhideWhenUsed/>
    <w:rsid w:val="001C09C4"/>
    <w:pPr>
      <w:tabs>
        <w:tab w:val="center" w:pos="4252"/>
        <w:tab w:val="right" w:pos="8504"/>
      </w:tabs>
      <w:snapToGrid w:val="0"/>
    </w:pPr>
  </w:style>
  <w:style w:type="character" w:customStyle="1" w:styleId="a8">
    <w:name w:val="フッター (文字)"/>
    <w:basedOn w:val="a0"/>
    <w:link w:val="a7"/>
    <w:uiPriority w:val="99"/>
    <w:rsid w:val="001C09C4"/>
  </w:style>
  <w:style w:type="paragraph" w:customStyle="1" w:styleId="1">
    <w:name w:val="脚注文字列1"/>
    <w:basedOn w:val="a"/>
    <w:next w:val="a9"/>
    <w:link w:val="aa"/>
    <w:uiPriority w:val="99"/>
    <w:semiHidden/>
    <w:unhideWhenUsed/>
    <w:rsid w:val="00F16078"/>
    <w:pPr>
      <w:snapToGrid w:val="0"/>
      <w:jc w:val="left"/>
    </w:pPr>
  </w:style>
  <w:style w:type="character" w:customStyle="1" w:styleId="aa">
    <w:name w:val="脚注文字列 (文字)"/>
    <w:basedOn w:val="a0"/>
    <w:link w:val="1"/>
    <w:uiPriority w:val="99"/>
    <w:semiHidden/>
    <w:rsid w:val="00F16078"/>
  </w:style>
  <w:style w:type="character" w:styleId="ab">
    <w:name w:val="footnote reference"/>
    <w:basedOn w:val="a0"/>
    <w:uiPriority w:val="99"/>
    <w:semiHidden/>
    <w:unhideWhenUsed/>
    <w:rsid w:val="00F16078"/>
    <w:rPr>
      <w:vertAlign w:val="superscript"/>
    </w:rPr>
  </w:style>
  <w:style w:type="paragraph" w:styleId="a9">
    <w:name w:val="footnote text"/>
    <w:basedOn w:val="a"/>
    <w:link w:val="10"/>
    <w:uiPriority w:val="99"/>
    <w:semiHidden/>
    <w:unhideWhenUsed/>
    <w:rsid w:val="00F16078"/>
    <w:pPr>
      <w:snapToGrid w:val="0"/>
      <w:jc w:val="left"/>
    </w:pPr>
  </w:style>
  <w:style w:type="character" w:customStyle="1" w:styleId="10">
    <w:name w:val="脚注文字列 (文字)1"/>
    <w:basedOn w:val="a0"/>
    <w:link w:val="a9"/>
    <w:uiPriority w:val="99"/>
    <w:semiHidden/>
    <w:rsid w:val="00F16078"/>
  </w:style>
  <w:style w:type="paragraph" w:styleId="ac">
    <w:name w:val="List Paragraph"/>
    <w:basedOn w:val="a"/>
    <w:uiPriority w:val="34"/>
    <w:qFormat/>
    <w:rsid w:val="004F5F93"/>
    <w:pPr>
      <w:ind w:leftChars="400" w:left="8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510E7"/>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1510E7"/>
    <w:rPr>
      <w:rFonts w:asciiTheme="majorHAnsi" w:eastAsiaTheme="majorEastAsia" w:hAnsiTheme="majorHAnsi" w:cstheme="majorBidi"/>
      <w:sz w:val="18"/>
      <w:szCs w:val="18"/>
    </w:rPr>
  </w:style>
  <w:style w:type="paragraph" w:styleId="a5">
    <w:name w:val="header"/>
    <w:basedOn w:val="a"/>
    <w:link w:val="a6"/>
    <w:uiPriority w:val="99"/>
    <w:unhideWhenUsed/>
    <w:rsid w:val="001C09C4"/>
    <w:pPr>
      <w:tabs>
        <w:tab w:val="center" w:pos="4252"/>
        <w:tab w:val="right" w:pos="8504"/>
      </w:tabs>
      <w:snapToGrid w:val="0"/>
    </w:pPr>
  </w:style>
  <w:style w:type="character" w:customStyle="1" w:styleId="a6">
    <w:name w:val="ヘッダー (文字)"/>
    <w:basedOn w:val="a0"/>
    <w:link w:val="a5"/>
    <w:uiPriority w:val="99"/>
    <w:rsid w:val="001C09C4"/>
  </w:style>
  <w:style w:type="paragraph" w:styleId="a7">
    <w:name w:val="footer"/>
    <w:basedOn w:val="a"/>
    <w:link w:val="a8"/>
    <w:uiPriority w:val="99"/>
    <w:unhideWhenUsed/>
    <w:rsid w:val="001C09C4"/>
    <w:pPr>
      <w:tabs>
        <w:tab w:val="center" w:pos="4252"/>
        <w:tab w:val="right" w:pos="8504"/>
      </w:tabs>
      <w:snapToGrid w:val="0"/>
    </w:pPr>
  </w:style>
  <w:style w:type="character" w:customStyle="1" w:styleId="a8">
    <w:name w:val="フッター (文字)"/>
    <w:basedOn w:val="a0"/>
    <w:link w:val="a7"/>
    <w:uiPriority w:val="99"/>
    <w:rsid w:val="001C09C4"/>
  </w:style>
  <w:style w:type="paragraph" w:customStyle="1" w:styleId="1">
    <w:name w:val="脚注文字列1"/>
    <w:basedOn w:val="a"/>
    <w:next w:val="a9"/>
    <w:link w:val="aa"/>
    <w:uiPriority w:val="99"/>
    <w:semiHidden/>
    <w:unhideWhenUsed/>
    <w:rsid w:val="00F16078"/>
    <w:pPr>
      <w:snapToGrid w:val="0"/>
      <w:jc w:val="left"/>
    </w:pPr>
  </w:style>
  <w:style w:type="character" w:customStyle="1" w:styleId="aa">
    <w:name w:val="脚注文字列 (文字)"/>
    <w:basedOn w:val="a0"/>
    <w:link w:val="1"/>
    <w:uiPriority w:val="99"/>
    <w:semiHidden/>
    <w:rsid w:val="00F16078"/>
  </w:style>
  <w:style w:type="character" w:styleId="ab">
    <w:name w:val="footnote reference"/>
    <w:basedOn w:val="a0"/>
    <w:uiPriority w:val="99"/>
    <w:semiHidden/>
    <w:unhideWhenUsed/>
    <w:rsid w:val="00F16078"/>
    <w:rPr>
      <w:vertAlign w:val="superscript"/>
    </w:rPr>
  </w:style>
  <w:style w:type="paragraph" w:styleId="a9">
    <w:name w:val="footnote text"/>
    <w:basedOn w:val="a"/>
    <w:link w:val="10"/>
    <w:uiPriority w:val="99"/>
    <w:semiHidden/>
    <w:unhideWhenUsed/>
    <w:rsid w:val="00F16078"/>
    <w:pPr>
      <w:snapToGrid w:val="0"/>
      <w:jc w:val="left"/>
    </w:pPr>
  </w:style>
  <w:style w:type="character" w:customStyle="1" w:styleId="10">
    <w:name w:val="脚注文字列 (文字)1"/>
    <w:basedOn w:val="a0"/>
    <w:link w:val="a9"/>
    <w:uiPriority w:val="99"/>
    <w:semiHidden/>
    <w:rsid w:val="00F16078"/>
  </w:style>
  <w:style w:type="paragraph" w:styleId="ac">
    <w:name w:val="List Paragraph"/>
    <w:basedOn w:val="a"/>
    <w:uiPriority w:val="34"/>
    <w:qFormat/>
    <w:rsid w:val="004F5F93"/>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5.xml"/><Relationship Id="rId18" Type="http://schemas.openxmlformats.org/officeDocument/2006/relationships/chart" Target="charts/chart10.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chart" Target="charts/chart9.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5" Type="http://schemas.openxmlformats.org/officeDocument/2006/relationships/settings" Target="settings.xml"/><Relationship Id="rId15" Type="http://schemas.openxmlformats.org/officeDocument/2006/relationships/chart" Target="charts/chart7.xml"/><Relationship Id="rId23"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chart" Target="charts/chart11.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oleObject" Target="file:///D:\Documents\&#23450;&#26399;&#22577;&#21578;&#38306;&#36899;\2014&#24180;6&#26376;&#28858;&#26367;.xlsx" TargetMode="Externa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4.xlsx"/><Relationship Id="rId1" Type="http://schemas.openxmlformats.org/officeDocument/2006/relationships/themeOverride" Target="../theme/themeOverride2.xml"/></Relationships>
</file>

<file path=word/charts/_rels/chart12.xml.rels><?xml version="1.0" encoding="UTF-8" standalone="yes"?>
<Relationships xmlns="http://schemas.openxmlformats.org/package/2006/relationships"><Relationship Id="rId1" Type="http://schemas.openxmlformats.org/officeDocument/2006/relationships/oleObject" Target="file:///D:\Documents\&#23450;&#26399;&#22577;&#21578;&#38306;&#36899;\2014&#24180;6&#26376;&#22806;&#36008;&#28310;&#20633;&#3964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Documents\&#23450;&#26399;&#22577;&#21578;&#38306;&#36899;\2014&#24180;6&#26376;&#36664;&#20986;-&#20837;&#38989;.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4.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5.xml.rels><?xml version="1.0" encoding="UTF-8" standalone="yes"?>
<Relationships xmlns="http://schemas.openxmlformats.org/package/2006/relationships"><Relationship Id="rId1" Type="http://schemas.openxmlformats.org/officeDocument/2006/relationships/oleObject" Target="file:///D:\Documents\&#23450;&#26399;&#22577;&#21578;&#38306;&#36899;\2014&#24180;6&#26376;&#36031;&#26131;&#25512;&#31227;(&#25104;&#38263;&#29575;).xlsx" TargetMode="Externa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8.xml.rels><?xml version="1.0" encoding="UTF-8" standalone="yes"?>
<Relationships xmlns="http://schemas.openxmlformats.org/package/2006/relationships"><Relationship Id="rId1" Type="http://schemas.openxmlformats.org/officeDocument/2006/relationships/oleObject" Target="file:///D:\Documents\&#23450;&#26399;&#22577;&#21578;&#38306;&#36899;\2014&#24180;6&#26376;IPC&#26376;&#21029;&#19978;&#26119;&#29575;&#12539;&#32047;&#31309;.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Documents\&#23450;&#26399;&#22577;&#21578;&#38306;&#36899;\2014&#24180;5&#26376;IPC&#24180;&#29575;&#25563;&#3163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ja-JP" altLang="en-US" sz="1050"/>
              <a:t> 表１　経済活動指標　前年同期成長率</a:t>
            </a:r>
            <a:r>
              <a:rPr lang="en-US" altLang="ja-JP" sz="1050"/>
              <a:t>(</a:t>
            </a:r>
            <a:r>
              <a:rPr lang="ja-JP" altLang="en-US" sz="1050"/>
              <a:t>月別推移</a:t>
            </a:r>
            <a:r>
              <a:rPr lang="en-US" altLang="ja-JP" sz="1050"/>
              <a:t>)</a:t>
            </a:r>
            <a:endParaRPr lang="ja-JP" altLang="en-US" sz="1050"/>
          </a:p>
        </c:rich>
      </c:tx>
      <c:layout>
        <c:manualLayout>
          <c:xMode val="edge"/>
          <c:yMode val="edge"/>
          <c:x val="0.14482467469344112"/>
          <c:y val="2.4662035694345604E-2"/>
        </c:manualLayout>
      </c:layout>
      <c:overlay val="0"/>
    </c:title>
    <c:autoTitleDeleted val="0"/>
    <c:plotArea>
      <c:layout>
        <c:manualLayout>
          <c:layoutTarget val="inner"/>
          <c:xMode val="edge"/>
          <c:yMode val="edge"/>
          <c:x val="0.1215573053368329"/>
          <c:y val="9.9137200751784935E-2"/>
          <c:w val="0.62612777126263475"/>
          <c:h val="0.8137644599980558"/>
        </c:manualLayout>
      </c:layout>
      <c:barChart>
        <c:barDir val="col"/>
        <c:grouping val="clustered"/>
        <c:varyColors val="0"/>
        <c:ser>
          <c:idx val="12"/>
          <c:order val="12"/>
          <c:tx>
            <c:strRef>
              <c:f>'2014主要経済指標'!$B$16</c:f>
              <c:strCache>
                <c:ptCount val="1"/>
                <c:pt idx="0">
                  <c:v>全体</c:v>
                </c:pt>
              </c:strCache>
            </c:strRef>
          </c:tx>
          <c:invertIfNegative val="0"/>
          <c:dLbls>
            <c:dLbl>
              <c:idx val="12"/>
              <c:layout/>
              <c:showLegendKey val="0"/>
              <c:showVal val="1"/>
              <c:showCatName val="0"/>
              <c:showSerName val="0"/>
              <c:showPercent val="0"/>
              <c:showBubbleSize val="0"/>
            </c:dLbl>
            <c:dLbl>
              <c:idx val="13"/>
              <c:layout/>
              <c:showLegendKey val="0"/>
              <c:showVal val="1"/>
              <c:showCatName val="0"/>
              <c:showSerName val="0"/>
              <c:showPercent val="0"/>
              <c:showBubbleSize val="0"/>
            </c:dLbl>
            <c:txPr>
              <a:bodyPr/>
              <a:lstStyle/>
              <a:p>
                <a:pPr>
                  <a:defRPr sz="800" b="1"/>
                </a:pPr>
                <a:endParaRPr lang="ja-JP"/>
              </a:p>
            </c:txPr>
            <c:showLegendKey val="0"/>
            <c:showVal val="0"/>
            <c:showCatName val="0"/>
            <c:showSerName val="0"/>
            <c:showPercent val="0"/>
            <c:showBubbleSize val="0"/>
          </c:dLbls>
          <c:cat>
            <c:numRef>
              <c:f>'2014主要経済指標'!$C$3:$P$3</c:f>
              <c:numCache>
                <c:formatCode>yyyy"年"m"月";@</c:formatCode>
                <c:ptCount val="14"/>
                <c:pt idx="0">
                  <c:v>41395</c:v>
                </c:pt>
                <c:pt idx="1">
                  <c:v>41426</c:v>
                </c:pt>
                <c:pt idx="2">
                  <c:v>41456</c:v>
                </c:pt>
                <c:pt idx="3">
                  <c:v>41487</c:v>
                </c:pt>
                <c:pt idx="4">
                  <c:v>41518</c:v>
                </c:pt>
                <c:pt idx="5">
                  <c:v>41548</c:v>
                </c:pt>
                <c:pt idx="6">
                  <c:v>41579</c:v>
                </c:pt>
                <c:pt idx="7">
                  <c:v>41609</c:v>
                </c:pt>
                <c:pt idx="8">
                  <c:v>41640</c:v>
                </c:pt>
                <c:pt idx="9">
                  <c:v>41671</c:v>
                </c:pt>
                <c:pt idx="10">
                  <c:v>41699</c:v>
                </c:pt>
                <c:pt idx="11">
                  <c:v>41730</c:v>
                </c:pt>
                <c:pt idx="12">
                  <c:v>41760</c:v>
                </c:pt>
                <c:pt idx="13">
                  <c:v>41791</c:v>
                </c:pt>
              </c:numCache>
            </c:numRef>
          </c:cat>
          <c:val>
            <c:numRef>
              <c:f>'2014主要経済指標'!$C$16:$P$16</c:f>
              <c:numCache>
                <c:formatCode>#,##0.00</c:formatCode>
                <c:ptCount val="14"/>
                <c:pt idx="0">
                  <c:v>2.8</c:v>
                </c:pt>
                <c:pt idx="1">
                  <c:v>3.5</c:v>
                </c:pt>
                <c:pt idx="2">
                  <c:v>4.0999999999999996</c:v>
                </c:pt>
                <c:pt idx="3">
                  <c:v>4.7</c:v>
                </c:pt>
                <c:pt idx="4">
                  <c:v>5</c:v>
                </c:pt>
                <c:pt idx="5">
                  <c:v>4.8</c:v>
                </c:pt>
                <c:pt idx="6">
                  <c:v>4.2</c:v>
                </c:pt>
                <c:pt idx="7">
                  <c:v>3.6</c:v>
                </c:pt>
                <c:pt idx="8">
                  <c:v>3.6</c:v>
                </c:pt>
                <c:pt idx="9">
                  <c:v>4</c:v>
                </c:pt>
                <c:pt idx="10">
                  <c:v>4.4000000000000004</c:v>
                </c:pt>
                <c:pt idx="11">
                  <c:v>4.5</c:v>
                </c:pt>
                <c:pt idx="12" formatCode="0.00;&quot;▲ &quot;0.00">
                  <c:v>4.4000000000000004</c:v>
                </c:pt>
                <c:pt idx="13" formatCode="0.00;&quot;▲ &quot;0.00">
                  <c:v>3.6</c:v>
                </c:pt>
              </c:numCache>
            </c:numRef>
          </c:val>
        </c:ser>
        <c:ser>
          <c:idx val="13"/>
          <c:order val="13"/>
          <c:tx>
            <c:strRef>
              <c:f>'2014主要経済指標'!$B$17</c:f>
              <c:strCache>
                <c:ptCount val="1"/>
                <c:pt idx="0">
                  <c:v>フリーゾーン除く</c:v>
                </c:pt>
              </c:strCache>
            </c:strRef>
          </c:tx>
          <c:invertIfNegative val="0"/>
          <c:dLbls>
            <c:dLbl>
              <c:idx val="12"/>
              <c:layout>
                <c:manualLayout>
                  <c:x val="0"/>
                  <c:y val="-4.0627885503231764E-2"/>
                </c:manualLayout>
              </c:layout>
              <c:showLegendKey val="0"/>
              <c:showVal val="1"/>
              <c:showCatName val="0"/>
              <c:showSerName val="0"/>
              <c:showPercent val="0"/>
              <c:showBubbleSize val="0"/>
            </c:dLbl>
            <c:dLbl>
              <c:idx val="13"/>
              <c:layout>
                <c:manualLayout>
                  <c:x val="7.0422535211267607E-3"/>
                  <c:y val="1.1080332409972299E-2"/>
                </c:manualLayout>
              </c:layout>
              <c:showLegendKey val="0"/>
              <c:showVal val="1"/>
              <c:showCatName val="0"/>
              <c:showSerName val="0"/>
              <c:showPercent val="0"/>
              <c:showBubbleSize val="0"/>
            </c:dLbl>
            <c:txPr>
              <a:bodyPr/>
              <a:lstStyle/>
              <a:p>
                <a:pPr>
                  <a:defRPr sz="800" i="1"/>
                </a:pPr>
                <a:endParaRPr lang="ja-JP"/>
              </a:p>
            </c:txPr>
            <c:showLegendKey val="0"/>
            <c:showVal val="0"/>
            <c:showCatName val="0"/>
            <c:showSerName val="0"/>
            <c:showPercent val="0"/>
            <c:showBubbleSize val="0"/>
          </c:dLbls>
          <c:cat>
            <c:numRef>
              <c:f>'2014主要経済指標'!$C$3:$P$3</c:f>
              <c:numCache>
                <c:formatCode>yyyy"年"m"月";@</c:formatCode>
                <c:ptCount val="14"/>
                <c:pt idx="0">
                  <c:v>41395</c:v>
                </c:pt>
                <c:pt idx="1">
                  <c:v>41426</c:v>
                </c:pt>
                <c:pt idx="2">
                  <c:v>41456</c:v>
                </c:pt>
                <c:pt idx="3">
                  <c:v>41487</c:v>
                </c:pt>
                <c:pt idx="4">
                  <c:v>41518</c:v>
                </c:pt>
                <c:pt idx="5">
                  <c:v>41548</c:v>
                </c:pt>
                <c:pt idx="6">
                  <c:v>41579</c:v>
                </c:pt>
                <c:pt idx="7">
                  <c:v>41609</c:v>
                </c:pt>
                <c:pt idx="8">
                  <c:v>41640</c:v>
                </c:pt>
                <c:pt idx="9">
                  <c:v>41671</c:v>
                </c:pt>
                <c:pt idx="10">
                  <c:v>41699</c:v>
                </c:pt>
                <c:pt idx="11">
                  <c:v>41730</c:v>
                </c:pt>
                <c:pt idx="12">
                  <c:v>41760</c:v>
                </c:pt>
                <c:pt idx="13">
                  <c:v>41791</c:v>
                </c:pt>
              </c:numCache>
            </c:numRef>
          </c:cat>
          <c:val>
            <c:numRef>
              <c:f>'2014主要経済指標'!$C$17:$P$17</c:f>
              <c:numCache>
                <c:formatCode>General</c:formatCode>
                <c:ptCount val="14"/>
                <c:pt idx="0">
                  <c:v>2.69</c:v>
                </c:pt>
                <c:pt idx="1">
                  <c:v>2.7</c:v>
                </c:pt>
                <c:pt idx="2">
                  <c:v>2.78</c:v>
                </c:pt>
                <c:pt idx="3">
                  <c:v>2.92</c:v>
                </c:pt>
                <c:pt idx="4">
                  <c:v>3.06</c:v>
                </c:pt>
                <c:pt idx="5">
                  <c:v>3.19</c:v>
                </c:pt>
                <c:pt idx="6">
                  <c:v>3.31</c:v>
                </c:pt>
                <c:pt idx="7">
                  <c:v>3.48</c:v>
                </c:pt>
                <c:pt idx="8">
                  <c:v>3.59</c:v>
                </c:pt>
                <c:pt idx="9">
                  <c:v>4.28</c:v>
                </c:pt>
                <c:pt idx="10">
                  <c:v>4.93</c:v>
                </c:pt>
                <c:pt idx="11">
                  <c:v>4.24</c:v>
                </c:pt>
                <c:pt idx="12" formatCode="0.00;&quot;▲ &quot;0.00">
                  <c:v>4.38</c:v>
                </c:pt>
                <c:pt idx="13" formatCode="0.00;&quot;▲ &quot;0.00">
                  <c:v>5.28</c:v>
                </c:pt>
              </c:numCache>
            </c:numRef>
          </c:val>
        </c:ser>
        <c:dLbls>
          <c:showLegendKey val="0"/>
          <c:showVal val="0"/>
          <c:showCatName val="0"/>
          <c:showSerName val="0"/>
          <c:showPercent val="0"/>
          <c:showBubbleSize val="0"/>
        </c:dLbls>
        <c:gapWidth val="150"/>
        <c:axId val="90665728"/>
        <c:axId val="90667264"/>
      </c:barChart>
      <c:lineChart>
        <c:grouping val="standard"/>
        <c:varyColors val="0"/>
        <c:ser>
          <c:idx val="0"/>
          <c:order val="0"/>
          <c:tx>
            <c:strRef>
              <c:f>'2014主要経済指標'!$B$4</c:f>
              <c:strCache>
                <c:ptCount val="1"/>
                <c:pt idx="0">
                  <c:v>農業・林業・漁業</c:v>
                </c:pt>
              </c:strCache>
            </c:strRef>
          </c:tx>
          <c:dLbls>
            <c:dLbl>
              <c:idx val="12"/>
              <c:layout>
                <c:manualLayout>
                  <c:x val="-5.8685446009389672E-2"/>
                  <c:y val="-2.9547553093259463E-2"/>
                </c:manualLayout>
              </c:layout>
              <c:spPr/>
              <c:txPr>
                <a:bodyPr/>
                <a:lstStyle/>
                <a:p>
                  <a:pPr>
                    <a:defRPr sz="800"/>
                  </a:pPr>
                  <a:endParaRPr lang="ja-JP"/>
                </a:p>
              </c:txPr>
              <c:showLegendKey val="0"/>
              <c:showVal val="1"/>
              <c:showCatName val="0"/>
              <c:showSerName val="0"/>
              <c:showPercent val="0"/>
              <c:showBubbleSize val="0"/>
            </c:dLbl>
            <c:dLbl>
              <c:idx val="13"/>
              <c:layout>
                <c:manualLayout>
                  <c:x val="-3.75586854460093E-2"/>
                  <c:y val="-3.3240997229916899E-2"/>
                </c:manualLayout>
              </c:layout>
              <c:spPr/>
              <c:txPr>
                <a:bodyPr/>
                <a:lstStyle/>
                <a:p>
                  <a:pPr>
                    <a:defRPr sz="800"/>
                  </a:pPr>
                  <a:endParaRPr lang="ja-JP"/>
                </a:p>
              </c:txPr>
              <c:showLegendKey val="0"/>
              <c:showVal val="1"/>
              <c:showCatName val="0"/>
              <c:showSerName val="0"/>
              <c:showPercent val="0"/>
              <c:showBubbleSize val="0"/>
            </c:dLbl>
            <c:showLegendKey val="0"/>
            <c:showVal val="0"/>
            <c:showCatName val="0"/>
            <c:showSerName val="0"/>
            <c:showPercent val="0"/>
            <c:showBubbleSize val="0"/>
          </c:dLbls>
          <c:cat>
            <c:numRef>
              <c:f>'2014主要経済指標'!$C$3:$P$3</c:f>
              <c:numCache>
                <c:formatCode>yyyy"年"m"月";@</c:formatCode>
                <c:ptCount val="14"/>
                <c:pt idx="0">
                  <c:v>41395</c:v>
                </c:pt>
                <c:pt idx="1">
                  <c:v>41426</c:v>
                </c:pt>
                <c:pt idx="2">
                  <c:v>41456</c:v>
                </c:pt>
                <c:pt idx="3">
                  <c:v>41487</c:v>
                </c:pt>
                <c:pt idx="4">
                  <c:v>41518</c:v>
                </c:pt>
                <c:pt idx="5">
                  <c:v>41548</c:v>
                </c:pt>
                <c:pt idx="6">
                  <c:v>41579</c:v>
                </c:pt>
                <c:pt idx="7">
                  <c:v>41609</c:v>
                </c:pt>
                <c:pt idx="8">
                  <c:v>41640</c:v>
                </c:pt>
                <c:pt idx="9">
                  <c:v>41671</c:v>
                </c:pt>
                <c:pt idx="10">
                  <c:v>41699</c:v>
                </c:pt>
                <c:pt idx="11">
                  <c:v>41730</c:v>
                </c:pt>
                <c:pt idx="12">
                  <c:v>41760</c:v>
                </c:pt>
                <c:pt idx="13">
                  <c:v>41791</c:v>
                </c:pt>
              </c:numCache>
            </c:numRef>
          </c:cat>
          <c:val>
            <c:numRef>
              <c:f>'2014主要経済指標'!$C$4:$P$4</c:f>
              <c:numCache>
                <c:formatCode>#,##0.00</c:formatCode>
                <c:ptCount val="14"/>
                <c:pt idx="0">
                  <c:v>-0.20227913</c:v>
                </c:pt>
                <c:pt idx="1">
                  <c:v>0.13345050999999999</c:v>
                </c:pt>
                <c:pt idx="2">
                  <c:v>0.44379211000000002</c:v>
                </c:pt>
                <c:pt idx="3">
                  <c:v>0.71041979</c:v>
                </c:pt>
                <c:pt idx="4">
                  <c:v>1.0383669</c:v>
                </c:pt>
                <c:pt idx="5">
                  <c:v>1.5058019600000001</c:v>
                </c:pt>
                <c:pt idx="6">
                  <c:v>2.06704592</c:v>
                </c:pt>
                <c:pt idx="7">
                  <c:v>2.7958241099999999</c:v>
                </c:pt>
                <c:pt idx="8">
                  <c:v>3.9768615500000002</c:v>
                </c:pt>
                <c:pt idx="9">
                  <c:v>5.0634417000000003</c:v>
                </c:pt>
                <c:pt idx="10">
                  <c:v>6.06830231</c:v>
                </c:pt>
                <c:pt idx="11">
                  <c:v>6.76068713</c:v>
                </c:pt>
                <c:pt idx="12" formatCode="0.00;&quot;▲ &quot;0.00">
                  <c:v>6.9933189899999997</c:v>
                </c:pt>
                <c:pt idx="13" formatCode="0.00;&quot;▲ &quot;0.00">
                  <c:v>6.7817548800000003</c:v>
                </c:pt>
              </c:numCache>
            </c:numRef>
          </c:val>
          <c:smooth val="0"/>
        </c:ser>
        <c:ser>
          <c:idx val="1"/>
          <c:order val="1"/>
          <c:tx>
            <c:strRef>
              <c:f>'2014主要経済指標'!$B$5</c:f>
              <c:strCache>
                <c:ptCount val="1"/>
                <c:pt idx="0">
                  <c:v>製造業</c:v>
                </c:pt>
              </c:strCache>
            </c:strRef>
          </c:tx>
          <c:dLbls>
            <c:dLbl>
              <c:idx val="12"/>
              <c:layout>
                <c:manualLayout>
                  <c:x val="-4.4600938967136149E-2"/>
                  <c:y val="4.8014773776546629E-2"/>
                </c:manualLayout>
              </c:layout>
              <c:showLegendKey val="0"/>
              <c:showVal val="1"/>
              <c:showCatName val="0"/>
              <c:showSerName val="0"/>
              <c:showPercent val="0"/>
              <c:showBubbleSize val="0"/>
            </c:dLbl>
            <c:showLegendKey val="0"/>
            <c:showVal val="0"/>
            <c:showCatName val="0"/>
            <c:showSerName val="0"/>
            <c:showPercent val="0"/>
            <c:showBubbleSize val="0"/>
          </c:dLbls>
          <c:cat>
            <c:numRef>
              <c:f>'2014主要経済指標'!$C$3:$P$3</c:f>
              <c:numCache>
                <c:formatCode>yyyy"年"m"月";@</c:formatCode>
                <c:ptCount val="14"/>
                <c:pt idx="0">
                  <c:v>41395</c:v>
                </c:pt>
                <c:pt idx="1">
                  <c:v>41426</c:v>
                </c:pt>
                <c:pt idx="2">
                  <c:v>41456</c:v>
                </c:pt>
                <c:pt idx="3">
                  <c:v>41487</c:v>
                </c:pt>
                <c:pt idx="4">
                  <c:v>41518</c:v>
                </c:pt>
                <c:pt idx="5">
                  <c:v>41548</c:v>
                </c:pt>
                <c:pt idx="6">
                  <c:v>41579</c:v>
                </c:pt>
                <c:pt idx="7">
                  <c:v>41609</c:v>
                </c:pt>
                <c:pt idx="8">
                  <c:v>41640</c:v>
                </c:pt>
                <c:pt idx="9">
                  <c:v>41671</c:v>
                </c:pt>
                <c:pt idx="10">
                  <c:v>41699</c:v>
                </c:pt>
                <c:pt idx="11">
                  <c:v>41730</c:v>
                </c:pt>
                <c:pt idx="12">
                  <c:v>41760</c:v>
                </c:pt>
                <c:pt idx="13">
                  <c:v>41791</c:v>
                </c:pt>
              </c:numCache>
            </c:numRef>
          </c:cat>
          <c:val>
            <c:numRef>
              <c:f>'2014主要経済指標'!$C$5:$P$5</c:f>
              <c:numCache>
                <c:formatCode>#,##0.00</c:formatCode>
                <c:ptCount val="14"/>
                <c:pt idx="0">
                  <c:v>2.3115900900000002</c:v>
                </c:pt>
                <c:pt idx="1">
                  <c:v>4.8902302799999999</c:v>
                </c:pt>
                <c:pt idx="2">
                  <c:v>7.1091178700000004</c:v>
                </c:pt>
                <c:pt idx="3">
                  <c:v>9.0158120000000004</c:v>
                </c:pt>
                <c:pt idx="4">
                  <c:v>9.9537174799999999</c:v>
                </c:pt>
                <c:pt idx="5">
                  <c:v>8.8496379100000002</c:v>
                </c:pt>
                <c:pt idx="6">
                  <c:v>5.88850023</c:v>
                </c:pt>
                <c:pt idx="7">
                  <c:v>2.9474045800000002</c:v>
                </c:pt>
                <c:pt idx="8">
                  <c:v>1.91879194</c:v>
                </c:pt>
                <c:pt idx="9">
                  <c:v>2.38872412</c:v>
                </c:pt>
                <c:pt idx="10">
                  <c:v>3.06440731</c:v>
                </c:pt>
                <c:pt idx="11">
                  <c:v>3.1593061699999998</c:v>
                </c:pt>
                <c:pt idx="12" formatCode="0.00;&quot;▲ &quot;0.00">
                  <c:v>2.5788872</c:v>
                </c:pt>
                <c:pt idx="13" formatCode="0.00;&quot;▲ &quot;0.00">
                  <c:v>1.7978485</c:v>
                </c:pt>
              </c:numCache>
            </c:numRef>
          </c:val>
          <c:smooth val="0"/>
        </c:ser>
        <c:ser>
          <c:idx val="2"/>
          <c:order val="2"/>
          <c:tx>
            <c:strRef>
              <c:f>'2014主要経済指標'!$B$6</c:f>
              <c:strCache>
                <c:ptCount val="1"/>
                <c:pt idx="0">
                  <c:v>鉱山</c:v>
                </c:pt>
              </c:strCache>
            </c:strRef>
          </c:tx>
          <c:cat>
            <c:numRef>
              <c:f>'2014主要経済指標'!$C$3:$P$3</c:f>
              <c:numCache>
                <c:formatCode>yyyy"年"m"月";@</c:formatCode>
                <c:ptCount val="14"/>
                <c:pt idx="0">
                  <c:v>41395</c:v>
                </c:pt>
                <c:pt idx="1">
                  <c:v>41426</c:v>
                </c:pt>
                <c:pt idx="2">
                  <c:v>41456</c:v>
                </c:pt>
                <c:pt idx="3">
                  <c:v>41487</c:v>
                </c:pt>
                <c:pt idx="4">
                  <c:v>41518</c:v>
                </c:pt>
                <c:pt idx="5">
                  <c:v>41548</c:v>
                </c:pt>
                <c:pt idx="6">
                  <c:v>41579</c:v>
                </c:pt>
                <c:pt idx="7">
                  <c:v>41609</c:v>
                </c:pt>
                <c:pt idx="8">
                  <c:v>41640</c:v>
                </c:pt>
                <c:pt idx="9">
                  <c:v>41671</c:v>
                </c:pt>
                <c:pt idx="10">
                  <c:v>41699</c:v>
                </c:pt>
                <c:pt idx="11">
                  <c:v>41730</c:v>
                </c:pt>
                <c:pt idx="12">
                  <c:v>41760</c:v>
                </c:pt>
                <c:pt idx="13">
                  <c:v>41791</c:v>
                </c:pt>
              </c:numCache>
            </c:numRef>
          </c:cat>
          <c:val>
            <c:numRef>
              <c:f>'2014主要経済指標'!$C$6:$P$6</c:f>
              <c:numCache>
                <c:formatCode>#,##0.00</c:formatCode>
                <c:ptCount val="14"/>
                <c:pt idx="0">
                  <c:v>3.62345739</c:v>
                </c:pt>
                <c:pt idx="1">
                  <c:v>3.1614738400000002</c:v>
                </c:pt>
                <c:pt idx="2">
                  <c:v>2.7880705300000002</c:v>
                </c:pt>
                <c:pt idx="3">
                  <c:v>2.4872356600000001</c:v>
                </c:pt>
                <c:pt idx="4">
                  <c:v>2.2553903800000001</c:v>
                </c:pt>
                <c:pt idx="5">
                  <c:v>2.0867886000000002</c:v>
                </c:pt>
                <c:pt idx="6">
                  <c:v>1.9755998100000001</c:v>
                </c:pt>
                <c:pt idx="7">
                  <c:v>1.9087783</c:v>
                </c:pt>
                <c:pt idx="8">
                  <c:v>2.0303687099999999</c:v>
                </c:pt>
                <c:pt idx="9">
                  <c:v>2.14764299</c:v>
                </c:pt>
                <c:pt idx="10">
                  <c:v>2.30650822</c:v>
                </c:pt>
                <c:pt idx="11">
                  <c:v>2.5294949500000001</c:v>
                </c:pt>
                <c:pt idx="12" formatCode="0.00;&quot;▲ &quot;0.00">
                  <c:v>2.81645806</c:v>
                </c:pt>
                <c:pt idx="13" formatCode="0.00;&quot;▲ &quot;0.00">
                  <c:v>3.0761183399999998</c:v>
                </c:pt>
              </c:numCache>
            </c:numRef>
          </c:val>
          <c:smooth val="0"/>
        </c:ser>
        <c:ser>
          <c:idx val="3"/>
          <c:order val="3"/>
          <c:tx>
            <c:strRef>
              <c:f>'2014主要経済指標'!$B$7</c:f>
              <c:strCache>
                <c:ptCount val="1"/>
                <c:pt idx="0">
                  <c:v>電気・水道</c:v>
                </c:pt>
              </c:strCache>
            </c:strRef>
          </c:tx>
          <c:dLbls>
            <c:dLbl>
              <c:idx val="13"/>
              <c:layout>
                <c:manualLayout>
                  <c:x val="-3.75586854460093E-2"/>
                  <c:y val="3.6934441366574332E-2"/>
                </c:manualLayout>
              </c:layout>
              <c:spPr/>
              <c:txPr>
                <a:bodyPr/>
                <a:lstStyle/>
                <a:p>
                  <a:pPr>
                    <a:defRPr sz="800"/>
                  </a:pPr>
                  <a:endParaRPr lang="ja-JP"/>
                </a:p>
              </c:txPr>
              <c:showLegendKey val="0"/>
              <c:showVal val="1"/>
              <c:showCatName val="0"/>
              <c:showSerName val="0"/>
              <c:showPercent val="0"/>
              <c:showBubbleSize val="0"/>
            </c:dLbl>
            <c:showLegendKey val="0"/>
            <c:showVal val="0"/>
            <c:showCatName val="0"/>
            <c:showSerName val="0"/>
            <c:showPercent val="0"/>
            <c:showBubbleSize val="0"/>
          </c:dLbls>
          <c:cat>
            <c:numRef>
              <c:f>'2014主要経済指標'!$C$3:$P$3</c:f>
              <c:numCache>
                <c:formatCode>yyyy"年"m"月";@</c:formatCode>
                <c:ptCount val="14"/>
                <c:pt idx="0">
                  <c:v>41395</c:v>
                </c:pt>
                <c:pt idx="1">
                  <c:v>41426</c:v>
                </c:pt>
                <c:pt idx="2">
                  <c:v>41456</c:v>
                </c:pt>
                <c:pt idx="3">
                  <c:v>41487</c:v>
                </c:pt>
                <c:pt idx="4">
                  <c:v>41518</c:v>
                </c:pt>
                <c:pt idx="5">
                  <c:v>41548</c:v>
                </c:pt>
                <c:pt idx="6">
                  <c:v>41579</c:v>
                </c:pt>
                <c:pt idx="7">
                  <c:v>41609</c:v>
                </c:pt>
                <c:pt idx="8">
                  <c:v>41640</c:v>
                </c:pt>
                <c:pt idx="9">
                  <c:v>41671</c:v>
                </c:pt>
                <c:pt idx="10">
                  <c:v>41699</c:v>
                </c:pt>
                <c:pt idx="11">
                  <c:v>41730</c:v>
                </c:pt>
                <c:pt idx="12">
                  <c:v>41760</c:v>
                </c:pt>
                <c:pt idx="13">
                  <c:v>41791</c:v>
                </c:pt>
              </c:numCache>
            </c:numRef>
          </c:cat>
          <c:val>
            <c:numRef>
              <c:f>'2014主要経済指標'!$C$7:$P$7</c:f>
              <c:numCache>
                <c:formatCode>#,##0.00</c:formatCode>
                <c:ptCount val="14"/>
                <c:pt idx="0">
                  <c:v>0.96361026999999999</c:v>
                </c:pt>
                <c:pt idx="1">
                  <c:v>1.02181049</c:v>
                </c:pt>
                <c:pt idx="2">
                  <c:v>1.1659015699999999</c:v>
                </c:pt>
                <c:pt idx="3">
                  <c:v>0.97360804000000001</c:v>
                </c:pt>
                <c:pt idx="4">
                  <c:v>0.67852190999999995</c:v>
                </c:pt>
                <c:pt idx="5">
                  <c:v>0.54603447999999999</c:v>
                </c:pt>
                <c:pt idx="6">
                  <c:v>0.49180501999999998</c:v>
                </c:pt>
                <c:pt idx="7">
                  <c:v>0.36668233</c:v>
                </c:pt>
                <c:pt idx="8">
                  <c:v>0.49327950999999998</c:v>
                </c:pt>
                <c:pt idx="9">
                  <c:v>1.2240855399999999</c:v>
                </c:pt>
                <c:pt idx="10">
                  <c:v>1.98049034</c:v>
                </c:pt>
                <c:pt idx="11">
                  <c:v>2.0240819800000001</c:v>
                </c:pt>
                <c:pt idx="12" formatCode="0.00;&quot;▲ &quot;0.00">
                  <c:v>1.9152125499999999</c:v>
                </c:pt>
                <c:pt idx="13" formatCode="0.00;&quot;▲ &quot;0.00">
                  <c:v>1.80217049</c:v>
                </c:pt>
              </c:numCache>
            </c:numRef>
          </c:val>
          <c:smooth val="0"/>
        </c:ser>
        <c:ser>
          <c:idx val="4"/>
          <c:order val="4"/>
          <c:tx>
            <c:strRef>
              <c:f>'2014主要経済指標'!$B$8</c:f>
              <c:strCache>
                <c:ptCount val="1"/>
                <c:pt idx="0">
                  <c:v>建設</c:v>
                </c:pt>
              </c:strCache>
            </c:strRef>
          </c:tx>
          <c:cat>
            <c:numRef>
              <c:f>'2014主要経済指標'!$C$3:$P$3</c:f>
              <c:numCache>
                <c:formatCode>yyyy"年"m"月";@</c:formatCode>
                <c:ptCount val="14"/>
                <c:pt idx="0">
                  <c:v>41395</c:v>
                </c:pt>
                <c:pt idx="1">
                  <c:v>41426</c:v>
                </c:pt>
                <c:pt idx="2">
                  <c:v>41456</c:v>
                </c:pt>
                <c:pt idx="3">
                  <c:v>41487</c:v>
                </c:pt>
                <c:pt idx="4">
                  <c:v>41518</c:v>
                </c:pt>
                <c:pt idx="5">
                  <c:v>41548</c:v>
                </c:pt>
                <c:pt idx="6">
                  <c:v>41579</c:v>
                </c:pt>
                <c:pt idx="7">
                  <c:v>41609</c:v>
                </c:pt>
                <c:pt idx="8">
                  <c:v>41640</c:v>
                </c:pt>
                <c:pt idx="9">
                  <c:v>41671</c:v>
                </c:pt>
                <c:pt idx="10">
                  <c:v>41699</c:v>
                </c:pt>
                <c:pt idx="11">
                  <c:v>41730</c:v>
                </c:pt>
                <c:pt idx="12">
                  <c:v>41760</c:v>
                </c:pt>
                <c:pt idx="13">
                  <c:v>41791</c:v>
                </c:pt>
              </c:numCache>
            </c:numRef>
          </c:cat>
          <c:val>
            <c:numRef>
              <c:f>'2014主要経済指標'!$C$8:$P$8</c:f>
              <c:numCache>
                <c:formatCode>#,##0.00</c:formatCode>
                <c:ptCount val="14"/>
                <c:pt idx="0">
                  <c:v>2.4285635600000002</c:v>
                </c:pt>
                <c:pt idx="1">
                  <c:v>2.2585127300000001</c:v>
                </c:pt>
                <c:pt idx="2">
                  <c:v>1.9662649000000001</c:v>
                </c:pt>
                <c:pt idx="3">
                  <c:v>1.7260041100000001</c:v>
                </c:pt>
                <c:pt idx="4">
                  <c:v>1.5187134200000001</c:v>
                </c:pt>
                <c:pt idx="5">
                  <c:v>1.3887172400000001</c:v>
                </c:pt>
                <c:pt idx="6">
                  <c:v>1.4416604900000001</c:v>
                </c:pt>
                <c:pt idx="7">
                  <c:v>1.82356608</c:v>
                </c:pt>
                <c:pt idx="8">
                  <c:v>2.5767034</c:v>
                </c:pt>
                <c:pt idx="9">
                  <c:v>3.2364536199999998</c:v>
                </c:pt>
                <c:pt idx="10">
                  <c:v>3.66336781</c:v>
                </c:pt>
                <c:pt idx="11">
                  <c:v>3.9161786799999998</c:v>
                </c:pt>
                <c:pt idx="12" formatCode="0.00;&quot;▲ &quot;0.00">
                  <c:v>4.0087436600000004</c:v>
                </c:pt>
                <c:pt idx="13" formatCode="0.00;&quot;▲ &quot;0.00">
                  <c:v>4.2494238700000002</c:v>
                </c:pt>
              </c:numCache>
            </c:numRef>
          </c:val>
          <c:smooth val="0"/>
        </c:ser>
        <c:ser>
          <c:idx val="5"/>
          <c:order val="5"/>
          <c:tx>
            <c:strRef>
              <c:f>'2014主要経済指標'!$B$9</c:f>
              <c:strCache>
                <c:ptCount val="1"/>
                <c:pt idx="0">
                  <c:v>商業</c:v>
                </c:pt>
              </c:strCache>
            </c:strRef>
          </c:tx>
          <c:cat>
            <c:numRef>
              <c:f>'2014主要経済指標'!$C$3:$P$3</c:f>
              <c:numCache>
                <c:formatCode>yyyy"年"m"月";@</c:formatCode>
                <c:ptCount val="14"/>
                <c:pt idx="0">
                  <c:v>41395</c:v>
                </c:pt>
                <c:pt idx="1">
                  <c:v>41426</c:v>
                </c:pt>
                <c:pt idx="2">
                  <c:v>41456</c:v>
                </c:pt>
                <c:pt idx="3">
                  <c:v>41487</c:v>
                </c:pt>
                <c:pt idx="4">
                  <c:v>41518</c:v>
                </c:pt>
                <c:pt idx="5">
                  <c:v>41548</c:v>
                </c:pt>
                <c:pt idx="6">
                  <c:v>41579</c:v>
                </c:pt>
                <c:pt idx="7">
                  <c:v>41609</c:v>
                </c:pt>
                <c:pt idx="8">
                  <c:v>41640</c:v>
                </c:pt>
                <c:pt idx="9">
                  <c:v>41671</c:v>
                </c:pt>
                <c:pt idx="10">
                  <c:v>41699</c:v>
                </c:pt>
                <c:pt idx="11">
                  <c:v>41730</c:v>
                </c:pt>
                <c:pt idx="12">
                  <c:v>41760</c:v>
                </c:pt>
                <c:pt idx="13">
                  <c:v>41791</c:v>
                </c:pt>
              </c:numCache>
            </c:numRef>
          </c:cat>
          <c:val>
            <c:numRef>
              <c:f>'2014主要経済指標'!$C$9:$P$9</c:f>
              <c:numCache>
                <c:formatCode>#,##0.00</c:formatCode>
                <c:ptCount val="14"/>
                <c:pt idx="0">
                  <c:v>3.6601644100000001</c:v>
                </c:pt>
                <c:pt idx="1">
                  <c:v>3.63852954</c:v>
                </c:pt>
                <c:pt idx="2">
                  <c:v>3.5888963600000001</c:v>
                </c:pt>
                <c:pt idx="3">
                  <c:v>3.5192038800000001</c:v>
                </c:pt>
                <c:pt idx="4">
                  <c:v>3.4806916000000001</c:v>
                </c:pt>
                <c:pt idx="5">
                  <c:v>3.5257142300000002</c:v>
                </c:pt>
                <c:pt idx="6">
                  <c:v>3.5996793299999998</c:v>
                </c:pt>
                <c:pt idx="7">
                  <c:v>3.6906075500000002</c:v>
                </c:pt>
                <c:pt idx="8">
                  <c:v>3.8492635399999999</c:v>
                </c:pt>
                <c:pt idx="9">
                  <c:v>3.9814473600000002</c:v>
                </c:pt>
                <c:pt idx="10">
                  <c:v>4.0961846800000004</c:v>
                </c:pt>
                <c:pt idx="11">
                  <c:v>4.3230732600000001</c:v>
                </c:pt>
                <c:pt idx="12" formatCode="0.00;&quot;▲ &quot;0.00">
                  <c:v>4.5069925599999996</c:v>
                </c:pt>
                <c:pt idx="13" formatCode="0.00;&quot;▲ &quot;0.00">
                  <c:v>4.5749287900000004</c:v>
                </c:pt>
              </c:numCache>
            </c:numRef>
          </c:val>
          <c:smooth val="0"/>
        </c:ser>
        <c:ser>
          <c:idx val="6"/>
          <c:order val="6"/>
          <c:tx>
            <c:strRef>
              <c:f>'2014主要経済指標'!$B$10</c:f>
              <c:strCache>
                <c:ptCount val="1"/>
                <c:pt idx="0">
                  <c:v>ホテル</c:v>
                </c:pt>
              </c:strCache>
            </c:strRef>
          </c:tx>
          <c:cat>
            <c:numRef>
              <c:f>'2014主要経済指標'!$C$3:$P$3</c:f>
              <c:numCache>
                <c:formatCode>yyyy"年"m"月";@</c:formatCode>
                <c:ptCount val="14"/>
                <c:pt idx="0">
                  <c:v>41395</c:v>
                </c:pt>
                <c:pt idx="1">
                  <c:v>41426</c:v>
                </c:pt>
                <c:pt idx="2">
                  <c:v>41456</c:v>
                </c:pt>
                <c:pt idx="3">
                  <c:v>41487</c:v>
                </c:pt>
                <c:pt idx="4">
                  <c:v>41518</c:v>
                </c:pt>
                <c:pt idx="5">
                  <c:v>41548</c:v>
                </c:pt>
                <c:pt idx="6">
                  <c:v>41579</c:v>
                </c:pt>
                <c:pt idx="7">
                  <c:v>41609</c:v>
                </c:pt>
                <c:pt idx="8">
                  <c:v>41640</c:v>
                </c:pt>
                <c:pt idx="9">
                  <c:v>41671</c:v>
                </c:pt>
                <c:pt idx="10">
                  <c:v>41699</c:v>
                </c:pt>
                <c:pt idx="11">
                  <c:v>41730</c:v>
                </c:pt>
                <c:pt idx="12">
                  <c:v>41760</c:v>
                </c:pt>
                <c:pt idx="13">
                  <c:v>41791</c:v>
                </c:pt>
              </c:numCache>
            </c:numRef>
          </c:cat>
          <c:val>
            <c:numRef>
              <c:f>'2014主要経済指標'!$C$10:$P$10</c:f>
              <c:numCache>
                <c:formatCode>#,##0.00</c:formatCode>
                <c:ptCount val="14"/>
                <c:pt idx="0">
                  <c:v>3.2051001299999999</c:v>
                </c:pt>
                <c:pt idx="1">
                  <c:v>3.3056440600000001</c:v>
                </c:pt>
                <c:pt idx="2">
                  <c:v>3.4469752300000001</c:v>
                </c:pt>
                <c:pt idx="3">
                  <c:v>3.64331724</c:v>
                </c:pt>
                <c:pt idx="4">
                  <c:v>3.8692579</c:v>
                </c:pt>
                <c:pt idx="5">
                  <c:v>4.1181212399999998</c:v>
                </c:pt>
                <c:pt idx="6">
                  <c:v>4.4009994900000002</c:v>
                </c:pt>
                <c:pt idx="7">
                  <c:v>4.6984990800000004</c:v>
                </c:pt>
                <c:pt idx="8">
                  <c:v>4.6896008599999996</c:v>
                </c:pt>
                <c:pt idx="9">
                  <c:v>4.6132964899999997</c:v>
                </c:pt>
                <c:pt idx="10">
                  <c:v>4.4903586799999999</c:v>
                </c:pt>
                <c:pt idx="11">
                  <c:v>4.3728784599999999</c:v>
                </c:pt>
                <c:pt idx="12" formatCode="0.00;&quot;▲ &quot;0.00">
                  <c:v>4.0350544900000003</c:v>
                </c:pt>
                <c:pt idx="13" formatCode="0.00;&quot;▲ &quot;0.00">
                  <c:v>3.5706623500000001</c:v>
                </c:pt>
              </c:numCache>
            </c:numRef>
          </c:val>
          <c:smooth val="0"/>
        </c:ser>
        <c:ser>
          <c:idx val="7"/>
          <c:order val="7"/>
          <c:tx>
            <c:strRef>
              <c:f>'2014主要経済指標'!$B$11</c:f>
              <c:strCache>
                <c:ptCount val="1"/>
                <c:pt idx="0">
                  <c:v>運輸・倉庫・通信</c:v>
                </c:pt>
              </c:strCache>
            </c:strRef>
          </c:tx>
          <c:cat>
            <c:numRef>
              <c:f>'2014主要経済指標'!$C$3:$P$3</c:f>
              <c:numCache>
                <c:formatCode>yyyy"年"m"月";@</c:formatCode>
                <c:ptCount val="14"/>
                <c:pt idx="0">
                  <c:v>41395</c:v>
                </c:pt>
                <c:pt idx="1">
                  <c:v>41426</c:v>
                </c:pt>
                <c:pt idx="2">
                  <c:v>41456</c:v>
                </c:pt>
                <c:pt idx="3">
                  <c:v>41487</c:v>
                </c:pt>
                <c:pt idx="4">
                  <c:v>41518</c:v>
                </c:pt>
                <c:pt idx="5">
                  <c:v>41548</c:v>
                </c:pt>
                <c:pt idx="6">
                  <c:v>41579</c:v>
                </c:pt>
                <c:pt idx="7">
                  <c:v>41609</c:v>
                </c:pt>
                <c:pt idx="8">
                  <c:v>41640</c:v>
                </c:pt>
                <c:pt idx="9">
                  <c:v>41671</c:v>
                </c:pt>
                <c:pt idx="10">
                  <c:v>41699</c:v>
                </c:pt>
                <c:pt idx="11">
                  <c:v>41730</c:v>
                </c:pt>
                <c:pt idx="12">
                  <c:v>41760</c:v>
                </c:pt>
                <c:pt idx="13">
                  <c:v>41791</c:v>
                </c:pt>
              </c:numCache>
            </c:numRef>
          </c:cat>
          <c:val>
            <c:numRef>
              <c:f>'2014主要経済指標'!$C$11:$P$11</c:f>
              <c:numCache>
                <c:formatCode>#,##0.00</c:formatCode>
                <c:ptCount val="14"/>
                <c:pt idx="0">
                  <c:v>2.9315131299999999</c:v>
                </c:pt>
                <c:pt idx="1">
                  <c:v>3.3077889699999998</c:v>
                </c:pt>
                <c:pt idx="2">
                  <c:v>3.7848162699999999</c:v>
                </c:pt>
                <c:pt idx="3">
                  <c:v>4.4546318400000002</c:v>
                </c:pt>
                <c:pt idx="4">
                  <c:v>5.1092742299999996</c:v>
                </c:pt>
                <c:pt idx="5">
                  <c:v>5.9014069500000002</c:v>
                </c:pt>
                <c:pt idx="6">
                  <c:v>6.9611155399999998</c:v>
                </c:pt>
                <c:pt idx="7">
                  <c:v>7.7888171100000001</c:v>
                </c:pt>
                <c:pt idx="8">
                  <c:v>8.1652319799999997</c:v>
                </c:pt>
                <c:pt idx="9">
                  <c:v>8.2747646400000008</c:v>
                </c:pt>
                <c:pt idx="10">
                  <c:v>8.1839173499999998</c:v>
                </c:pt>
                <c:pt idx="11">
                  <c:v>8.1091732800000003</c:v>
                </c:pt>
                <c:pt idx="12" formatCode="0.00;&quot;▲ &quot;0.00">
                  <c:v>8.1351296899999994</c:v>
                </c:pt>
                <c:pt idx="13" formatCode="0.00;&quot;▲ &quot;0.00">
                  <c:v>8.2344504799999996</c:v>
                </c:pt>
              </c:numCache>
            </c:numRef>
          </c:val>
          <c:smooth val="0"/>
        </c:ser>
        <c:ser>
          <c:idx val="8"/>
          <c:order val="8"/>
          <c:tx>
            <c:strRef>
              <c:f>'2014主要経済指標'!$B$12</c:f>
              <c:strCache>
                <c:ptCount val="1"/>
                <c:pt idx="0">
                  <c:v>金融・保険</c:v>
                </c:pt>
              </c:strCache>
            </c:strRef>
          </c:tx>
          <c:cat>
            <c:numRef>
              <c:f>'2014主要経済指標'!$C$3:$P$3</c:f>
              <c:numCache>
                <c:formatCode>yyyy"年"m"月";@</c:formatCode>
                <c:ptCount val="14"/>
                <c:pt idx="0">
                  <c:v>41395</c:v>
                </c:pt>
                <c:pt idx="1">
                  <c:v>41426</c:v>
                </c:pt>
                <c:pt idx="2">
                  <c:v>41456</c:v>
                </c:pt>
                <c:pt idx="3">
                  <c:v>41487</c:v>
                </c:pt>
                <c:pt idx="4">
                  <c:v>41518</c:v>
                </c:pt>
                <c:pt idx="5">
                  <c:v>41548</c:v>
                </c:pt>
                <c:pt idx="6">
                  <c:v>41579</c:v>
                </c:pt>
                <c:pt idx="7">
                  <c:v>41609</c:v>
                </c:pt>
                <c:pt idx="8">
                  <c:v>41640</c:v>
                </c:pt>
                <c:pt idx="9">
                  <c:v>41671</c:v>
                </c:pt>
                <c:pt idx="10">
                  <c:v>41699</c:v>
                </c:pt>
                <c:pt idx="11">
                  <c:v>41730</c:v>
                </c:pt>
                <c:pt idx="12">
                  <c:v>41760</c:v>
                </c:pt>
                <c:pt idx="13">
                  <c:v>41791</c:v>
                </c:pt>
              </c:numCache>
            </c:numRef>
          </c:cat>
          <c:val>
            <c:numRef>
              <c:f>'2014主要経済指標'!$C$12:$P$12</c:f>
              <c:numCache>
                <c:formatCode>#,##0.00</c:formatCode>
                <c:ptCount val="14"/>
                <c:pt idx="0">
                  <c:v>7.6754465300000003</c:v>
                </c:pt>
                <c:pt idx="1">
                  <c:v>7.6388913399999998</c:v>
                </c:pt>
                <c:pt idx="2">
                  <c:v>7.6225189000000002</c:v>
                </c:pt>
                <c:pt idx="3">
                  <c:v>7.7497687199999996</c:v>
                </c:pt>
                <c:pt idx="4">
                  <c:v>7.9424497699999996</c:v>
                </c:pt>
                <c:pt idx="5">
                  <c:v>8.1668230299999998</c:v>
                </c:pt>
                <c:pt idx="6">
                  <c:v>8.4224160700000006</c:v>
                </c:pt>
                <c:pt idx="7">
                  <c:v>8.6176326099999994</c:v>
                </c:pt>
                <c:pt idx="8">
                  <c:v>8.9616382800000007</c:v>
                </c:pt>
                <c:pt idx="9">
                  <c:v>9.4018501000000008</c:v>
                </c:pt>
                <c:pt idx="10">
                  <c:v>9.3568743300000001</c:v>
                </c:pt>
                <c:pt idx="11">
                  <c:v>8.9674848100000002</c:v>
                </c:pt>
                <c:pt idx="12" formatCode="0.00;&quot;▲ &quot;0.00">
                  <c:v>8.8561857400000008</c:v>
                </c:pt>
                <c:pt idx="13" formatCode="0.00;&quot;▲ &quot;0.00">
                  <c:v>8.9874728899999994</c:v>
                </c:pt>
              </c:numCache>
            </c:numRef>
          </c:val>
          <c:smooth val="0"/>
        </c:ser>
        <c:ser>
          <c:idx val="9"/>
          <c:order val="9"/>
          <c:tx>
            <c:strRef>
              <c:f>'2014主要経済指標'!$B$13</c:f>
              <c:strCache>
                <c:ptCount val="1"/>
                <c:pt idx="0">
                  <c:v>企業向けサービス</c:v>
                </c:pt>
              </c:strCache>
            </c:strRef>
          </c:tx>
          <c:cat>
            <c:numRef>
              <c:f>'2014主要経済指標'!$C$3:$P$3</c:f>
              <c:numCache>
                <c:formatCode>yyyy"年"m"月";@</c:formatCode>
                <c:ptCount val="14"/>
                <c:pt idx="0">
                  <c:v>41395</c:v>
                </c:pt>
                <c:pt idx="1">
                  <c:v>41426</c:v>
                </c:pt>
                <c:pt idx="2">
                  <c:v>41456</c:v>
                </c:pt>
                <c:pt idx="3">
                  <c:v>41487</c:v>
                </c:pt>
                <c:pt idx="4">
                  <c:v>41518</c:v>
                </c:pt>
                <c:pt idx="5">
                  <c:v>41548</c:v>
                </c:pt>
                <c:pt idx="6">
                  <c:v>41579</c:v>
                </c:pt>
                <c:pt idx="7">
                  <c:v>41609</c:v>
                </c:pt>
                <c:pt idx="8">
                  <c:v>41640</c:v>
                </c:pt>
                <c:pt idx="9">
                  <c:v>41671</c:v>
                </c:pt>
                <c:pt idx="10">
                  <c:v>41699</c:v>
                </c:pt>
                <c:pt idx="11">
                  <c:v>41730</c:v>
                </c:pt>
                <c:pt idx="12">
                  <c:v>41760</c:v>
                </c:pt>
                <c:pt idx="13">
                  <c:v>41791</c:v>
                </c:pt>
              </c:numCache>
            </c:numRef>
          </c:cat>
          <c:val>
            <c:numRef>
              <c:f>'2014主要経済指標'!$C$13:$P$13</c:f>
              <c:numCache>
                <c:formatCode>#,##0.00</c:formatCode>
                <c:ptCount val="14"/>
                <c:pt idx="0">
                  <c:v>6.2428153999999996</c:v>
                </c:pt>
                <c:pt idx="1">
                  <c:v>5.3978299400000003</c:v>
                </c:pt>
                <c:pt idx="2">
                  <c:v>4.5599365299999999</c:v>
                </c:pt>
                <c:pt idx="3">
                  <c:v>4.7974709400000002</c:v>
                </c:pt>
                <c:pt idx="4">
                  <c:v>5.5325915800000001</c:v>
                </c:pt>
                <c:pt idx="5">
                  <c:v>5.4000781699999996</c:v>
                </c:pt>
                <c:pt idx="6">
                  <c:v>4.9332016699999999</c:v>
                </c:pt>
                <c:pt idx="7">
                  <c:v>5.5380332299999999</c:v>
                </c:pt>
                <c:pt idx="8">
                  <c:v>6.3489411899999997</c:v>
                </c:pt>
                <c:pt idx="9">
                  <c:v>6.2809396399999997</c:v>
                </c:pt>
                <c:pt idx="10">
                  <c:v>5.9721350800000002</c:v>
                </c:pt>
                <c:pt idx="11">
                  <c:v>5.2480761200000003</c:v>
                </c:pt>
                <c:pt idx="12" formatCode="0.00;&quot;▲ &quot;0.00">
                  <c:v>4.6821842199999999</c:v>
                </c:pt>
                <c:pt idx="13" formatCode="0.00;&quot;▲ &quot;0.00">
                  <c:v>4.8055953000000002</c:v>
                </c:pt>
              </c:numCache>
            </c:numRef>
          </c:val>
          <c:smooth val="0"/>
        </c:ser>
        <c:ser>
          <c:idx val="10"/>
          <c:order val="10"/>
          <c:tx>
            <c:strRef>
              <c:f>'2014主要経済指標'!$B$14</c:f>
              <c:strCache>
                <c:ptCount val="1"/>
                <c:pt idx="0">
                  <c:v>金融仲介サービス</c:v>
                </c:pt>
              </c:strCache>
            </c:strRef>
          </c:tx>
          <c:cat>
            <c:numRef>
              <c:f>'2014主要経済指標'!$C$3:$P$3</c:f>
              <c:numCache>
                <c:formatCode>yyyy"年"m"月";@</c:formatCode>
                <c:ptCount val="14"/>
                <c:pt idx="0">
                  <c:v>41395</c:v>
                </c:pt>
                <c:pt idx="1">
                  <c:v>41426</c:v>
                </c:pt>
                <c:pt idx="2">
                  <c:v>41456</c:v>
                </c:pt>
                <c:pt idx="3">
                  <c:v>41487</c:v>
                </c:pt>
                <c:pt idx="4">
                  <c:v>41518</c:v>
                </c:pt>
                <c:pt idx="5">
                  <c:v>41548</c:v>
                </c:pt>
                <c:pt idx="6">
                  <c:v>41579</c:v>
                </c:pt>
                <c:pt idx="7">
                  <c:v>41609</c:v>
                </c:pt>
                <c:pt idx="8">
                  <c:v>41640</c:v>
                </c:pt>
                <c:pt idx="9">
                  <c:v>41671</c:v>
                </c:pt>
                <c:pt idx="10">
                  <c:v>41699</c:v>
                </c:pt>
                <c:pt idx="11">
                  <c:v>41730</c:v>
                </c:pt>
                <c:pt idx="12">
                  <c:v>41760</c:v>
                </c:pt>
                <c:pt idx="13">
                  <c:v>41791</c:v>
                </c:pt>
              </c:numCache>
            </c:numRef>
          </c:cat>
          <c:val>
            <c:numRef>
              <c:f>'2014主要経済指標'!$C$14:$P$14</c:f>
              <c:numCache>
                <c:formatCode>#,##0.00</c:formatCode>
                <c:ptCount val="14"/>
                <c:pt idx="0">
                  <c:v>10.88017849</c:v>
                </c:pt>
                <c:pt idx="1">
                  <c:v>10.99677556</c:v>
                </c:pt>
                <c:pt idx="2">
                  <c:v>10.2920356</c:v>
                </c:pt>
                <c:pt idx="3">
                  <c:v>10.02455114</c:v>
                </c:pt>
                <c:pt idx="4">
                  <c:v>10.013675109999999</c:v>
                </c:pt>
                <c:pt idx="5">
                  <c:v>10.69994009</c:v>
                </c:pt>
                <c:pt idx="6">
                  <c:v>11.65262038</c:v>
                </c:pt>
                <c:pt idx="7">
                  <c:v>11.484914359999999</c:v>
                </c:pt>
                <c:pt idx="8">
                  <c:v>11.591890859999999</c:v>
                </c:pt>
                <c:pt idx="9">
                  <c:v>12.54165287</c:v>
                </c:pt>
                <c:pt idx="10">
                  <c:v>12.67230897</c:v>
                </c:pt>
                <c:pt idx="11">
                  <c:v>11.8853639</c:v>
                </c:pt>
                <c:pt idx="12" formatCode="0.00;&quot;▲ &quot;0.00">
                  <c:v>11.135654069999999</c:v>
                </c:pt>
                <c:pt idx="13" formatCode="0.00;&quot;▲ &quot;0.00">
                  <c:v>11.22597919</c:v>
                </c:pt>
              </c:numCache>
            </c:numRef>
          </c:val>
          <c:smooth val="0"/>
        </c:ser>
        <c:ser>
          <c:idx val="11"/>
          <c:order val="11"/>
          <c:tx>
            <c:strRef>
              <c:f>'2014主要経済指標'!$B$15</c:f>
              <c:strCache>
                <c:ptCount val="1"/>
                <c:pt idx="0">
                  <c:v>その他</c:v>
                </c:pt>
              </c:strCache>
            </c:strRef>
          </c:tx>
          <c:cat>
            <c:numRef>
              <c:f>'2014主要経済指標'!$C$3:$P$3</c:f>
              <c:numCache>
                <c:formatCode>yyyy"年"m"月";@</c:formatCode>
                <c:ptCount val="14"/>
                <c:pt idx="0">
                  <c:v>41395</c:v>
                </c:pt>
                <c:pt idx="1">
                  <c:v>41426</c:v>
                </c:pt>
                <c:pt idx="2">
                  <c:v>41456</c:v>
                </c:pt>
                <c:pt idx="3">
                  <c:v>41487</c:v>
                </c:pt>
                <c:pt idx="4">
                  <c:v>41518</c:v>
                </c:pt>
                <c:pt idx="5">
                  <c:v>41548</c:v>
                </c:pt>
                <c:pt idx="6">
                  <c:v>41579</c:v>
                </c:pt>
                <c:pt idx="7">
                  <c:v>41609</c:v>
                </c:pt>
                <c:pt idx="8">
                  <c:v>41640</c:v>
                </c:pt>
                <c:pt idx="9">
                  <c:v>41671</c:v>
                </c:pt>
                <c:pt idx="10">
                  <c:v>41699</c:v>
                </c:pt>
                <c:pt idx="11">
                  <c:v>41730</c:v>
                </c:pt>
                <c:pt idx="12">
                  <c:v>41760</c:v>
                </c:pt>
                <c:pt idx="13">
                  <c:v>41791</c:v>
                </c:pt>
              </c:numCache>
            </c:numRef>
          </c:cat>
          <c:val>
            <c:numRef>
              <c:f>'2014主要経済指標'!$C$15:$P$15</c:f>
              <c:numCache>
                <c:formatCode>#,##0.00</c:formatCode>
                <c:ptCount val="14"/>
                <c:pt idx="0">
                  <c:v>3.3564766000000001</c:v>
                </c:pt>
                <c:pt idx="1">
                  <c:v>3.3521590699999999</c:v>
                </c:pt>
                <c:pt idx="2">
                  <c:v>3.3415166300000001</c:v>
                </c:pt>
                <c:pt idx="3">
                  <c:v>3.3341947799999998</c:v>
                </c:pt>
                <c:pt idx="4">
                  <c:v>3.3225541399999998</c:v>
                </c:pt>
                <c:pt idx="5">
                  <c:v>3.2949370999999998</c:v>
                </c:pt>
                <c:pt idx="6">
                  <c:v>3.2608083300000001</c:v>
                </c:pt>
                <c:pt idx="7">
                  <c:v>3.2272209799999998</c:v>
                </c:pt>
                <c:pt idx="8">
                  <c:v>3.1984492000000002</c:v>
                </c:pt>
                <c:pt idx="9">
                  <c:v>3.1745891300000002</c:v>
                </c:pt>
                <c:pt idx="10">
                  <c:v>3.1512575599999999</c:v>
                </c:pt>
                <c:pt idx="11">
                  <c:v>3.1216656199999999</c:v>
                </c:pt>
                <c:pt idx="12" formatCode="0.00;&quot;▲ &quot;0.00">
                  <c:v>3.0937665700000001</c:v>
                </c:pt>
                <c:pt idx="13" formatCode="0.00;&quot;▲ &quot;0.00">
                  <c:v>3.0708700100000001</c:v>
                </c:pt>
              </c:numCache>
            </c:numRef>
          </c:val>
          <c:smooth val="0"/>
        </c:ser>
        <c:dLbls>
          <c:showLegendKey val="0"/>
          <c:showVal val="0"/>
          <c:showCatName val="0"/>
          <c:showSerName val="0"/>
          <c:showPercent val="0"/>
          <c:showBubbleSize val="0"/>
        </c:dLbls>
        <c:marker val="1"/>
        <c:smooth val="0"/>
        <c:axId val="90665728"/>
        <c:axId val="90667264"/>
      </c:lineChart>
      <c:dateAx>
        <c:axId val="90665728"/>
        <c:scaling>
          <c:orientation val="minMax"/>
        </c:scaling>
        <c:delete val="0"/>
        <c:axPos val="b"/>
        <c:numFmt formatCode="yyyy&quot;年&quot;m&quot;月&quot;;@" sourceLinked="1"/>
        <c:majorTickMark val="none"/>
        <c:minorTickMark val="none"/>
        <c:tickLblPos val="nextTo"/>
        <c:txPr>
          <a:bodyPr/>
          <a:lstStyle/>
          <a:p>
            <a:pPr>
              <a:defRPr sz="800"/>
            </a:pPr>
            <a:endParaRPr lang="ja-JP"/>
          </a:p>
        </c:txPr>
        <c:crossAx val="90667264"/>
        <c:crosses val="autoZero"/>
        <c:auto val="1"/>
        <c:lblOffset val="100"/>
        <c:baseTimeUnit val="months"/>
      </c:dateAx>
      <c:valAx>
        <c:axId val="90667264"/>
        <c:scaling>
          <c:orientation val="minMax"/>
        </c:scaling>
        <c:delete val="0"/>
        <c:axPos val="l"/>
        <c:majorGridlines/>
        <c:title>
          <c:tx>
            <c:rich>
              <a:bodyPr rot="0" vert="horz"/>
              <a:lstStyle/>
              <a:p>
                <a:pPr>
                  <a:defRPr b="0"/>
                </a:pPr>
                <a:r>
                  <a:rPr lang="en-US" altLang="ja-JP" b="0"/>
                  <a:t>(</a:t>
                </a:r>
                <a:r>
                  <a:rPr lang="ja-JP" altLang="en-US" b="0"/>
                  <a:t>％</a:t>
                </a:r>
                <a:r>
                  <a:rPr lang="en-US" altLang="ja-JP" b="0"/>
                  <a:t>)</a:t>
                </a:r>
                <a:endParaRPr lang="ja-JP" altLang="en-US" b="0"/>
              </a:p>
            </c:rich>
          </c:tx>
          <c:layout>
            <c:manualLayout>
              <c:xMode val="edge"/>
              <c:yMode val="edge"/>
              <c:x val="7.4760082806550596E-2"/>
              <c:y val="2.070393555376215E-2"/>
            </c:manualLayout>
          </c:layout>
          <c:overlay val="0"/>
        </c:title>
        <c:numFmt formatCode="#,##0" sourceLinked="0"/>
        <c:majorTickMark val="none"/>
        <c:minorTickMark val="none"/>
        <c:tickLblPos val="nextTo"/>
        <c:txPr>
          <a:bodyPr/>
          <a:lstStyle/>
          <a:p>
            <a:pPr>
              <a:defRPr sz="900"/>
            </a:pPr>
            <a:endParaRPr lang="ja-JP"/>
          </a:p>
        </c:txPr>
        <c:crossAx val="90665728"/>
        <c:crosses val="autoZero"/>
        <c:crossBetween val="between"/>
      </c:valAx>
    </c:plotArea>
    <c:legend>
      <c:legendPos val="r"/>
      <c:legendEntry>
        <c:idx val="0"/>
        <c:txPr>
          <a:bodyPr/>
          <a:lstStyle/>
          <a:p>
            <a:pPr>
              <a:defRPr sz="800" b="1"/>
            </a:pPr>
            <a:endParaRPr lang="ja-JP"/>
          </a:p>
        </c:txPr>
      </c:legendEntry>
      <c:legendEntry>
        <c:idx val="1"/>
        <c:txPr>
          <a:bodyPr/>
          <a:lstStyle/>
          <a:p>
            <a:pPr>
              <a:defRPr sz="800" i="1"/>
            </a:pPr>
            <a:endParaRPr lang="ja-JP"/>
          </a:p>
        </c:txPr>
      </c:legendEntry>
      <c:layout>
        <c:manualLayout>
          <c:xMode val="edge"/>
          <c:yMode val="edge"/>
          <c:x val="0.77543859649122804"/>
          <c:y val="0.1421141332402702"/>
          <c:w val="0.21988304093567251"/>
          <c:h val="0.79998201882223285"/>
        </c:manualLayout>
      </c:layout>
      <c:overlay val="0"/>
      <c:txPr>
        <a:bodyPr/>
        <a:lstStyle/>
        <a:p>
          <a:pPr>
            <a:defRPr sz="800"/>
          </a:pPr>
          <a:endParaRPr lang="ja-JP"/>
        </a:p>
      </c:txPr>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b="1"/>
            </a:pPr>
            <a:r>
              <a:rPr lang="ja-JP" altLang="en-US" sz="1050" b="1"/>
              <a:t>表</a:t>
            </a:r>
            <a:r>
              <a:rPr lang="en-US" altLang="ja-JP" sz="1050" b="1"/>
              <a:t>10</a:t>
            </a:r>
            <a:r>
              <a:rPr lang="ja-JP" altLang="en-US" sz="1050" b="1"/>
              <a:t>　為替</a:t>
            </a:r>
            <a:r>
              <a:rPr lang="en-US" altLang="ja-JP" sz="1050" b="1"/>
              <a:t>(</a:t>
            </a:r>
            <a:r>
              <a:rPr lang="ja-JP" altLang="en-US" sz="1050" b="1"/>
              <a:t>月末・銀行間買値・</a:t>
            </a:r>
            <a:r>
              <a:rPr lang="en-US" altLang="ja-JP" sz="1050" b="1"/>
              <a:t>1</a:t>
            </a:r>
            <a:r>
              <a:rPr lang="ja-JP" altLang="en-US" sz="1050" b="1"/>
              <a:t>ドル＝コロン</a:t>
            </a:r>
            <a:r>
              <a:rPr lang="en-US" altLang="ja-JP" sz="1050" b="1"/>
              <a:t>)</a:t>
            </a:r>
            <a:endParaRPr lang="ja-JP" altLang="en-US" sz="1050" b="1"/>
          </a:p>
        </c:rich>
      </c:tx>
      <c:layout/>
      <c:overlay val="0"/>
    </c:title>
    <c:autoTitleDeleted val="0"/>
    <c:plotArea>
      <c:layout>
        <c:manualLayout>
          <c:layoutTarget val="inner"/>
          <c:xMode val="edge"/>
          <c:yMode val="edge"/>
          <c:x val="0.16175240594925633"/>
          <c:y val="0.16531277340332459"/>
          <c:w val="0.80769203849519056"/>
          <c:h val="0.58808253135024591"/>
        </c:manualLayout>
      </c:layout>
      <c:lineChart>
        <c:grouping val="standard"/>
        <c:varyColors val="0"/>
        <c:ser>
          <c:idx val="0"/>
          <c:order val="0"/>
          <c:dLbls>
            <c:dLbl>
              <c:idx val="0"/>
              <c:layout>
                <c:manualLayout>
                  <c:x val="-4.1407867494823988E-2"/>
                  <c:y val="6.2893081761006442E-2"/>
                </c:manualLayout>
              </c:layout>
              <c:showLegendKey val="0"/>
              <c:showVal val="1"/>
              <c:showCatName val="0"/>
              <c:showSerName val="0"/>
              <c:showPercent val="0"/>
              <c:showBubbleSize val="0"/>
            </c:dLbl>
            <c:dLbl>
              <c:idx val="11"/>
              <c:layout>
                <c:manualLayout>
                  <c:x val="-4.9689440993788817E-2"/>
                  <c:y val="-4.1928721174004195E-2"/>
                </c:manualLayout>
              </c:layout>
              <c:showLegendKey val="0"/>
              <c:showVal val="1"/>
              <c:showCatName val="0"/>
              <c:showSerName val="0"/>
              <c:showPercent val="0"/>
              <c:showBubbleSize val="0"/>
            </c:dLbl>
            <c:dLbl>
              <c:idx val="12"/>
              <c:layout>
                <c:manualLayout>
                  <c:x val="-1.104209799861984E-2"/>
                  <c:y val="-5.4507337526205533E-2"/>
                </c:manualLayout>
              </c:layout>
              <c:showLegendKey val="0"/>
              <c:showVal val="1"/>
              <c:showCatName val="0"/>
              <c:showSerName val="0"/>
              <c:showPercent val="0"/>
              <c:showBubbleSize val="0"/>
            </c:dLbl>
            <c:numFmt formatCode="#,##0.0_);\(#,##0.0\)" sourceLinked="0"/>
            <c:showLegendKey val="0"/>
            <c:showVal val="0"/>
            <c:showCatName val="0"/>
            <c:showSerName val="0"/>
            <c:showPercent val="0"/>
            <c:showBubbleSize val="0"/>
          </c:dLbls>
          <c:cat>
            <c:numRef>
              <c:f>Hoja1!$L$24:$L$36</c:f>
              <c:numCache>
                <c:formatCode>yyyy"年"mm"月"</c:formatCode>
                <c:ptCount val="13"/>
                <c:pt idx="0">
                  <c:v>41426</c:v>
                </c:pt>
                <c:pt idx="1">
                  <c:v>41456</c:v>
                </c:pt>
                <c:pt idx="2">
                  <c:v>41487</c:v>
                </c:pt>
                <c:pt idx="3">
                  <c:v>41518</c:v>
                </c:pt>
                <c:pt idx="4">
                  <c:v>41548</c:v>
                </c:pt>
                <c:pt idx="5">
                  <c:v>41579</c:v>
                </c:pt>
                <c:pt idx="6">
                  <c:v>41609</c:v>
                </c:pt>
                <c:pt idx="7">
                  <c:v>41640</c:v>
                </c:pt>
                <c:pt idx="8">
                  <c:v>41671</c:v>
                </c:pt>
                <c:pt idx="9">
                  <c:v>41699</c:v>
                </c:pt>
                <c:pt idx="10">
                  <c:v>41730</c:v>
                </c:pt>
                <c:pt idx="11">
                  <c:v>41760</c:v>
                </c:pt>
                <c:pt idx="12">
                  <c:v>41791</c:v>
                </c:pt>
              </c:numCache>
            </c:numRef>
          </c:cat>
          <c:val>
            <c:numRef>
              <c:f>Hoja1!$M$24:$M$36</c:f>
              <c:numCache>
                <c:formatCode>#,##0.00</c:formatCode>
                <c:ptCount val="13"/>
                <c:pt idx="0">
                  <c:v>500.14000000000021</c:v>
                </c:pt>
                <c:pt idx="1">
                  <c:v>500.01</c:v>
                </c:pt>
                <c:pt idx="2">
                  <c:v>506.47999999999979</c:v>
                </c:pt>
                <c:pt idx="3">
                  <c:v>501.36</c:v>
                </c:pt>
                <c:pt idx="4">
                  <c:v>501.4099999999998</c:v>
                </c:pt>
                <c:pt idx="5">
                  <c:v>500.01</c:v>
                </c:pt>
                <c:pt idx="6">
                  <c:v>501.42999999999978</c:v>
                </c:pt>
                <c:pt idx="7">
                  <c:v>515.99</c:v>
                </c:pt>
                <c:pt idx="8">
                  <c:v>550.34999999999957</c:v>
                </c:pt>
                <c:pt idx="9">
                  <c:v>549.70000000000005</c:v>
                </c:pt>
                <c:pt idx="10">
                  <c:v>554.91</c:v>
                </c:pt>
                <c:pt idx="11">
                  <c:v>556.02</c:v>
                </c:pt>
                <c:pt idx="12">
                  <c:v>543.49</c:v>
                </c:pt>
              </c:numCache>
            </c:numRef>
          </c:val>
          <c:smooth val="0"/>
        </c:ser>
        <c:dLbls>
          <c:showLegendKey val="0"/>
          <c:showVal val="0"/>
          <c:showCatName val="0"/>
          <c:showSerName val="0"/>
          <c:showPercent val="0"/>
          <c:showBubbleSize val="0"/>
        </c:dLbls>
        <c:marker val="1"/>
        <c:smooth val="0"/>
        <c:axId val="107895040"/>
        <c:axId val="107905024"/>
      </c:lineChart>
      <c:dateAx>
        <c:axId val="107895040"/>
        <c:scaling>
          <c:orientation val="minMax"/>
        </c:scaling>
        <c:delete val="0"/>
        <c:axPos val="b"/>
        <c:numFmt formatCode="yyyy&quot;年&quot;mm&quot;月&quot;" sourceLinked="1"/>
        <c:majorTickMark val="none"/>
        <c:minorTickMark val="none"/>
        <c:tickLblPos val="nextTo"/>
        <c:txPr>
          <a:bodyPr/>
          <a:lstStyle/>
          <a:p>
            <a:pPr>
              <a:defRPr sz="900"/>
            </a:pPr>
            <a:endParaRPr lang="ja-JP"/>
          </a:p>
        </c:txPr>
        <c:crossAx val="107905024"/>
        <c:crosses val="autoZero"/>
        <c:auto val="1"/>
        <c:lblOffset val="100"/>
        <c:baseTimeUnit val="months"/>
      </c:dateAx>
      <c:valAx>
        <c:axId val="107905024"/>
        <c:scaling>
          <c:orientation val="minMax"/>
        </c:scaling>
        <c:delete val="0"/>
        <c:axPos val="l"/>
        <c:majorGridlines/>
        <c:title>
          <c:tx>
            <c:rich>
              <a:bodyPr rot="0" vert="horz"/>
              <a:lstStyle/>
              <a:p>
                <a:pPr>
                  <a:defRPr sz="900" b="0"/>
                </a:pPr>
                <a:r>
                  <a:rPr lang="en-US" altLang="ja-JP" sz="900" b="0"/>
                  <a:t>(</a:t>
                </a:r>
                <a:r>
                  <a:rPr lang="ja-JP" altLang="en-US" sz="900" b="0"/>
                  <a:t>コロン</a:t>
                </a:r>
                <a:r>
                  <a:rPr lang="en-US" altLang="ja-JP" sz="900" b="0"/>
                  <a:t>)</a:t>
                </a:r>
                <a:endParaRPr lang="ja-JP" altLang="en-US" sz="900" b="0"/>
              </a:p>
            </c:rich>
          </c:tx>
          <c:layout>
            <c:manualLayout>
              <c:xMode val="edge"/>
              <c:yMode val="edge"/>
              <c:x val="5.0362400352130104E-2"/>
              <c:y val="6.4525330560095087E-2"/>
            </c:manualLayout>
          </c:layout>
          <c:overlay val="0"/>
        </c:title>
        <c:numFmt formatCode="#,##0_);\(#,##0\)" sourceLinked="0"/>
        <c:majorTickMark val="none"/>
        <c:minorTickMark val="none"/>
        <c:tickLblPos val="nextTo"/>
        <c:crossAx val="107895040"/>
        <c:crosses val="autoZero"/>
        <c:crossBetween val="between"/>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ja-JP" altLang="en-US" sz="1000"/>
              <a:t>表</a:t>
            </a:r>
            <a:r>
              <a:rPr lang="en-US" altLang="ja-JP" sz="1000"/>
              <a:t>11</a:t>
            </a:r>
            <a:r>
              <a:rPr lang="ja-JP" altLang="en-US" sz="1000"/>
              <a:t>　貸付金利の推移</a:t>
            </a:r>
            <a:r>
              <a:rPr lang="en-US" altLang="ja-JP" sz="1000"/>
              <a:t>(</a:t>
            </a:r>
            <a:r>
              <a:rPr lang="ja-JP" altLang="en-US" sz="1000"/>
              <a:t>製造者向け</a:t>
            </a:r>
            <a:r>
              <a:rPr lang="en-US" altLang="ja-JP" sz="1000"/>
              <a:t>)</a:t>
            </a:r>
            <a:endParaRPr lang="ja-JP" altLang="en-US" sz="1000"/>
          </a:p>
        </c:rich>
      </c:tx>
      <c:layout>
        <c:manualLayout>
          <c:xMode val="edge"/>
          <c:yMode val="edge"/>
          <c:x val="0.32794366434238043"/>
          <c:y val="1.4414414414414415E-2"/>
        </c:manualLayout>
      </c:layout>
      <c:overlay val="0"/>
    </c:title>
    <c:autoTitleDeleted val="0"/>
    <c:plotArea>
      <c:layout>
        <c:manualLayout>
          <c:layoutTarget val="inner"/>
          <c:xMode val="edge"/>
          <c:yMode val="edge"/>
          <c:x val="0.11889544092377172"/>
          <c:y val="0.23152846634911378"/>
          <c:w val="0.78016530994655919"/>
          <c:h val="0.55648799455623543"/>
        </c:manualLayout>
      </c:layout>
      <c:lineChart>
        <c:grouping val="standard"/>
        <c:varyColors val="0"/>
        <c:ser>
          <c:idx val="0"/>
          <c:order val="0"/>
          <c:tx>
            <c:strRef>
              <c:f>Hoja1!$B$38</c:f>
              <c:strCache>
                <c:ptCount val="1"/>
                <c:pt idx="0">
                  <c:v>コロン建て　国立銀行</c:v>
                </c:pt>
              </c:strCache>
            </c:strRef>
          </c:tx>
          <c:dLbls>
            <c:dLbl>
              <c:idx val="13"/>
              <c:layout>
                <c:manualLayout>
                  <c:x val="-2.821869488536155E-2"/>
                  <c:y val="-5.94925634295713E-2"/>
                </c:manualLayout>
              </c:layout>
              <c:showLegendKey val="0"/>
              <c:showVal val="1"/>
              <c:showCatName val="0"/>
              <c:showSerName val="0"/>
              <c:showPercent val="0"/>
              <c:showBubbleSize val="0"/>
            </c:dLbl>
            <c:txPr>
              <a:bodyPr/>
              <a:lstStyle/>
              <a:p>
                <a:pPr>
                  <a:defRPr sz="900" i="1"/>
                </a:pPr>
                <a:endParaRPr lang="ja-JP"/>
              </a:p>
            </c:txPr>
            <c:showLegendKey val="0"/>
            <c:showVal val="0"/>
            <c:showCatName val="0"/>
            <c:showSerName val="0"/>
            <c:showPercent val="0"/>
            <c:showBubbleSize val="0"/>
          </c:dLbls>
          <c:cat>
            <c:numRef>
              <c:f>Hoja1!$A$39:$A$54</c:f>
              <c:numCache>
                <c:formatCode>General</c:formatCode>
                <c:ptCount val="16"/>
                <c:pt idx="2" formatCode="yyyy&quot;年&quot;m&quot;月&quot;">
                  <c:v>41395</c:v>
                </c:pt>
                <c:pt idx="3" formatCode="yyyy&quot;年&quot;m&quot;月&quot;">
                  <c:v>41426</c:v>
                </c:pt>
                <c:pt idx="4" formatCode="yyyy&quot;年&quot;m&quot;月&quot;">
                  <c:v>41456</c:v>
                </c:pt>
                <c:pt idx="5" formatCode="yyyy&quot;年&quot;m&quot;月&quot;">
                  <c:v>41487</c:v>
                </c:pt>
                <c:pt idx="6" formatCode="yyyy&quot;年&quot;m&quot;月&quot;">
                  <c:v>41518</c:v>
                </c:pt>
                <c:pt idx="7" formatCode="yyyy&quot;年&quot;m&quot;月&quot;">
                  <c:v>41548</c:v>
                </c:pt>
                <c:pt idx="8" formatCode="yyyy&quot;年&quot;m&quot;月&quot;">
                  <c:v>41579</c:v>
                </c:pt>
                <c:pt idx="9" formatCode="yyyy&quot;年&quot;m&quot;月&quot;">
                  <c:v>41609</c:v>
                </c:pt>
                <c:pt idx="10" formatCode="yyyy&quot;年&quot;m&quot;月&quot;">
                  <c:v>41640</c:v>
                </c:pt>
                <c:pt idx="11" formatCode="yyyy&quot;年&quot;m&quot;月&quot;">
                  <c:v>41671</c:v>
                </c:pt>
                <c:pt idx="12" formatCode="yyyy&quot;年&quot;m&quot;月&quot;">
                  <c:v>41699</c:v>
                </c:pt>
                <c:pt idx="13" formatCode="yyyy&quot;年&quot;m&quot;月&quot;">
                  <c:v>41730</c:v>
                </c:pt>
                <c:pt idx="14" formatCode="yyyy&quot;年&quot;m&quot;月&quot;">
                  <c:v>41760</c:v>
                </c:pt>
                <c:pt idx="15" formatCode="yyyy&quot;年&quot;m&quot;月&quot;">
                  <c:v>41791</c:v>
                </c:pt>
              </c:numCache>
            </c:numRef>
          </c:cat>
          <c:val>
            <c:numRef>
              <c:f>Hoja1!$B$39:$B$54</c:f>
              <c:numCache>
                <c:formatCode>General</c:formatCode>
                <c:ptCount val="16"/>
                <c:pt idx="1">
                  <c:v>0</c:v>
                </c:pt>
                <c:pt idx="2" formatCode="#,##0.00">
                  <c:v>15.60051361</c:v>
                </c:pt>
                <c:pt idx="3">
                  <c:v>14.99</c:v>
                </c:pt>
                <c:pt idx="4">
                  <c:v>14.9</c:v>
                </c:pt>
                <c:pt idx="5">
                  <c:v>13.450000000000001</c:v>
                </c:pt>
                <c:pt idx="6">
                  <c:v>13.239999999999998</c:v>
                </c:pt>
                <c:pt idx="7">
                  <c:v>13.68</c:v>
                </c:pt>
                <c:pt idx="8">
                  <c:v>13.82</c:v>
                </c:pt>
                <c:pt idx="9">
                  <c:v>14.39</c:v>
                </c:pt>
                <c:pt idx="10" formatCode="#,##0.00">
                  <c:v>14.846205169999999</c:v>
                </c:pt>
                <c:pt idx="11" formatCode="#,##0.00">
                  <c:v>14.81090873</c:v>
                </c:pt>
                <c:pt idx="12" formatCode="#,##0.00">
                  <c:v>15.036976179999998</c:v>
                </c:pt>
                <c:pt idx="13" formatCode="#,##0.00">
                  <c:v>15.57</c:v>
                </c:pt>
                <c:pt idx="14" formatCode="#,##0.00">
                  <c:v>15.68</c:v>
                </c:pt>
                <c:pt idx="15" formatCode="#,##0.00">
                  <c:v>15.76</c:v>
                </c:pt>
              </c:numCache>
            </c:numRef>
          </c:val>
          <c:smooth val="0"/>
        </c:ser>
        <c:ser>
          <c:idx val="1"/>
          <c:order val="1"/>
          <c:tx>
            <c:strRef>
              <c:f>Hoja1!$C$38</c:f>
              <c:strCache>
                <c:ptCount val="1"/>
                <c:pt idx="0">
                  <c:v>ドル建て　国立銀行</c:v>
                </c:pt>
              </c:strCache>
            </c:strRef>
          </c:tx>
          <c:dLbls>
            <c:dLbl>
              <c:idx val="13"/>
              <c:layout/>
              <c:showLegendKey val="0"/>
              <c:showVal val="1"/>
              <c:showCatName val="0"/>
              <c:showSerName val="0"/>
              <c:showPercent val="0"/>
              <c:showBubbleSize val="0"/>
            </c:dLbl>
            <c:txPr>
              <a:bodyPr/>
              <a:lstStyle/>
              <a:p>
                <a:pPr>
                  <a:defRPr sz="900" i="1"/>
                </a:pPr>
                <a:endParaRPr lang="ja-JP"/>
              </a:p>
            </c:txPr>
            <c:showLegendKey val="0"/>
            <c:showVal val="0"/>
            <c:showCatName val="0"/>
            <c:showSerName val="0"/>
            <c:showPercent val="0"/>
            <c:showBubbleSize val="0"/>
          </c:dLbls>
          <c:cat>
            <c:numRef>
              <c:f>Hoja1!$A$39:$A$54</c:f>
              <c:numCache>
                <c:formatCode>General</c:formatCode>
                <c:ptCount val="16"/>
                <c:pt idx="2" formatCode="yyyy&quot;年&quot;m&quot;月&quot;">
                  <c:v>41395</c:v>
                </c:pt>
                <c:pt idx="3" formatCode="yyyy&quot;年&quot;m&quot;月&quot;">
                  <c:v>41426</c:v>
                </c:pt>
                <c:pt idx="4" formatCode="yyyy&quot;年&quot;m&quot;月&quot;">
                  <c:v>41456</c:v>
                </c:pt>
                <c:pt idx="5" formatCode="yyyy&quot;年&quot;m&quot;月&quot;">
                  <c:v>41487</c:v>
                </c:pt>
                <c:pt idx="6" formatCode="yyyy&quot;年&quot;m&quot;月&quot;">
                  <c:v>41518</c:v>
                </c:pt>
                <c:pt idx="7" formatCode="yyyy&quot;年&quot;m&quot;月&quot;">
                  <c:v>41548</c:v>
                </c:pt>
                <c:pt idx="8" formatCode="yyyy&quot;年&quot;m&quot;月&quot;">
                  <c:v>41579</c:v>
                </c:pt>
                <c:pt idx="9" formatCode="yyyy&quot;年&quot;m&quot;月&quot;">
                  <c:v>41609</c:v>
                </c:pt>
                <c:pt idx="10" formatCode="yyyy&quot;年&quot;m&quot;月&quot;">
                  <c:v>41640</c:v>
                </c:pt>
                <c:pt idx="11" formatCode="yyyy&quot;年&quot;m&quot;月&quot;">
                  <c:v>41671</c:v>
                </c:pt>
                <c:pt idx="12" formatCode="yyyy&quot;年&quot;m&quot;月&quot;">
                  <c:v>41699</c:v>
                </c:pt>
                <c:pt idx="13" formatCode="yyyy&quot;年&quot;m&quot;月&quot;">
                  <c:v>41730</c:v>
                </c:pt>
                <c:pt idx="14" formatCode="yyyy&quot;年&quot;m&quot;月&quot;">
                  <c:v>41760</c:v>
                </c:pt>
                <c:pt idx="15" formatCode="yyyy&quot;年&quot;m&quot;月&quot;">
                  <c:v>41791</c:v>
                </c:pt>
              </c:numCache>
            </c:numRef>
          </c:cat>
          <c:val>
            <c:numRef>
              <c:f>Hoja1!$C$39:$C$54</c:f>
              <c:numCache>
                <c:formatCode>General</c:formatCode>
                <c:ptCount val="16"/>
                <c:pt idx="1">
                  <c:v>0</c:v>
                </c:pt>
                <c:pt idx="2">
                  <c:v>10.52</c:v>
                </c:pt>
                <c:pt idx="3">
                  <c:v>10.5</c:v>
                </c:pt>
                <c:pt idx="4">
                  <c:v>10.33</c:v>
                </c:pt>
                <c:pt idx="5">
                  <c:v>9.41</c:v>
                </c:pt>
                <c:pt idx="6">
                  <c:v>9.4</c:v>
                </c:pt>
                <c:pt idx="7">
                  <c:v>10.07</c:v>
                </c:pt>
                <c:pt idx="8">
                  <c:v>10.200000000000001</c:v>
                </c:pt>
                <c:pt idx="9">
                  <c:v>10.360000000000001</c:v>
                </c:pt>
                <c:pt idx="10">
                  <c:v>10.53</c:v>
                </c:pt>
                <c:pt idx="11">
                  <c:v>10.89</c:v>
                </c:pt>
                <c:pt idx="12">
                  <c:v>11.03</c:v>
                </c:pt>
                <c:pt idx="13">
                  <c:v>10.98</c:v>
                </c:pt>
                <c:pt idx="14">
                  <c:v>10.84</c:v>
                </c:pt>
                <c:pt idx="15">
                  <c:v>11.12</c:v>
                </c:pt>
              </c:numCache>
            </c:numRef>
          </c:val>
          <c:smooth val="0"/>
        </c:ser>
        <c:ser>
          <c:idx val="2"/>
          <c:order val="2"/>
          <c:tx>
            <c:strRef>
              <c:f>Hoja1!$D$38</c:f>
              <c:strCache>
                <c:ptCount val="1"/>
                <c:pt idx="0">
                  <c:v>コロン建て　民間銀行</c:v>
                </c:pt>
              </c:strCache>
            </c:strRef>
          </c:tx>
          <c:dLbls>
            <c:dLbl>
              <c:idx val="13"/>
              <c:layout/>
              <c:showLegendKey val="0"/>
              <c:showVal val="1"/>
              <c:showCatName val="0"/>
              <c:showSerName val="0"/>
              <c:showPercent val="0"/>
              <c:showBubbleSize val="0"/>
            </c:dLbl>
            <c:txPr>
              <a:bodyPr/>
              <a:lstStyle/>
              <a:p>
                <a:pPr>
                  <a:defRPr sz="900"/>
                </a:pPr>
                <a:endParaRPr lang="ja-JP"/>
              </a:p>
            </c:txPr>
            <c:showLegendKey val="0"/>
            <c:showVal val="0"/>
            <c:showCatName val="0"/>
            <c:showSerName val="0"/>
            <c:showPercent val="0"/>
            <c:showBubbleSize val="0"/>
          </c:dLbls>
          <c:cat>
            <c:numRef>
              <c:f>Hoja1!$A$39:$A$54</c:f>
              <c:numCache>
                <c:formatCode>General</c:formatCode>
                <c:ptCount val="16"/>
                <c:pt idx="2" formatCode="yyyy&quot;年&quot;m&quot;月&quot;">
                  <c:v>41395</c:v>
                </c:pt>
                <c:pt idx="3" formatCode="yyyy&quot;年&quot;m&quot;月&quot;">
                  <c:v>41426</c:v>
                </c:pt>
                <c:pt idx="4" formatCode="yyyy&quot;年&quot;m&quot;月&quot;">
                  <c:v>41456</c:v>
                </c:pt>
                <c:pt idx="5" formatCode="yyyy&quot;年&quot;m&quot;月&quot;">
                  <c:v>41487</c:v>
                </c:pt>
                <c:pt idx="6" formatCode="yyyy&quot;年&quot;m&quot;月&quot;">
                  <c:v>41518</c:v>
                </c:pt>
                <c:pt idx="7" formatCode="yyyy&quot;年&quot;m&quot;月&quot;">
                  <c:v>41548</c:v>
                </c:pt>
                <c:pt idx="8" formatCode="yyyy&quot;年&quot;m&quot;月&quot;">
                  <c:v>41579</c:v>
                </c:pt>
                <c:pt idx="9" formatCode="yyyy&quot;年&quot;m&quot;月&quot;">
                  <c:v>41609</c:v>
                </c:pt>
                <c:pt idx="10" formatCode="yyyy&quot;年&quot;m&quot;月&quot;">
                  <c:v>41640</c:v>
                </c:pt>
                <c:pt idx="11" formatCode="yyyy&quot;年&quot;m&quot;月&quot;">
                  <c:v>41671</c:v>
                </c:pt>
                <c:pt idx="12" formatCode="yyyy&quot;年&quot;m&quot;月&quot;">
                  <c:v>41699</c:v>
                </c:pt>
                <c:pt idx="13" formatCode="yyyy&quot;年&quot;m&quot;月&quot;">
                  <c:v>41730</c:v>
                </c:pt>
                <c:pt idx="14" formatCode="yyyy&quot;年&quot;m&quot;月&quot;">
                  <c:v>41760</c:v>
                </c:pt>
                <c:pt idx="15" formatCode="yyyy&quot;年&quot;m&quot;月&quot;">
                  <c:v>41791</c:v>
                </c:pt>
              </c:numCache>
            </c:numRef>
          </c:cat>
          <c:val>
            <c:numRef>
              <c:f>Hoja1!$D$39:$D$54</c:f>
              <c:numCache>
                <c:formatCode>General</c:formatCode>
                <c:ptCount val="16"/>
                <c:pt idx="1">
                  <c:v>0</c:v>
                </c:pt>
                <c:pt idx="2" formatCode="#,##0.00">
                  <c:v>15.56992545</c:v>
                </c:pt>
                <c:pt idx="3" formatCode="#,##0.00">
                  <c:v>15.618577979999998</c:v>
                </c:pt>
                <c:pt idx="4" formatCode="#,##0.00">
                  <c:v>15.541541449999999</c:v>
                </c:pt>
                <c:pt idx="5" formatCode="#,##0.00">
                  <c:v>15.798410159999998</c:v>
                </c:pt>
                <c:pt idx="6" formatCode="#,##0.00">
                  <c:v>15.959327530000001</c:v>
                </c:pt>
                <c:pt idx="7" formatCode="#,##0.00">
                  <c:v>16.525362399999995</c:v>
                </c:pt>
                <c:pt idx="8" formatCode="#,##0.00">
                  <c:v>16.553779029999998</c:v>
                </c:pt>
                <c:pt idx="9" formatCode="#,##0.00">
                  <c:v>16.631700899999995</c:v>
                </c:pt>
                <c:pt idx="10" formatCode="#,##0.00">
                  <c:v>17.479379479999995</c:v>
                </c:pt>
                <c:pt idx="11" formatCode="#,##0.00">
                  <c:v>17.40694736</c:v>
                </c:pt>
                <c:pt idx="12" formatCode="#,##0.00">
                  <c:v>18.481215339999995</c:v>
                </c:pt>
                <c:pt idx="13" formatCode="#,##0.00">
                  <c:v>16.8</c:v>
                </c:pt>
                <c:pt idx="14" formatCode="#,##0.00">
                  <c:v>15.6</c:v>
                </c:pt>
                <c:pt idx="15" formatCode="#,##0.00">
                  <c:v>15.47</c:v>
                </c:pt>
              </c:numCache>
            </c:numRef>
          </c:val>
          <c:smooth val="0"/>
        </c:ser>
        <c:ser>
          <c:idx val="3"/>
          <c:order val="3"/>
          <c:tx>
            <c:strRef>
              <c:f>Hoja1!$E$38</c:f>
              <c:strCache>
                <c:ptCount val="1"/>
                <c:pt idx="0">
                  <c:v>ドル建て　民間銀行</c:v>
                </c:pt>
              </c:strCache>
            </c:strRef>
          </c:tx>
          <c:dLbls>
            <c:dLbl>
              <c:idx val="13"/>
              <c:layout>
                <c:manualLayout>
                  <c:x val="-2.3515579071134628E-2"/>
                  <c:y val="2.4496937882764719E-2"/>
                </c:manualLayout>
              </c:layout>
              <c:showLegendKey val="0"/>
              <c:showVal val="1"/>
              <c:showCatName val="0"/>
              <c:showSerName val="0"/>
              <c:showPercent val="0"/>
              <c:showBubbleSize val="0"/>
            </c:dLbl>
            <c:txPr>
              <a:bodyPr/>
              <a:lstStyle/>
              <a:p>
                <a:pPr>
                  <a:defRPr sz="900"/>
                </a:pPr>
                <a:endParaRPr lang="ja-JP"/>
              </a:p>
            </c:txPr>
            <c:showLegendKey val="0"/>
            <c:showVal val="0"/>
            <c:showCatName val="0"/>
            <c:showSerName val="0"/>
            <c:showPercent val="0"/>
            <c:showBubbleSize val="0"/>
          </c:dLbls>
          <c:cat>
            <c:numRef>
              <c:f>Hoja1!$A$39:$A$54</c:f>
              <c:numCache>
                <c:formatCode>General</c:formatCode>
                <c:ptCount val="16"/>
                <c:pt idx="2" formatCode="yyyy&quot;年&quot;m&quot;月&quot;">
                  <c:v>41395</c:v>
                </c:pt>
                <c:pt idx="3" formatCode="yyyy&quot;年&quot;m&quot;月&quot;">
                  <c:v>41426</c:v>
                </c:pt>
                <c:pt idx="4" formatCode="yyyy&quot;年&quot;m&quot;月&quot;">
                  <c:v>41456</c:v>
                </c:pt>
                <c:pt idx="5" formatCode="yyyy&quot;年&quot;m&quot;月&quot;">
                  <c:v>41487</c:v>
                </c:pt>
                <c:pt idx="6" formatCode="yyyy&quot;年&quot;m&quot;月&quot;">
                  <c:v>41518</c:v>
                </c:pt>
                <c:pt idx="7" formatCode="yyyy&quot;年&quot;m&quot;月&quot;">
                  <c:v>41548</c:v>
                </c:pt>
                <c:pt idx="8" formatCode="yyyy&quot;年&quot;m&quot;月&quot;">
                  <c:v>41579</c:v>
                </c:pt>
                <c:pt idx="9" formatCode="yyyy&quot;年&quot;m&quot;月&quot;">
                  <c:v>41609</c:v>
                </c:pt>
                <c:pt idx="10" formatCode="yyyy&quot;年&quot;m&quot;月&quot;">
                  <c:v>41640</c:v>
                </c:pt>
                <c:pt idx="11" formatCode="yyyy&quot;年&quot;m&quot;月&quot;">
                  <c:v>41671</c:v>
                </c:pt>
                <c:pt idx="12" formatCode="yyyy&quot;年&quot;m&quot;月&quot;">
                  <c:v>41699</c:v>
                </c:pt>
                <c:pt idx="13" formatCode="yyyy&quot;年&quot;m&quot;月&quot;">
                  <c:v>41730</c:v>
                </c:pt>
                <c:pt idx="14" formatCode="yyyy&quot;年&quot;m&quot;月&quot;">
                  <c:v>41760</c:v>
                </c:pt>
                <c:pt idx="15" formatCode="yyyy&quot;年&quot;m&quot;月&quot;">
                  <c:v>41791</c:v>
                </c:pt>
              </c:numCache>
            </c:numRef>
          </c:cat>
          <c:val>
            <c:numRef>
              <c:f>Hoja1!$E$39:$E$54</c:f>
              <c:numCache>
                <c:formatCode>General</c:formatCode>
                <c:ptCount val="16"/>
                <c:pt idx="2" formatCode="#,##0.00">
                  <c:v>8.7434376500000006</c:v>
                </c:pt>
                <c:pt idx="3" formatCode="#,##0.00">
                  <c:v>8.6728081499999998</c:v>
                </c:pt>
                <c:pt idx="4" formatCode="#,##0.00">
                  <c:v>8.9016103200000014</c:v>
                </c:pt>
                <c:pt idx="5" formatCode="#,##0.00">
                  <c:v>8.85126363</c:v>
                </c:pt>
                <c:pt idx="6" formatCode="#,##0.00">
                  <c:v>8.8784769600000004</c:v>
                </c:pt>
                <c:pt idx="7" formatCode="#,##0.00">
                  <c:v>9.2223639799999972</c:v>
                </c:pt>
                <c:pt idx="8" formatCode="#,##0.00">
                  <c:v>9.3767110200000001</c:v>
                </c:pt>
                <c:pt idx="9" formatCode="#,##0.00">
                  <c:v>9.478106480000001</c:v>
                </c:pt>
                <c:pt idx="10" formatCode="#,##0.00">
                  <c:v>10.030506070000001</c:v>
                </c:pt>
                <c:pt idx="11" formatCode="#,##0.00">
                  <c:v>10.060305870000002</c:v>
                </c:pt>
                <c:pt idx="12" formatCode="#,##0.00">
                  <c:v>10.117023779999997</c:v>
                </c:pt>
                <c:pt idx="13" formatCode="#,##0.00">
                  <c:v>10</c:v>
                </c:pt>
                <c:pt idx="14" formatCode="#,##0.00">
                  <c:v>9.83</c:v>
                </c:pt>
                <c:pt idx="15" formatCode="#,##0.00">
                  <c:v>9.6399999999999988</c:v>
                </c:pt>
              </c:numCache>
            </c:numRef>
          </c:val>
          <c:smooth val="0"/>
        </c:ser>
        <c:ser>
          <c:idx val="4"/>
          <c:order val="4"/>
          <c:tx>
            <c:strRef>
              <c:f>Hoja1!$F$38</c:f>
              <c:strCache>
                <c:ptCount val="1"/>
                <c:pt idx="0">
                  <c:v>基本預金金利(TBP)</c:v>
                </c:pt>
              </c:strCache>
            </c:strRef>
          </c:tx>
          <c:dLbls>
            <c:dLbl>
              <c:idx val="11"/>
              <c:layout>
                <c:manualLayout>
                  <c:x val="-4.9382716049382713E-2"/>
                  <c:y val="6.2992125984251968E-2"/>
                </c:manualLayout>
              </c:layout>
              <c:showLegendKey val="0"/>
              <c:showVal val="1"/>
              <c:showCatName val="0"/>
              <c:showSerName val="0"/>
              <c:showPercent val="0"/>
              <c:showBubbleSize val="0"/>
            </c:dLbl>
            <c:dLbl>
              <c:idx val="12"/>
              <c:layout>
                <c:manualLayout>
                  <c:x val="-3.5273368606701938E-2"/>
                  <c:y val="4.1994750656167978E-2"/>
                </c:manualLayout>
              </c:layout>
              <c:showLegendKey val="0"/>
              <c:showVal val="1"/>
              <c:showCatName val="0"/>
              <c:showSerName val="0"/>
              <c:showPercent val="0"/>
              <c:showBubbleSize val="0"/>
            </c:dLbl>
            <c:dLbl>
              <c:idx val="13"/>
              <c:layout>
                <c:manualLayout>
                  <c:x val="-2.821869488536155E-2"/>
                  <c:y val="4.8993875765529306E-2"/>
                </c:manualLayout>
              </c:layout>
              <c:showLegendKey val="0"/>
              <c:showVal val="1"/>
              <c:showCatName val="0"/>
              <c:showSerName val="0"/>
              <c:showPercent val="0"/>
              <c:showBubbleSize val="0"/>
            </c:dLbl>
            <c:txPr>
              <a:bodyPr/>
              <a:lstStyle/>
              <a:p>
                <a:pPr>
                  <a:defRPr sz="900"/>
                </a:pPr>
                <a:endParaRPr lang="ja-JP"/>
              </a:p>
            </c:txPr>
            <c:showLegendKey val="0"/>
            <c:showVal val="0"/>
            <c:showCatName val="0"/>
            <c:showSerName val="0"/>
            <c:showPercent val="0"/>
            <c:showBubbleSize val="0"/>
          </c:dLbls>
          <c:cat>
            <c:numRef>
              <c:f>Hoja1!$A$39:$A$54</c:f>
              <c:numCache>
                <c:formatCode>General</c:formatCode>
                <c:ptCount val="16"/>
                <c:pt idx="2" formatCode="yyyy&quot;年&quot;m&quot;月&quot;">
                  <c:v>41395</c:v>
                </c:pt>
                <c:pt idx="3" formatCode="yyyy&quot;年&quot;m&quot;月&quot;">
                  <c:v>41426</c:v>
                </c:pt>
                <c:pt idx="4" formatCode="yyyy&quot;年&quot;m&quot;月&quot;">
                  <c:v>41456</c:v>
                </c:pt>
                <c:pt idx="5" formatCode="yyyy&quot;年&quot;m&quot;月&quot;">
                  <c:v>41487</c:v>
                </c:pt>
                <c:pt idx="6" formatCode="yyyy&quot;年&quot;m&quot;月&quot;">
                  <c:v>41518</c:v>
                </c:pt>
                <c:pt idx="7" formatCode="yyyy&quot;年&quot;m&quot;月&quot;">
                  <c:v>41548</c:v>
                </c:pt>
                <c:pt idx="8" formatCode="yyyy&quot;年&quot;m&quot;月&quot;">
                  <c:v>41579</c:v>
                </c:pt>
                <c:pt idx="9" formatCode="yyyy&quot;年&quot;m&quot;月&quot;">
                  <c:v>41609</c:v>
                </c:pt>
                <c:pt idx="10" formatCode="yyyy&quot;年&quot;m&quot;月&quot;">
                  <c:v>41640</c:v>
                </c:pt>
                <c:pt idx="11" formatCode="yyyy&quot;年&quot;m&quot;月&quot;">
                  <c:v>41671</c:v>
                </c:pt>
                <c:pt idx="12" formatCode="yyyy&quot;年&quot;m&quot;月&quot;">
                  <c:v>41699</c:v>
                </c:pt>
                <c:pt idx="13" formatCode="yyyy&quot;年&quot;m&quot;月&quot;">
                  <c:v>41730</c:v>
                </c:pt>
                <c:pt idx="14" formatCode="yyyy&quot;年&quot;m&quot;月&quot;">
                  <c:v>41760</c:v>
                </c:pt>
                <c:pt idx="15" formatCode="yyyy&quot;年&quot;m&quot;月&quot;">
                  <c:v>41791</c:v>
                </c:pt>
              </c:numCache>
            </c:numRef>
          </c:cat>
          <c:val>
            <c:numRef>
              <c:f>Hoja1!$F$39:$F$54</c:f>
              <c:numCache>
                <c:formatCode>General</c:formatCode>
                <c:ptCount val="16"/>
                <c:pt idx="1">
                  <c:v>0</c:v>
                </c:pt>
                <c:pt idx="2" formatCode="#,##0.00">
                  <c:v>6.6499999999999995</c:v>
                </c:pt>
                <c:pt idx="3" formatCode="#,##0.00">
                  <c:v>6.6</c:v>
                </c:pt>
                <c:pt idx="4" formatCode="#,##0.00">
                  <c:v>6.55</c:v>
                </c:pt>
                <c:pt idx="5" formatCode="#,##0.00">
                  <c:v>6.55</c:v>
                </c:pt>
                <c:pt idx="6" formatCode="#,##0.00">
                  <c:v>6.55</c:v>
                </c:pt>
                <c:pt idx="7" formatCode="#,##0.00">
                  <c:v>6.55</c:v>
                </c:pt>
                <c:pt idx="8" formatCode="#,##0.00">
                  <c:v>6.55</c:v>
                </c:pt>
                <c:pt idx="9" formatCode="#,##0.00">
                  <c:v>6.5</c:v>
                </c:pt>
                <c:pt idx="10" formatCode="#,##0.00">
                  <c:v>6.55</c:v>
                </c:pt>
                <c:pt idx="11" formatCode="#,##0.00">
                  <c:v>6.5</c:v>
                </c:pt>
                <c:pt idx="12" formatCode="#,##0.00">
                  <c:v>6.6</c:v>
                </c:pt>
                <c:pt idx="13" formatCode="#,##0.00">
                  <c:v>6.7</c:v>
                </c:pt>
                <c:pt idx="14" formatCode="#,##0.00">
                  <c:v>6.85</c:v>
                </c:pt>
                <c:pt idx="15" formatCode="#,##0.00">
                  <c:v>6.95</c:v>
                </c:pt>
              </c:numCache>
            </c:numRef>
          </c:val>
          <c:smooth val="0"/>
        </c:ser>
        <c:dLbls>
          <c:showLegendKey val="0"/>
          <c:showVal val="0"/>
          <c:showCatName val="0"/>
          <c:showSerName val="0"/>
          <c:showPercent val="0"/>
          <c:showBubbleSize val="0"/>
        </c:dLbls>
        <c:marker val="1"/>
        <c:smooth val="0"/>
        <c:axId val="85280256"/>
        <c:axId val="85281792"/>
      </c:lineChart>
      <c:dateAx>
        <c:axId val="85280256"/>
        <c:scaling>
          <c:orientation val="minMax"/>
        </c:scaling>
        <c:delete val="0"/>
        <c:axPos val="b"/>
        <c:numFmt formatCode="yyyy&quot;年&quot;m&quot;月&quot;;@" sourceLinked="0"/>
        <c:majorTickMark val="none"/>
        <c:minorTickMark val="none"/>
        <c:tickLblPos val="nextTo"/>
        <c:txPr>
          <a:bodyPr/>
          <a:lstStyle/>
          <a:p>
            <a:pPr>
              <a:defRPr sz="800"/>
            </a:pPr>
            <a:endParaRPr lang="ja-JP"/>
          </a:p>
        </c:txPr>
        <c:crossAx val="85281792"/>
        <c:crosses val="autoZero"/>
        <c:auto val="0"/>
        <c:lblOffset val="100"/>
        <c:baseTimeUnit val="months"/>
      </c:dateAx>
      <c:valAx>
        <c:axId val="85281792"/>
        <c:scaling>
          <c:orientation val="minMax"/>
        </c:scaling>
        <c:delete val="0"/>
        <c:axPos val="l"/>
        <c:majorGridlines/>
        <c:title>
          <c:tx>
            <c:rich>
              <a:bodyPr rot="0" vert="horz"/>
              <a:lstStyle/>
              <a:p>
                <a:pPr>
                  <a:defRPr/>
                </a:pPr>
                <a:r>
                  <a:rPr lang="en-US" altLang="ja-JP"/>
                  <a:t>(%)</a:t>
                </a:r>
                <a:endParaRPr lang="ja-JP" altLang="en-US"/>
              </a:p>
            </c:rich>
          </c:tx>
          <c:layout>
            <c:manualLayout>
              <c:xMode val="edge"/>
              <c:yMode val="edge"/>
              <c:x val="5.830568510108728E-2"/>
              <c:y val="0.15432526489744358"/>
            </c:manualLayout>
          </c:layout>
          <c:overlay val="0"/>
        </c:title>
        <c:numFmt formatCode="#,##0_ " sourceLinked="0"/>
        <c:majorTickMark val="none"/>
        <c:minorTickMark val="none"/>
        <c:tickLblPos val="nextTo"/>
        <c:crossAx val="85280256"/>
        <c:crosses val="autoZero"/>
        <c:crossBetween val="between"/>
      </c:valAx>
    </c:plotArea>
    <c:legend>
      <c:legendPos val="r"/>
      <c:legendEntry>
        <c:idx val="0"/>
        <c:txPr>
          <a:bodyPr/>
          <a:lstStyle/>
          <a:p>
            <a:pPr>
              <a:defRPr sz="800" i="1"/>
            </a:pPr>
            <a:endParaRPr lang="ja-JP"/>
          </a:p>
        </c:txPr>
      </c:legendEntry>
      <c:legendEntry>
        <c:idx val="1"/>
        <c:txPr>
          <a:bodyPr/>
          <a:lstStyle/>
          <a:p>
            <a:pPr>
              <a:defRPr sz="800" i="1"/>
            </a:pPr>
            <a:endParaRPr lang="ja-JP"/>
          </a:p>
        </c:txPr>
      </c:legendEntry>
      <c:layout>
        <c:manualLayout>
          <c:xMode val="edge"/>
          <c:yMode val="edge"/>
          <c:x val="0.16191018815065389"/>
          <c:y val="9.2354233498590468E-2"/>
          <c:w val="0.7464069748449369"/>
          <c:h val="0.11978147176047448"/>
        </c:manualLayout>
      </c:layout>
      <c:overlay val="0"/>
      <c:txPr>
        <a:bodyPr/>
        <a:lstStyle/>
        <a:p>
          <a:pPr>
            <a:defRPr sz="800"/>
          </a:pPr>
          <a:endParaRPr lang="ja-JP"/>
        </a:p>
      </c:txPr>
    </c:legend>
    <c:plotVisOnly val="1"/>
    <c:dispBlanksAs val="gap"/>
    <c:showDLblsOverMax val="0"/>
  </c:chart>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a:pPr>
            <a:r>
              <a:rPr lang="ja-JP" altLang="en-US" sz="1000" b="1"/>
              <a:t>表</a:t>
            </a:r>
            <a:r>
              <a:rPr lang="en-US" altLang="ja-JP" sz="1000" b="1"/>
              <a:t>12</a:t>
            </a:r>
            <a:r>
              <a:rPr lang="ja-JP" altLang="en-US" sz="1000" b="1"/>
              <a:t>　外貨準備高</a:t>
            </a:r>
            <a:r>
              <a:rPr lang="en-US" altLang="ja-JP" sz="1000" b="1"/>
              <a:t>(</a:t>
            </a:r>
            <a:r>
              <a:rPr lang="ja-JP" altLang="en-US" sz="1000" b="1"/>
              <a:t>月末値</a:t>
            </a:r>
            <a:r>
              <a:rPr lang="en-US" altLang="ja-JP" sz="1000" b="1"/>
              <a:t>)</a:t>
            </a:r>
            <a:endParaRPr lang="ja-JP" altLang="en-US" sz="1000" b="1"/>
          </a:p>
        </c:rich>
      </c:tx>
      <c:layout/>
      <c:overlay val="0"/>
    </c:title>
    <c:autoTitleDeleted val="0"/>
    <c:plotArea>
      <c:layout>
        <c:manualLayout>
          <c:layoutTarget val="inner"/>
          <c:xMode val="edge"/>
          <c:yMode val="edge"/>
          <c:x val="0.13394250943686437"/>
          <c:y val="0.15976536489985763"/>
          <c:w val="0.70346552247595251"/>
          <c:h val="0.67790766087125021"/>
        </c:manualLayout>
      </c:layout>
      <c:barChart>
        <c:barDir val="col"/>
        <c:grouping val="clustered"/>
        <c:varyColors val="0"/>
        <c:ser>
          <c:idx val="0"/>
          <c:order val="0"/>
          <c:tx>
            <c:strRef>
              <c:f>Hoja1!$K$5</c:f>
              <c:strCache>
                <c:ptCount val="1"/>
                <c:pt idx="0">
                  <c:v>2013年</c:v>
                </c:pt>
              </c:strCache>
            </c:strRef>
          </c:tx>
          <c:invertIfNegative val="0"/>
          <c:cat>
            <c:strRef>
              <c:f>Hoja1!$J$6:$J$17</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Hoja1!$K$6:$K$17</c:f>
              <c:numCache>
                <c:formatCode>#,##0.0</c:formatCode>
                <c:ptCount val="12"/>
                <c:pt idx="0">
                  <c:v>6748.7871541199993</c:v>
                </c:pt>
                <c:pt idx="1">
                  <c:v>6816.2660269300004</c:v>
                </c:pt>
                <c:pt idx="2">
                  <c:v>6936.8452548100004</c:v>
                </c:pt>
                <c:pt idx="3">
                  <c:v>7960.4042082399992</c:v>
                </c:pt>
                <c:pt idx="4">
                  <c:v>7885.1966123700004</c:v>
                </c:pt>
                <c:pt idx="5">
                  <c:v>7877.8188838399992</c:v>
                </c:pt>
                <c:pt idx="6">
                  <c:v>7723.7136800399994</c:v>
                </c:pt>
                <c:pt idx="7">
                  <c:v>7719.4431214500037</c:v>
                </c:pt>
                <c:pt idx="8">
                  <c:v>7617.3580926499999</c:v>
                </c:pt>
                <c:pt idx="9">
                  <c:v>7441.1258433500034</c:v>
                </c:pt>
                <c:pt idx="10">
                  <c:v>7398.0345456199993</c:v>
                </c:pt>
                <c:pt idx="11">
                  <c:v>7330.8633171600004</c:v>
                </c:pt>
              </c:numCache>
            </c:numRef>
          </c:val>
        </c:ser>
        <c:ser>
          <c:idx val="1"/>
          <c:order val="1"/>
          <c:tx>
            <c:strRef>
              <c:f>Hoja1!$L$5</c:f>
              <c:strCache>
                <c:ptCount val="1"/>
                <c:pt idx="0">
                  <c:v>2014年</c:v>
                </c:pt>
              </c:strCache>
            </c:strRef>
          </c:tx>
          <c:invertIfNegative val="0"/>
          <c:dLbls>
            <c:dLbl>
              <c:idx val="1"/>
              <c:layout>
                <c:manualLayout>
                  <c:x val="-6.0882800608828003E-3"/>
                  <c:y val="-4.9217002237136466E-2"/>
                </c:manualLayout>
              </c:layout>
              <c:showLegendKey val="0"/>
              <c:showVal val="1"/>
              <c:showCatName val="0"/>
              <c:showSerName val="0"/>
              <c:showPercent val="0"/>
              <c:showBubbleSize val="0"/>
            </c:dLbl>
            <c:dLbl>
              <c:idx val="2"/>
              <c:layout>
                <c:manualLayout>
                  <c:x val="-3.0441400304414001E-3"/>
                  <c:y val="-6.2639821029082776E-2"/>
                </c:manualLayout>
              </c:layout>
              <c:showLegendKey val="0"/>
              <c:showVal val="1"/>
              <c:showCatName val="0"/>
              <c:showSerName val="0"/>
              <c:showPercent val="0"/>
              <c:showBubbleSize val="0"/>
            </c:dLbl>
            <c:dLbl>
              <c:idx val="3"/>
              <c:layout>
                <c:manualLayout>
                  <c:x val="-3.0441400304414001E-2"/>
                  <c:y val="-4.9217354542091633E-2"/>
                </c:manualLayout>
              </c:layout>
              <c:showLegendKey val="0"/>
              <c:showVal val="1"/>
              <c:showCatName val="0"/>
              <c:showSerName val="0"/>
              <c:showPercent val="0"/>
              <c:showBubbleSize val="0"/>
            </c:dLbl>
            <c:dLbl>
              <c:idx val="4"/>
              <c:layout>
                <c:manualLayout>
                  <c:x val="0"/>
                  <c:y val="-2.6845637583892617E-2"/>
                </c:manualLayout>
              </c:layout>
              <c:showLegendKey val="0"/>
              <c:showVal val="1"/>
              <c:showCatName val="0"/>
              <c:showSerName val="0"/>
              <c:showPercent val="0"/>
              <c:showBubbleSize val="0"/>
            </c:dLbl>
            <c:txPr>
              <a:bodyPr/>
              <a:lstStyle/>
              <a:p>
                <a:pPr>
                  <a:defRPr sz="800" b="1" i="1"/>
                </a:pPr>
                <a:endParaRPr lang="ja-JP"/>
              </a:p>
            </c:txPr>
            <c:showLegendKey val="0"/>
            <c:showVal val="1"/>
            <c:showCatName val="0"/>
            <c:showSerName val="0"/>
            <c:showPercent val="0"/>
            <c:showBubbleSize val="0"/>
            <c:showLeaderLines val="0"/>
          </c:dLbls>
          <c:cat>
            <c:strRef>
              <c:f>Hoja1!$J$6:$J$17</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Hoja1!$L$6:$L$17</c:f>
              <c:numCache>
                <c:formatCode>#,##0.0</c:formatCode>
                <c:ptCount val="12"/>
                <c:pt idx="0">
                  <c:v>7258.3436738600003</c:v>
                </c:pt>
                <c:pt idx="1">
                  <c:v>7275.1072810700034</c:v>
                </c:pt>
                <c:pt idx="2">
                  <c:v>6785.6</c:v>
                </c:pt>
                <c:pt idx="3">
                  <c:v>7775.8</c:v>
                </c:pt>
                <c:pt idx="4">
                  <c:v>7704.5</c:v>
                </c:pt>
                <c:pt idx="5">
                  <c:v>7494</c:v>
                </c:pt>
              </c:numCache>
            </c:numRef>
          </c:val>
        </c:ser>
        <c:dLbls>
          <c:showLegendKey val="0"/>
          <c:showVal val="0"/>
          <c:showCatName val="0"/>
          <c:showSerName val="0"/>
          <c:showPercent val="0"/>
          <c:showBubbleSize val="0"/>
        </c:dLbls>
        <c:gapWidth val="150"/>
        <c:axId val="108180608"/>
        <c:axId val="108182144"/>
      </c:barChart>
      <c:catAx>
        <c:axId val="108180608"/>
        <c:scaling>
          <c:orientation val="minMax"/>
        </c:scaling>
        <c:delete val="0"/>
        <c:axPos val="b"/>
        <c:majorTickMark val="none"/>
        <c:minorTickMark val="none"/>
        <c:tickLblPos val="nextTo"/>
        <c:crossAx val="108182144"/>
        <c:crosses val="autoZero"/>
        <c:auto val="1"/>
        <c:lblAlgn val="ctr"/>
        <c:lblOffset val="100"/>
        <c:noMultiLvlLbl val="0"/>
      </c:catAx>
      <c:valAx>
        <c:axId val="108182144"/>
        <c:scaling>
          <c:orientation val="minMax"/>
        </c:scaling>
        <c:delete val="0"/>
        <c:axPos val="l"/>
        <c:majorGridlines/>
        <c:title>
          <c:tx>
            <c:rich>
              <a:bodyPr rot="0" vert="horz"/>
              <a:lstStyle/>
              <a:p>
                <a:pPr>
                  <a:defRPr sz="900" b="0"/>
                </a:pPr>
                <a:r>
                  <a:rPr lang="en-US" altLang="ja-JP" sz="900" b="0"/>
                  <a:t>(</a:t>
                </a:r>
                <a:r>
                  <a:rPr lang="ja-JP" altLang="en-US" sz="900" b="0"/>
                  <a:t>百万ドル</a:t>
                </a:r>
                <a:r>
                  <a:rPr lang="en-US" altLang="ja-JP" sz="900" b="0"/>
                  <a:t>)</a:t>
                </a:r>
                <a:endParaRPr lang="ja-JP" altLang="en-US" sz="900" b="0"/>
              </a:p>
            </c:rich>
          </c:tx>
          <c:layout>
            <c:manualLayout>
              <c:xMode val="edge"/>
              <c:yMode val="edge"/>
              <c:x val="2.5527630963937976E-4"/>
              <c:y val="5.419929891313921E-2"/>
            </c:manualLayout>
          </c:layout>
          <c:overlay val="0"/>
        </c:title>
        <c:numFmt formatCode="#,##0_);\(#,##0\)" sourceLinked="0"/>
        <c:majorTickMark val="out"/>
        <c:minorTickMark val="none"/>
        <c:tickLblPos val="nextTo"/>
        <c:crossAx val="108180608"/>
        <c:crosses val="autoZero"/>
        <c:crossBetween val="between"/>
      </c:valAx>
    </c:plotArea>
    <c:legend>
      <c:legendPos val="r"/>
      <c:legendEntry>
        <c:idx val="1"/>
        <c:txPr>
          <a:bodyPr/>
          <a:lstStyle/>
          <a:p>
            <a:pPr>
              <a:defRPr b="1" i="1"/>
            </a:pPr>
            <a:endParaRPr lang="ja-JP"/>
          </a:p>
        </c:txPr>
      </c:legendEntry>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ja-JP" altLang="en-US" sz="1050"/>
              <a:t>表</a:t>
            </a:r>
            <a:r>
              <a:rPr lang="en-US" altLang="ja-JP" sz="1050"/>
              <a:t>2</a:t>
            </a:r>
            <a:r>
              <a:rPr lang="ja-JP" altLang="en-US" sz="1050"/>
              <a:t>　貿易推移</a:t>
            </a:r>
            <a:r>
              <a:rPr lang="en-US" altLang="ja-JP" sz="1050"/>
              <a:t>(</a:t>
            </a:r>
            <a:r>
              <a:rPr lang="ja-JP" altLang="en-US" sz="1050"/>
              <a:t>単位百万ドル</a:t>
            </a:r>
            <a:r>
              <a:rPr lang="en-US" altLang="ja-JP" sz="1050"/>
              <a:t>)</a:t>
            </a:r>
            <a:endParaRPr lang="ja-JP" altLang="en-US" sz="1050"/>
          </a:p>
        </c:rich>
      </c:tx>
      <c:layout/>
      <c:overlay val="0"/>
    </c:title>
    <c:autoTitleDeleted val="0"/>
    <c:plotArea>
      <c:layout>
        <c:manualLayout>
          <c:layoutTarget val="inner"/>
          <c:xMode val="edge"/>
          <c:yMode val="edge"/>
          <c:x val="0.17227251121168868"/>
          <c:y val="0.13336156509848035"/>
          <c:w val="0.72015665364664061"/>
          <c:h val="0.63034855937125511"/>
        </c:manualLayout>
      </c:layout>
      <c:barChart>
        <c:barDir val="col"/>
        <c:grouping val="clustered"/>
        <c:varyColors val="0"/>
        <c:ser>
          <c:idx val="0"/>
          <c:order val="0"/>
          <c:tx>
            <c:strRef>
              <c:f>Hoja1!$Q$13</c:f>
              <c:strCache>
                <c:ptCount val="1"/>
                <c:pt idx="0">
                  <c:v>輸出</c:v>
                </c:pt>
              </c:strCache>
            </c:strRef>
          </c:tx>
          <c:invertIfNegative val="0"/>
          <c:dLbls>
            <c:dLbl>
              <c:idx val="0"/>
              <c:layout/>
              <c:numFmt formatCode="#,##0.0_);\(#,##0.0\)" sourceLinked="0"/>
              <c:spPr/>
              <c:txPr>
                <a:bodyPr/>
                <a:lstStyle/>
                <a:p>
                  <a:pPr>
                    <a:defRPr/>
                  </a:pPr>
                  <a:endParaRPr lang="ja-JP"/>
                </a:p>
              </c:txPr>
              <c:showLegendKey val="0"/>
              <c:showVal val="1"/>
              <c:showCatName val="0"/>
              <c:showSerName val="0"/>
              <c:showPercent val="0"/>
              <c:showBubbleSize val="0"/>
            </c:dLbl>
            <c:dLbl>
              <c:idx val="1"/>
              <c:layout>
                <c:manualLayout>
                  <c:x val="-4.9891499782999324E-3"/>
                  <c:y val="8.7683157252402277E-3"/>
                </c:manualLayout>
              </c:layout>
              <c:numFmt formatCode="#,##0.0_);\(#,##0.0\)" sourceLinked="0"/>
              <c:spPr/>
              <c:txPr>
                <a:bodyPr/>
                <a:lstStyle/>
                <a:p>
                  <a:pPr>
                    <a:defRPr/>
                  </a:pPr>
                  <a:endParaRPr lang="ja-JP"/>
                </a:p>
              </c:txPr>
              <c:showLegendKey val="0"/>
              <c:showVal val="1"/>
              <c:showCatName val="0"/>
              <c:showSerName val="0"/>
              <c:showPercent val="0"/>
              <c:showBubbleSize val="0"/>
            </c:dLbl>
            <c:dLbl>
              <c:idx val="12"/>
              <c:layout/>
              <c:showLegendKey val="0"/>
              <c:showVal val="1"/>
              <c:showCatName val="0"/>
              <c:showSerName val="0"/>
              <c:showPercent val="0"/>
              <c:showBubbleSize val="0"/>
            </c:dLbl>
            <c:dLbl>
              <c:idx val="13"/>
              <c:layout>
                <c:manualLayout>
                  <c:x val="0"/>
                  <c:y val="2.2408963585434174E-2"/>
                </c:manualLayout>
              </c:layout>
              <c:showLegendKey val="0"/>
              <c:showVal val="1"/>
              <c:showCatName val="0"/>
              <c:showSerName val="0"/>
              <c:showPercent val="0"/>
              <c:showBubbleSize val="0"/>
            </c:dLbl>
            <c:showLegendKey val="0"/>
            <c:showVal val="0"/>
            <c:showCatName val="0"/>
            <c:showSerName val="0"/>
            <c:showPercent val="0"/>
            <c:showBubbleSize val="0"/>
          </c:dLbls>
          <c:cat>
            <c:numRef>
              <c:f>Hoja1!$P$14:$P$27</c:f>
              <c:numCache>
                <c:formatCode>yyyy"年"mm"月"</c:formatCode>
                <c:ptCount val="14"/>
                <c:pt idx="0">
                  <c:v>41395</c:v>
                </c:pt>
                <c:pt idx="1">
                  <c:v>41426</c:v>
                </c:pt>
                <c:pt idx="2">
                  <c:v>41456</c:v>
                </c:pt>
                <c:pt idx="3">
                  <c:v>41487</c:v>
                </c:pt>
                <c:pt idx="4">
                  <c:v>41518</c:v>
                </c:pt>
                <c:pt idx="5">
                  <c:v>41548</c:v>
                </c:pt>
                <c:pt idx="6">
                  <c:v>41579</c:v>
                </c:pt>
                <c:pt idx="7">
                  <c:v>41609</c:v>
                </c:pt>
                <c:pt idx="8">
                  <c:v>41640</c:v>
                </c:pt>
                <c:pt idx="9">
                  <c:v>41671</c:v>
                </c:pt>
                <c:pt idx="10">
                  <c:v>41699</c:v>
                </c:pt>
                <c:pt idx="11">
                  <c:v>41730</c:v>
                </c:pt>
                <c:pt idx="12">
                  <c:v>41760</c:v>
                </c:pt>
                <c:pt idx="13">
                  <c:v>41791</c:v>
                </c:pt>
              </c:numCache>
            </c:numRef>
          </c:cat>
          <c:val>
            <c:numRef>
              <c:f>Hoja1!$Q$14:$Q$27</c:f>
              <c:numCache>
                <c:formatCode>General</c:formatCode>
                <c:ptCount val="14"/>
                <c:pt idx="0">
                  <c:v>1034.1281167</c:v>
                </c:pt>
                <c:pt idx="1">
                  <c:v>956.44408743999998</c:v>
                </c:pt>
                <c:pt idx="2">
                  <c:v>949.23167957000044</c:v>
                </c:pt>
                <c:pt idx="3">
                  <c:v>938.5602442099995</c:v>
                </c:pt>
                <c:pt idx="4">
                  <c:v>972.54398724000043</c:v>
                </c:pt>
                <c:pt idx="5">
                  <c:v>1007.65641652</c:v>
                </c:pt>
                <c:pt idx="6">
                  <c:v>992.76068416999999</c:v>
                </c:pt>
                <c:pt idx="7">
                  <c:v>877.2369981199995</c:v>
                </c:pt>
                <c:pt idx="8" formatCode="#,##0.0">
                  <c:v>853.20948017000046</c:v>
                </c:pt>
                <c:pt idx="9" formatCode="#,##0.0">
                  <c:v>970.07142777999991</c:v>
                </c:pt>
                <c:pt idx="10" formatCode="#,##0.0">
                  <c:v>1036.88872006</c:v>
                </c:pt>
                <c:pt idx="11" formatCode="#,##0.0">
                  <c:v>988.72140176000005</c:v>
                </c:pt>
                <c:pt idx="12" formatCode="#,##0.0">
                  <c:v>1045.2840104499999</c:v>
                </c:pt>
                <c:pt idx="13" formatCode="#,##0.0">
                  <c:v>980.5</c:v>
                </c:pt>
              </c:numCache>
            </c:numRef>
          </c:val>
        </c:ser>
        <c:ser>
          <c:idx val="1"/>
          <c:order val="1"/>
          <c:tx>
            <c:strRef>
              <c:f>Hoja1!$R$13</c:f>
              <c:strCache>
                <c:ptCount val="1"/>
                <c:pt idx="0">
                  <c:v>輸入</c:v>
                </c:pt>
              </c:strCache>
            </c:strRef>
          </c:tx>
          <c:invertIfNegative val="0"/>
          <c:dLbls>
            <c:dLbl>
              <c:idx val="0"/>
              <c:layout/>
              <c:showLegendKey val="0"/>
              <c:showVal val="1"/>
              <c:showCatName val="0"/>
              <c:showSerName val="0"/>
              <c:showPercent val="0"/>
              <c:showBubbleSize val="0"/>
            </c:dLbl>
            <c:dLbl>
              <c:idx val="1"/>
              <c:layout/>
              <c:showLegendKey val="0"/>
              <c:showVal val="1"/>
              <c:showCatName val="0"/>
              <c:showSerName val="0"/>
              <c:showPercent val="0"/>
              <c:showBubbleSize val="0"/>
            </c:dLbl>
            <c:dLbl>
              <c:idx val="12"/>
              <c:layout/>
              <c:showLegendKey val="0"/>
              <c:showVal val="1"/>
              <c:showCatName val="0"/>
              <c:showSerName val="0"/>
              <c:showPercent val="0"/>
              <c:showBubbleSize val="0"/>
            </c:dLbl>
            <c:dLbl>
              <c:idx val="13"/>
              <c:layout/>
              <c:showLegendKey val="0"/>
              <c:showVal val="1"/>
              <c:showCatName val="0"/>
              <c:showSerName val="0"/>
              <c:showPercent val="0"/>
              <c:showBubbleSize val="0"/>
            </c:dLbl>
            <c:numFmt formatCode="#,##0.0_);\(#,##0.0\)" sourceLinked="0"/>
            <c:txPr>
              <a:bodyPr/>
              <a:lstStyle/>
              <a:p>
                <a:pPr>
                  <a:defRPr b="1" i="1"/>
                </a:pPr>
                <a:endParaRPr lang="ja-JP"/>
              </a:p>
            </c:txPr>
            <c:showLegendKey val="0"/>
            <c:showVal val="0"/>
            <c:showCatName val="0"/>
            <c:showSerName val="0"/>
            <c:showPercent val="0"/>
            <c:showBubbleSize val="0"/>
          </c:dLbls>
          <c:cat>
            <c:numRef>
              <c:f>Hoja1!$P$14:$P$27</c:f>
              <c:numCache>
                <c:formatCode>yyyy"年"mm"月"</c:formatCode>
                <c:ptCount val="14"/>
                <c:pt idx="0">
                  <c:v>41395</c:v>
                </c:pt>
                <c:pt idx="1">
                  <c:v>41426</c:v>
                </c:pt>
                <c:pt idx="2">
                  <c:v>41456</c:v>
                </c:pt>
                <c:pt idx="3">
                  <c:v>41487</c:v>
                </c:pt>
                <c:pt idx="4">
                  <c:v>41518</c:v>
                </c:pt>
                <c:pt idx="5">
                  <c:v>41548</c:v>
                </c:pt>
                <c:pt idx="6">
                  <c:v>41579</c:v>
                </c:pt>
                <c:pt idx="7">
                  <c:v>41609</c:v>
                </c:pt>
                <c:pt idx="8">
                  <c:v>41640</c:v>
                </c:pt>
                <c:pt idx="9">
                  <c:v>41671</c:v>
                </c:pt>
                <c:pt idx="10">
                  <c:v>41699</c:v>
                </c:pt>
                <c:pt idx="11">
                  <c:v>41730</c:v>
                </c:pt>
                <c:pt idx="12">
                  <c:v>41760</c:v>
                </c:pt>
                <c:pt idx="13">
                  <c:v>41791</c:v>
                </c:pt>
              </c:numCache>
            </c:numRef>
          </c:cat>
          <c:val>
            <c:numRef>
              <c:f>Hoja1!$R$14:$R$27</c:f>
              <c:numCache>
                <c:formatCode>General</c:formatCode>
                <c:ptCount val="14"/>
                <c:pt idx="0">
                  <c:v>1487.8650193999999</c:v>
                </c:pt>
                <c:pt idx="1">
                  <c:v>1391.9126913000009</c:v>
                </c:pt>
                <c:pt idx="2">
                  <c:v>1538.1103749299998</c:v>
                </c:pt>
                <c:pt idx="3">
                  <c:v>1525.1342924199992</c:v>
                </c:pt>
                <c:pt idx="4">
                  <c:v>1501.5970531800012</c:v>
                </c:pt>
                <c:pt idx="5">
                  <c:v>1609.13317362</c:v>
                </c:pt>
                <c:pt idx="6">
                  <c:v>1531.7667545000008</c:v>
                </c:pt>
                <c:pt idx="7">
                  <c:v>1425.2307668000001</c:v>
                </c:pt>
                <c:pt idx="8" formatCode="#,##0.0">
                  <c:v>1520.2811126499998</c:v>
                </c:pt>
                <c:pt idx="9" formatCode="#,##0.0">
                  <c:v>1375.305340019999</c:v>
                </c:pt>
                <c:pt idx="10" formatCode="#,##0.0">
                  <c:v>1622.67888468</c:v>
                </c:pt>
                <c:pt idx="11" formatCode="#,##0.0">
                  <c:v>1488.4563964399999</c:v>
                </c:pt>
                <c:pt idx="12" formatCode="#,##0.0">
                  <c:v>1534.9566447400009</c:v>
                </c:pt>
                <c:pt idx="13" formatCode="#,##0.0">
                  <c:v>1431.4</c:v>
                </c:pt>
              </c:numCache>
            </c:numRef>
          </c:val>
        </c:ser>
        <c:dLbls>
          <c:showLegendKey val="0"/>
          <c:showVal val="0"/>
          <c:showCatName val="0"/>
          <c:showSerName val="0"/>
          <c:showPercent val="0"/>
          <c:showBubbleSize val="0"/>
        </c:dLbls>
        <c:gapWidth val="150"/>
        <c:axId val="104036608"/>
        <c:axId val="104054784"/>
      </c:barChart>
      <c:dateAx>
        <c:axId val="104036608"/>
        <c:scaling>
          <c:orientation val="minMax"/>
        </c:scaling>
        <c:delete val="0"/>
        <c:axPos val="b"/>
        <c:numFmt formatCode="yyyy&quot;年&quot;mm&quot;月&quot;" sourceLinked="1"/>
        <c:majorTickMark val="none"/>
        <c:minorTickMark val="none"/>
        <c:tickLblPos val="nextTo"/>
        <c:txPr>
          <a:bodyPr/>
          <a:lstStyle/>
          <a:p>
            <a:pPr>
              <a:defRPr sz="800"/>
            </a:pPr>
            <a:endParaRPr lang="ja-JP"/>
          </a:p>
        </c:txPr>
        <c:crossAx val="104054784"/>
        <c:crosses val="autoZero"/>
        <c:auto val="1"/>
        <c:lblOffset val="100"/>
        <c:baseTimeUnit val="months"/>
      </c:dateAx>
      <c:valAx>
        <c:axId val="104054784"/>
        <c:scaling>
          <c:orientation val="minMax"/>
        </c:scaling>
        <c:delete val="0"/>
        <c:axPos val="l"/>
        <c:majorGridlines/>
        <c:title>
          <c:tx>
            <c:rich>
              <a:bodyPr rot="0" vert="horz"/>
              <a:lstStyle/>
              <a:p>
                <a:pPr>
                  <a:defRPr sz="900" b="0"/>
                </a:pPr>
                <a:r>
                  <a:rPr lang="en-US" altLang="ja-JP" sz="900" b="0"/>
                  <a:t>(</a:t>
                </a:r>
                <a:r>
                  <a:rPr lang="ja-JP" altLang="en-US" sz="900" b="0"/>
                  <a:t>百万ドル</a:t>
                </a:r>
                <a:r>
                  <a:rPr lang="en-US" altLang="ja-JP" sz="900" b="0"/>
                  <a:t>)</a:t>
                </a:r>
                <a:endParaRPr lang="ja-JP" altLang="en-US" sz="900" b="0"/>
              </a:p>
            </c:rich>
          </c:tx>
          <c:layout>
            <c:manualLayout>
              <c:xMode val="edge"/>
              <c:yMode val="edge"/>
              <c:x val="5.3980821294975917E-2"/>
              <c:y val="5.131652661064439E-2"/>
            </c:manualLayout>
          </c:layout>
          <c:overlay val="0"/>
        </c:title>
        <c:numFmt formatCode="#,##0_);\(#,##0\)" sourceLinked="0"/>
        <c:majorTickMark val="out"/>
        <c:minorTickMark val="none"/>
        <c:tickLblPos val="nextTo"/>
        <c:crossAx val="104036608"/>
        <c:crosses val="autoZero"/>
        <c:crossBetween val="between"/>
      </c:valAx>
    </c:plotArea>
    <c:legend>
      <c:legendPos val="r"/>
      <c:legendEntry>
        <c:idx val="1"/>
        <c:txPr>
          <a:bodyPr/>
          <a:lstStyle/>
          <a:p>
            <a:pPr>
              <a:defRPr b="1" i="1"/>
            </a:pPr>
            <a:endParaRPr lang="ja-JP"/>
          </a:p>
        </c:txPr>
      </c:legendEntry>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a:pPr>
            <a:r>
              <a:rPr lang="ja-JP" altLang="en-US" sz="900"/>
              <a:t>表</a:t>
            </a:r>
            <a:r>
              <a:rPr lang="en-US" altLang="ja-JP" sz="900"/>
              <a:t>3</a:t>
            </a:r>
            <a:r>
              <a:rPr lang="ja-JP" altLang="en-US" sz="900"/>
              <a:t>　累積貿易額　前年比較</a:t>
            </a:r>
          </a:p>
        </c:rich>
      </c:tx>
      <c:layout>
        <c:manualLayout>
          <c:xMode val="edge"/>
          <c:yMode val="edge"/>
          <c:x val="0.3032568897637799"/>
          <c:y val="3.2407407407407454E-2"/>
        </c:manualLayout>
      </c:layout>
      <c:overlay val="0"/>
    </c:title>
    <c:autoTitleDeleted val="0"/>
    <c:plotArea>
      <c:layout>
        <c:manualLayout>
          <c:layoutTarget val="inner"/>
          <c:xMode val="edge"/>
          <c:yMode val="edge"/>
          <c:x val="0.25266694716595539"/>
          <c:y val="0.15876121966235701"/>
          <c:w val="0.69135340906814136"/>
          <c:h val="0.51745152257305627"/>
        </c:manualLayout>
      </c:layout>
      <c:barChart>
        <c:barDir val="col"/>
        <c:grouping val="clustered"/>
        <c:varyColors val="0"/>
        <c:ser>
          <c:idx val="0"/>
          <c:order val="0"/>
          <c:tx>
            <c:strRef>
              <c:f>Hoja1!$P$34</c:f>
              <c:strCache>
                <c:ptCount val="1"/>
                <c:pt idx="0">
                  <c:v>輸出</c:v>
                </c:pt>
              </c:strCache>
            </c:strRef>
          </c:tx>
          <c:invertIfNegative val="0"/>
          <c:dLbls>
            <c:dLbl>
              <c:idx val="0"/>
              <c:layout>
                <c:manualLayout>
                  <c:x val="-3.0534351145038167E-2"/>
                  <c:y val="-8.2304526748971565E-3"/>
                </c:manualLayout>
              </c:layout>
              <c:showLegendKey val="0"/>
              <c:showVal val="1"/>
              <c:showCatName val="0"/>
              <c:showSerName val="0"/>
              <c:showPercent val="0"/>
              <c:showBubbleSize val="0"/>
            </c:dLbl>
            <c:dLbl>
              <c:idx val="1"/>
              <c:layout>
                <c:manualLayout>
                  <c:x val="-6.6157760814249358E-2"/>
                  <c:y val="-4.1152263374485219E-3"/>
                </c:manualLayout>
              </c:layout>
              <c:showLegendKey val="0"/>
              <c:showVal val="1"/>
              <c:showCatName val="0"/>
              <c:showSerName val="0"/>
              <c:showPercent val="0"/>
              <c:showBubbleSize val="0"/>
            </c:dLbl>
            <c:txPr>
              <a:bodyPr/>
              <a:lstStyle/>
              <a:p>
                <a:pPr>
                  <a:defRPr sz="800" b="0"/>
                </a:pPr>
                <a:endParaRPr lang="ja-JP"/>
              </a:p>
            </c:txPr>
            <c:showLegendKey val="0"/>
            <c:showVal val="1"/>
            <c:showCatName val="0"/>
            <c:showSerName val="0"/>
            <c:showPercent val="0"/>
            <c:showBubbleSize val="0"/>
            <c:showLeaderLines val="0"/>
          </c:dLbls>
          <c:cat>
            <c:numRef>
              <c:f>Hoja1!$Q$33:$R$33</c:f>
              <c:numCache>
                <c:formatCode>yyyy"年"mm"月"</c:formatCode>
                <c:ptCount val="2"/>
                <c:pt idx="0">
                  <c:v>41395</c:v>
                </c:pt>
                <c:pt idx="1">
                  <c:v>41760</c:v>
                </c:pt>
              </c:numCache>
            </c:numRef>
          </c:cat>
          <c:val>
            <c:numRef>
              <c:f>Hoja1!$Q$34:$R$34</c:f>
              <c:numCache>
                <c:formatCode>#,##0.0</c:formatCode>
                <c:ptCount val="2"/>
                <c:pt idx="0">
                  <c:v>4895.1000000000004</c:v>
                </c:pt>
                <c:pt idx="1">
                  <c:v>4894.2</c:v>
                </c:pt>
              </c:numCache>
            </c:numRef>
          </c:val>
        </c:ser>
        <c:ser>
          <c:idx val="1"/>
          <c:order val="1"/>
          <c:tx>
            <c:strRef>
              <c:f>Hoja1!$P$35</c:f>
              <c:strCache>
                <c:ptCount val="1"/>
                <c:pt idx="0">
                  <c:v>輸入</c:v>
                </c:pt>
              </c:strCache>
            </c:strRef>
          </c:tx>
          <c:invertIfNegative val="0"/>
          <c:dLbls>
            <c:txPr>
              <a:bodyPr/>
              <a:lstStyle/>
              <a:p>
                <a:pPr>
                  <a:defRPr sz="800" b="1"/>
                </a:pPr>
                <a:endParaRPr lang="ja-JP"/>
              </a:p>
            </c:txPr>
            <c:showLegendKey val="0"/>
            <c:showVal val="1"/>
            <c:showCatName val="0"/>
            <c:showSerName val="0"/>
            <c:showPercent val="0"/>
            <c:showBubbleSize val="0"/>
            <c:showLeaderLines val="0"/>
          </c:dLbls>
          <c:cat>
            <c:numRef>
              <c:f>Hoja1!$Q$33:$R$33</c:f>
              <c:numCache>
                <c:formatCode>yyyy"年"mm"月"</c:formatCode>
                <c:ptCount val="2"/>
                <c:pt idx="0">
                  <c:v>41395</c:v>
                </c:pt>
                <c:pt idx="1">
                  <c:v>41760</c:v>
                </c:pt>
              </c:numCache>
            </c:numRef>
          </c:cat>
          <c:val>
            <c:numRef>
              <c:f>Hoja1!$Q$35:$R$35</c:f>
              <c:numCache>
                <c:formatCode>#,##0.0</c:formatCode>
                <c:ptCount val="2"/>
                <c:pt idx="0">
                  <c:v>7845</c:v>
                </c:pt>
                <c:pt idx="1">
                  <c:v>7541.7</c:v>
                </c:pt>
              </c:numCache>
            </c:numRef>
          </c:val>
        </c:ser>
        <c:ser>
          <c:idx val="2"/>
          <c:order val="2"/>
          <c:tx>
            <c:strRef>
              <c:f>Hoja1!$P$36</c:f>
              <c:strCache>
                <c:ptCount val="1"/>
                <c:pt idx="0">
                  <c:v>貿易収支</c:v>
                </c:pt>
              </c:strCache>
            </c:strRef>
          </c:tx>
          <c:invertIfNegative val="0"/>
          <c:dLbls>
            <c:dLbl>
              <c:idx val="0"/>
              <c:layout>
                <c:manualLayout>
                  <c:x val="-1.0178117048346057E-2"/>
                  <c:y val="8.6420077119989711E-2"/>
                </c:manualLayout>
              </c:layout>
              <c:spPr/>
              <c:txPr>
                <a:bodyPr/>
                <a:lstStyle/>
                <a:p>
                  <a:pPr>
                    <a:defRPr sz="800" b="1"/>
                  </a:pPr>
                  <a:endParaRPr lang="ja-JP"/>
                </a:p>
              </c:txPr>
              <c:showLegendKey val="0"/>
              <c:showVal val="1"/>
              <c:showCatName val="0"/>
              <c:showSerName val="0"/>
              <c:showPercent val="0"/>
              <c:showBubbleSize val="0"/>
            </c:dLbl>
            <c:dLbl>
              <c:idx val="1"/>
              <c:layout>
                <c:manualLayout>
                  <c:x val="-1.0178117048345963E-2"/>
                  <c:y val="7.8189624445092518E-2"/>
                </c:manualLayout>
              </c:layout>
              <c:spPr/>
              <c:txPr>
                <a:bodyPr/>
                <a:lstStyle/>
                <a:p>
                  <a:pPr>
                    <a:defRPr sz="800" b="1"/>
                  </a:pPr>
                  <a:endParaRPr lang="ja-JP"/>
                </a:p>
              </c:txPr>
              <c:showLegendKey val="0"/>
              <c:showVal val="1"/>
              <c:showCatName val="0"/>
              <c:showSerName val="0"/>
              <c:showPercent val="0"/>
              <c:showBubbleSize val="0"/>
            </c:dLbl>
            <c:txPr>
              <a:bodyPr/>
              <a:lstStyle/>
              <a:p>
                <a:pPr>
                  <a:defRPr sz="800"/>
                </a:pPr>
                <a:endParaRPr lang="ja-JP"/>
              </a:p>
            </c:txPr>
            <c:showLegendKey val="0"/>
            <c:showVal val="1"/>
            <c:showCatName val="0"/>
            <c:showSerName val="0"/>
            <c:showPercent val="0"/>
            <c:showBubbleSize val="0"/>
            <c:showLeaderLines val="0"/>
          </c:dLbls>
          <c:cat>
            <c:numRef>
              <c:f>Hoja1!$Q$33:$R$33</c:f>
              <c:numCache>
                <c:formatCode>yyyy"年"mm"月"</c:formatCode>
                <c:ptCount val="2"/>
                <c:pt idx="0">
                  <c:v>41395</c:v>
                </c:pt>
                <c:pt idx="1">
                  <c:v>41760</c:v>
                </c:pt>
              </c:numCache>
            </c:numRef>
          </c:cat>
          <c:val>
            <c:numRef>
              <c:f>Hoja1!$Q$36:$R$36</c:f>
              <c:numCache>
                <c:formatCode>#,##0.0</c:formatCode>
                <c:ptCount val="2"/>
                <c:pt idx="0">
                  <c:v>-2949.9</c:v>
                </c:pt>
                <c:pt idx="1">
                  <c:v>-2647.5</c:v>
                </c:pt>
              </c:numCache>
            </c:numRef>
          </c:val>
        </c:ser>
        <c:dLbls>
          <c:showLegendKey val="0"/>
          <c:showVal val="0"/>
          <c:showCatName val="0"/>
          <c:showSerName val="0"/>
          <c:showPercent val="0"/>
          <c:showBubbleSize val="0"/>
        </c:dLbls>
        <c:gapWidth val="150"/>
        <c:axId val="104087936"/>
        <c:axId val="104089472"/>
      </c:barChart>
      <c:dateAx>
        <c:axId val="104087936"/>
        <c:scaling>
          <c:orientation val="minMax"/>
        </c:scaling>
        <c:delete val="0"/>
        <c:axPos val="b"/>
        <c:numFmt formatCode="yyyy&quot;年&quot;mm&quot;月&quot;" sourceLinked="1"/>
        <c:majorTickMark val="none"/>
        <c:minorTickMark val="none"/>
        <c:tickLblPos val="none"/>
        <c:crossAx val="104089472"/>
        <c:crosses val="autoZero"/>
        <c:auto val="1"/>
        <c:lblOffset val="100"/>
        <c:baseTimeUnit val="years"/>
      </c:dateAx>
      <c:valAx>
        <c:axId val="104089472"/>
        <c:scaling>
          <c:orientation val="minMax"/>
        </c:scaling>
        <c:delete val="0"/>
        <c:axPos val="l"/>
        <c:majorGridlines/>
        <c:title>
          <c:tx>
            <c:rich>
              <a:bodyPr rot="0" vert="horz"/>
              <a:lstStyle/>
              <a:p>
                <a:pPr>
                  <a:defRPr sz="800" b="0"/>
                </a:pPr>
                <a:r>
                  <a:rPr lang="en-US" altLang="ja-JP" sz="800" b="0"/>
                  <a:t>(</a:t>
                </a:r>
                <a:r>
                  <a:rPr lang="ja-JP" altLang="en-US" sz="800" b="0"/>
                  <a:t>百万ドル</a:t>
                </a:r>
                <a:r>
                  <a:rPr lang="en-US" altLang="ja-JP" sz="800" b="0"/>
                  <a:t>) </a:t>
                </a:r>
                <a:endParaRPr lang="ja-JP" altLang="en-US" sz="800" b="0"/>
              </a:p>
            </c:rich>
          </c:tx>
          <c:layout>
            <c:manualLayout>
              <c:xMode val="edge"/>
              <c:yMode val="edge"/>
              <c:x val="5.2640765583314424E-2"/>
              <c:y val="2.5214757854264871E-2"/>
            </c:manualLayout>
          </c:layout>
          <c:overlay val="0"/>
        </c:title>
        <c:numFmt formatCode="#,##0" sourceLinked="0"/>
        <c:majorTickMark val="none"/>
        <c:minorTickMark val="none"/>
        <c:tickLblPos val="nextTo"/>
        <c:txPr>
          <a:bodyPr/>
          <a:lstStyle/>
          <a:p>
            <a:pPr>
              <a:defRPr sz="900"/>
            </a:pPr>
            <a:endParaRPr lang="ja-JP"/>
          </a:p>
        </c:txPr>
        <c:crossAx val="104087936"/>
        <c:crosses val="autoZero"/>
        <c:crossBetween val="between"/>
      </c:valAx>
      <c:dTable>
        <c:showHorzBorder val="1"/>
        <c:showVertBorder val="1"/>
        <c:showOutline val="1"/>
        <c:showKeys val="1"/>
        <c:txPr>
          <a:bodyPr/>
          <a:lstStyle/>
          <a:p>
            <a:pPr rtl="0">
              <a:defRPr sz="800"/>
            </a:pPr>
            <a:endParaRPr lang="ja-JP"/>
          </a:p>
        </c:txPr>
      </c:dTable>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a:pPr>
            <a:r>
              <a:rPr lang="ja-JP" altLang="en-US" sz="900"/>
              <a:t>　　表</a:t>
            </a:r>
            <a:r>
              <a:rPr lang="en-US" altLang="ja-JP" sz="900"/>
              <a:t>4</a:t>
            </a:r>
            <a:r>
              <a:rPr lang="ja-JP" altLang="en-US" sz="900"/>
              <a:t>　累積貿易額　前年比較</a:t>
            </a:r>
          </a:p>
        </c:rich>
      </c:tx>
      <c:layout/>
      <c:overlay val="0"/>
    </c:title>
    <c:autoTitleDeleted val="0"/>
    <c:plotArea>
      <c:layout>
        <c:manualLayout>
          <c:layoutTarget val="inner"/>
          <c:xMode val="edge"/>
          <c:yMode val="edge"/>
          <c:x val="0.2950471620734908"/>
          <c:y val="0.1492822656427206"/>
          <c:w val="0.64018421489135424"/>
          <c:h val="0.54563688798159493"/>
        </c:manualLayout>
      </c:layout>
      <c:barChart>
        <c:barDir val="col"/>
        <c:grouping val="clustered"/>
        <c:varyColors val="0"/>
        <c:ser>
          <c:idx val="0"/>
          <c:order val="0"/>
          <c:tx>
            <c:strRef>
              <c:f>Hoja1!$P$40</c:f>
              <c:strCache>
                <c:ptCount val="1"/>
                <c:pt idx="0">
                  <c:v>輸出</c:v>
                </c:pt>
              </c:strCache>
            </c:strRef>
          </c:tx>
          <c:invertIfNegative val="0"/>
          <c:dLbls>
            <c:txPr>
              <a:bodyPr/>
              <a:lstStyle/>
              <a:p>
                <a:pPr>
                  <a:defRPr sz="800" b="0"/>
                </a:pPr>
                <a:endParaRPr lang="ja-JP"/>
              </a:p>
            </c:txPr>
            <c:showLegendKey val="0"/>
            <c:showVal val="1"/>
            <c:showCatName val="0"/>
            <c:showSerName val="0"/>
            <c:showPercent val="0"/>
            <c:showBubbleSize val="0"/>
            <c:showLeaderLines val="0"/>
          </c:dLbls>
          <c:cat>
            <c:numRef>
              <c:f>Hoja1!$Q$39:$R$39</c:f>
              <c:numCache>
                <c:formatCode>yyyy"年"mm"月"</c:formatCode>
                <c:ptCount val="2"/>
                <c:pt idx="0">
                  <c:v>41426</c:v>
                </c:pt>
                <c:pt idx="1">
                  <c:v>41791</c:v>
                </c:pt>
              </c:numCache>
            </c:numRef>
          </c:cat>
          <c:val>
            <c:numRef>
              <c:f>Hoja1!$Q$40:$R$40</c:f>
              <c:numCache>
                <c:formatCode>#,##0.0</c:formatCode>
                <c:ptCount val="2"/>
                <c:pt idx="0">
                  <c:v>5851.55</c:v>
                </c:pt>
                <c:pt idx="1">
                  <c:v>5874.4</c:v>
                </c:pt>
              </c:numCache>
            </c:numRef>
          </c:val>
        </c:ser>
        <c:ser>
          <c:idx val="1"/>
          <c:order val="1"/>
          <c:tx>
            <c:strRef>
              <c:f>Hoja1!$P$41</c:f>
              <c:strCache>
                <c:ptCount val="1"/>
                <c:pt idx="0">
                  <c:v>輸入</c:v>
                </c:pt>
              </c:strCache>
            </c:strRef>
          </c:tx>
          <c:invertIfNegative val="0"/>
          <c:dLbls>
            <c:dLbl>
              <c:idx val="0"/>
              <c:layout>
                <c:manualLayout>
                  <c:x val="1.0928961748633829E-2"/>
                  <c:y val="0"/>
                </c:manualLayout>
              </c:layout>
              <c:showLegendKey val="0"/>
              <c:showVal val="1"/>
              <c:showCatName val="0"/>
              <c:showSerName val="0"/>
              <c:showPercent val="0"/>
              <c:showBubbleSize val="0"/>
            </c:dLbl>
            <c:dLbl>
              <c:idx val="1"/>
              <c:layout>
                <c:manualLayout>
                  <c:x val="-5.4644808743169399E-3"/>
                  <c:y val="0"/>
                </c:manualLayout>
              </c:layout>
              <c:showLegendKey val="0"/>
              <c:showVal val="1"/>
              <c:showCatName val="0"/>
              <c:showSerName val="0"/>
              <c:showPercent val="0"/>
              <c:showBubbleSize val="0"/>
            </c:dLbl>
            <c:txPr>
              <a:bodyPr/>
              <a:lstStyle/>
              <a:p>
                <a:pPr>
                  <a:defRPr sz="800" b="1"/>
                </a:pPr>
                <a:endParaRPr lang="ja-JP"/>
              </a:p>
            </c:txPr>
            <c:showLegendKey val="0"/>
            <c:showVal val="1"/>
            <c:showCatName val="0"/>
            <c:showSerName val="0"/>
            <c:showPercent val="0"/>
            <c:showBubbleSize val="0"/>
            <c:showLeaderLines val="0"/>
          </c:dLbls>
          <c:cat>
            <c:numRef>
              <c:f>Hoja1!$Q$39:$R$39</c:f>
              <c:numCache>
                <c:formatCode>yyyy"年"mm"月"</c:formatCode>
                <c:ptCount val="2"/>
                <c:pt idx="0">
                  <c:v>41426</c:v>
                </c:pt>
                <c:pt idx="1">
                  <c:v>41791</c:v>
                </c:pt>
              </c:numCache>
            </c:numRef>
          </c:cat>
          <c:val>
            <c:numRef>
              <c:f>Hoja1!$Q$41:$R$41</c:f>
              <c:numCache>
                <c:formatCode>#,##0.0</c:formatCode>
                <c:ptCount val="2"/>
                <c:pt idx="0">
                  <c:v>8876.94</c:v>
                </c:pt>
                <c:pt idx="1">
                  <c:v>8973.1</c:v>
                </c:pt>
              </c:numCache>
            </c:numRef>
          </c:val>
        </c:ser>
        <c:ser>
          <c:idx val="2"/>
          <c:order val="2"/>
          <c:tx>
            <c:strRef>
              <c:f>Hoja1!$P$42</c:f>
              <c:strCache>
                <c:ptCount val="1"/>
                <c:pt idx="0">
                  <c:v>貿易収支</c:v>
                </c:pt>
              </c:strCache>
            </c:strRef>
          </c:tx>
          <c:invertIfNegative val="0"/>
          <c:dLbls>
            <c:dLbl>
              <c:idx val="0"/>
              <c:layout>
                <c:manualLayout>
                  <c:x val="0"/>
                  <c:y val="9.8765756132335236E-2"/>
                </c:manualLayout>
              </c:layout>
              <c:spPr/>
              <c:txPr>
                <a:bodyPr/>
                <a:lstStyle/>
                <a:p>
                  <a:pPr>
                    <a:defRPr sz="800" b="1"/>
                  </a:pPr>
                  <a:endParaRPr lang="ja-JP"/>
                </a:p>
              </c:txPr>
              <c:showLegendKey val="0"/>
              <c:showVal val="1"/>
              <c:showCatName val="0"/>
              <c:showSerName val="0"/>
              <c:showPercent val="0"/>
              <c:showBubbleSize val="0"/>
            </c:dLbl>
            <c:dLbl>
              <c:idx val="1"/>
              <c:layout>
                <c:manualLayout>
                  <c:x val="-5.4649111484015318E-3"/>
                  <c:y val="0.10288098246978379"/>
                </c:manualLayout>
              </c:layout>
              <c:spPr/>
              <c:txPr>
                <a:bodyPr/>
                <a:lstStyle/>
                <a:p>
                  <a:pPr>
                    <a:defRPr sz="800" b="1"/>
                  </a:pPr>
                  <a:endParaRPr lang="ja-JP"/>
                </a:p>
              </c:txPr>
              <c:showLegendKey val="0"/>
              <c:showVal val="1"/>
              <c:showCatName val="0"/>
              <c:showSerName val="0"/>
              <c:showPercent val="0"/>
              <c:showBubbleSize val="0"/>
            </c:dLbl>
            <c:showLegendKey val="0"/>
            <c:showVal val="1"/>
            <c:showCatName val="0"/>
            <c:showSerName val="0"/>
            <c:showPercent val="0"/>
            <c:showBubbleSize val="0"/>
            <c:showLeaderLines val="0"/>
          </c:dLbls>
          <c:cat>
            <c:numRef>
              <c:f>Hoja1!$Q$39:$R$39</c:f>
              <c:numCache>
                <c:formatCode>yyyy"年"mm"月"</c:formatCode>
                <c:ptCount val="2"/>
                <c:pt idx="0">
                  <c:v>41426</c:v>
                </c:pt>
                <c:pt idx="1">
                  <c:v>41791</c:v>
                </c:pt>
              </c:numCache>
            </c:numRef>
          </c:cat>
          <c:val>
            <c:numRef>
              <c:f>Hoja1!$Q$42:$R$42</c:f>
              <c:numCache>
                <c:formatCode>#,##0.0</c:formatCode>
                <c:ptCount val="2"/>
                <c:pt idx="0">
                  <c:v>-3025.3</c:v>
                </c:pt>
                <c:pt idx="1">
                  <c:v>-3098.7</c:v>
                </c:pt>
              </c:numCache>
            </c:numRef>
          </c:val>
        </c:ser>
        <c:dLbls>
          <c:showLegendKey val="0"/>
          <c:showVal val="0"/>
          <c:showCatName val="0"/>
          <c:showSerName val="0"/>
          <c:showPercent val="0"/>
          <c:showBubbleSize val="0"/>
        </c:dLbls>
        <c:gapWidth val="150"/>
        <c:axId val="104131584"/>
        <c:axId val="104145664"/>
      </c:barChart>
      <c:dateAx>
        <c:axId val="104131584"/>
        <c:scaling>
          <c:orientation val="minMax"/>
        </c:scaling>
        <c:delete val="0"/>
        <c:axPos val="b"/>
        <c:numFmt formatCode="yyyy&quot;年&quot;mm&quot;月&quot;" sourceLinked="1"/>
        <c:majorTickMark val="none"/>
        <c:minorTickMark val="none"/>
        <c:tickLblPos val="none"/>
        <c:crossAx val="104145664"/>
        <c:crosses val="autoZero"/>
        <c:auto val="1"/>
        <c:lblOffset val="100"/>
        <c:baseTimeUnit val="years"/>
      </c:dateAx>
      <c:valAx>
        <c:axId val="104145664"/>
        <c:scaling>
          <c:orientation val="minMax"/>
        </c:scaling>
        <c:delete val="0"/>
        <c:axPos val="l"/>
        <c:majorGridlines/>
        <c:title>
          <c:tx>
            <c:rich>
              <a:bodyPr rot="0" vert="horz"/>
              <a:lstStyle/>
              <a:p>
                <a:pPr>
                  <a:defRPr sz="800" b="0"/>
                </a:pPr>
                <a:r>
                  <a:rPr lang="en-US" altLang="ja-JP" sz="800" b="0"/>
                  <a:t>(</a:t>
                </a:r>
                <a:r>
                  <a:rPr lang="ja-JP" altLang="en-US" sz="800" b="0"/>
                  <a:t>百万ドル</a:t>
                </a:r>
                <a:r>
                  <a:rPr lang="en-US" altLang="ja-JP" sz="800" b="0"/>
                  <a:t>)</a:t>
                </a:r>
                <a:endParaRPr lang="ja-JP" altLang="en-US" sz="800" b="0"/>
              </a:p>
            </c:rich>
          </c:tx>
          <c:layout>
            <c:manualLayout>
              <c:xMode val="edge"/>
              <c:yMode val="edge"/>
              <c:x val="9.1638095904679664E-3"/>
              <c:y val="2.6836498378879237E-2"/>
            </c:manualLayout>
          </c:layout>
          <c:overlay val="0"/>
        </c:title>
        <c:numFmt formatCode="#,##0_);\(#,##0\)" sourceLinked="0"/>
        <c:majorTickMark val="none"/>
        <c:minorTickMark val="none"/>
        <c:tickLblPos val="nextTo"/>
        <c:crossAx val="104131584"/>
        <c:crosses val="autoZero"/>
        <c:crossBetween val="between"/>
      </c:valAx>
      <c:dTable>
        <c:showHorzBorder val="1"/>
        <c:showVertBorder val="1"/>
        <c:showOutline val="1"/>
        <c:showKeys val="1"/>
        <c:txPr>
          <a:bodyPr/>
          <a:lstStyle/>
          <a:p>
            <a:pPr rtl="0">
              <a:defRPr sz="800"/>
            </a:pPr>
            <a:endParaRPr lang="ja-JP"/>
          </a:p>
        </c:txPr>
      </c:dTable>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ja-JP" altLang="en-US" sz="1100"/>
              <a:t>表</a:t>
            </a:r>
            <a:r>
              <a:rPr lang="en-US" altLang="ja-JP" sz="1100"/>
              <a:t>5</a:t>
            </a:r>
            <a:r>
              <a:rPr lang="ja-JP" altLang="en-US" sz="1100"/>
              <a:t>　貿易推移</a:t>
            </a:r>
            <a:r>
              <a:rPr lang="en-US" altLang="ja-JP" sz="1100"/>
              <a:t>(</a:t>
            </a:r>
            <a:r>
              <a:rPr lang="ja-JP" altLang="en-US" sz="1100"/>
              <a:t>成長率</a:t>
            </a:r>
            <a:r>
              <a:rPr lang="en-US" altLang="ja-JP" sz="1100"/>
              <a:t>)</a:t>
            </a:r>
            <a:endParaRPr lang="ja-JP" altLang="en-US" sz="1100"/>
          </a:p>
        </c:rich>
      </c:tx>
      <c:layout/>
      <c:overlay val="0"/>
    </c:title>
    <c:autoTitleDeleted val="0"/>
    <c:plotArea>
      <c:layout/>
      <c:lineChart>
        <c:grouping val="standard"/>
        <c:varyColors val="0"/>
        <c:ser>
          <c:idx val="0"/>
          <c:order val="0"/>
          <c:tx>
            <c:strRef>
              <c:f>Sheet1!$O$10</c:f>
              <c:strCache>
                <c:ptCount val="1"/>
                <c:pt idx="0">
                  <c:v>輸出</c:v>
                </c:pt>
              </c:strCache>
            </c:strRef>
          </c:tx>
          <c:cat>
            <c:numRef>
              <c:f>Sheet1!$N$11:$N$24</c:f>
              <c:numCache>
                <c:formatCode>yyyy"年"mm"月"</c:formatCode>
                <c:ptCount val="14"/>
                <c:pt idx="0">
                  <c:v>41395</c:v>
                </c:pt>
                <c:pt idx="1">
                  <c:v>41426</c:v>
                </c:pt>
                <c:pt idx="2">
                  <c:v>41456</c:v>
                </c:pt>
                <c:pt idx="3">
                  <c:v>41487</c:v>
                </c:pt>
                <c:pt idx="4">
                  <c:v>41518</c:v>
                </c:pt>
                <c:pt idx="5">
                  <c:v>41548</c:v>
                </c:pt>
                <c:pt idx="6">
                  <c:v>41579</c:v>
                </c:pt>
                <c:pt idx="7">
                  <c:v>41609</c:v>
                </c:pt>
                <c:pt idx="8">
                  <c:v>41640</c:v>
                </c:pt>
                <c:pt idx="9">
                  <c:v>41671</c:v>
                </c:pt>
                <c:pt idx="10">
                  <c:v>41699</c:v>
                </c:pt>
                <c:pt idx="11">
                  <c:v>41730</c:v>
                </c:pt>
                <c:pt idx="12">
                  <c:v>41760</c:v>
                </c:pt>
                <c:pt idx="13">
                  <c:v>41791</c:v>
                </c:pt>
              </c:numCache>
            </c:numRef>
          </c:cat>
          <c:val>
            <c:numRef>
              <c:f>Sheet1!$O$11:$O$24</c:f>
              <c:numCache>
                <c:formatCode>#,##0.0</c:formatCode>
                <c:ptCount val="14"/>
                <c:pt idx="0">
                  <c:v>-1.7186240899999989</c:v>
                </c:pt>
                <c:pt idx="1">
                  <c:v>-1.421221139999999</c:v>
                </c:pt>
                <c:pt idx="2">
                  <c:v>-0.67039316000000004</c:v>
                </c:pt>
                <c:pt idx="3">
                  <c:v>-0.3233882200000005</c:v>
                </c:pt>
                <c:pt idx="4">
                  <c:v>0.52306443999999996</c:v>
                </c:pt>
                <c:pt idx="5">
                  <c:v>1.4034948999999983</c:v>
                </c:pt>
                <c:pt idx="6">
                  <c:v>1.3547575400000009</c:v>
                </c:pt>
                <c:pt idx="7">
                  <c:v>1.1538703699999999</c:v>
                </c:pt>
                <c:pt idx="8" formatCode="General">
                  <c:v>-6.3</c:v>
                </c:pt>
                <c:pt idx="9" formatCode="General">
                  <c:v>-1</c:v>
                </c:pt>
                <c:pt idx="10" formatCode="General">
                  <c:v>0.1</c:v>
                </c:pt>
                <c:pt idx="11" formatCode="General">
                  <c:v>-0.2</c:v>
                </c:pt>
                <c:pt idx="12" formatCode="General">
                  <c:v>0.1</c:v>
                </c:pt>
                <c:pt idx="13" formatCode="General">
                  <c:v>0.5</c:v>
                </c:pt>
              </c:numCache>
            </c:numRef>
          </c:val>
          <c:smooth val="0"/>
        </c:ser>
        <c:ser>
          <c:idx val="1"/>
          <c:order val="1"/>
          <c:tx>
            <c:strRef>
              <c:f>Sheet1!$P$10</c:f>
              <c:strCache>
                <c:ptCount val="1"/>
                <c:pt idx="0">
                  <c:v>輸入</c:v>
                </c:pt>
              </c:strCache>
            </c:strRef>
          </c:tx>
          <c:cat>
            <c:numRef>
              <c:f>Sheet1!$N$11:$N$24</c:f>
              <c:numCache>
                <c:formatCode>yyyy"年"mm"月"</c:formatCode>
                <c:ptCount val="14"/>
                <c:pt idx="0">
                  <c:v>41395</c:v>
                </c:pt>
                <c:pt idx="1">
                  <c:v>41426</c:v>
                </c:pt>
                <c:pt idx="2">
                  <c:v>41456</c:v>
                </c:pt>
                <c:pt idx="3">
                  <c:v>41487</c:v>
                </c:pt>
                <c:pt idx="4">
                  <c:v>41518</c:v>
                </c:pt>
                <c:pt idx="5">
                  <c:v>41548</c:v>
                </c:pt>
                <c:pt idx="6">
                  <c:v>41579</c:v>
                </c:pt>
                <c:pt idx="7">
                  <c:v>41609</c:v>
                </c:pt>
                <c:pt idx="8">
                  <c:v>41640</c:v>
                </c:pt>
                <c:pt idx="9">
                  <c:v>41671</c:v>
                </c:pt>
                <c:pt idx="10">
                  <c:v>41699</c:v>
                </c:pt>
                <c:pt idx="11">
                  <c:v>41730</c:v>
                </c:pt>
                <c:pt idx="12">
                  <c:v>41760</c:v>
                </c:pt>
                <c:pt idx="13">
                  <c:v>41791</c:v>
                </c:pt>
              </c:numCache>
            </c:numRef>
          </c:cat>
          <c:val>
            <c:numRef>
              <c:f>Sheet1!$P$11:$P$24</c:f>
              <c:numCache>
                <c:formatCode>#,##0.0</c:formatCode>
                <c:ptCount val="14"/>
                <c:pt idx="0">
                  <c:v>3.7397308000000002</c:v>
                </c:pt>
                <c:pt idx="1">
                  <c:v>2.902860189999998</c:v>
                </c:pt>
                <c:pt idx="2">
                  <c:v>3.58573393</c:v>
                </c:pt>
                <c:pt idx="3">
                  <c:v>2.5209328800000002</c:v>
                </c:pt>
                <c:pt idx="4">
                  <c:v>3.7878732800000012</c:v>
                </c:pt>
                <c:pt idx="5">
                  <c:v>3.3226005299999981</c:v>
                </c:pt>
                <c:pt idx="6">
                  <c:v>2.88796629</c:v>
                </c:pt>
                <c:pt idx="7">
                  <c:v>2.4074474899999987</c:v>
                </c:pt>
                <c:pt idx="8">
                  <c:v>-2.7371999100000002</c:v>
                </c:pt>
                <c:pt idx="9">
                  <c:v>-0.7000000000000004</c:v>
                </c:pt>
                <c:pt idx="10">
                  <c:v>2.9</c:v>
                </c:pt>
                <c:pt idx="11">
                  <c:v>0.2</c:v>
                </c:pt>
                <c:pt idx="12">
                  <c:v>0.8</c:v>
                </c:pt>
                <c:pt idx="13">
                  <c:v>1.1000000000000001</c:v>
                </c:pt>
              </c:numCache>
            </c:numRef>
          </c:val>
          <c:smooth val="0"/>
        </c:ser>
        <c:dLbls>
          <c:showLegendKey val="0"/>
          <c:showVal val="0"/>
          <c:showCatName val="0"/>
          <c:showSerName val="0"/>
          <c:showPercent val="0"/>
          <c:showBubbleSize val="0"/>
        </c:dLbls>
        <c:marker val="1"/>
        <c:smooth val="0"/>
        <c:axId val="104168448"/>
        <c:axId val="104174336"/>
      </c:lineChart>
      <c:dateAx>
        <c:axId val="104168448"/>
        <c:scaling>
          <c:orientation val="minMax"/>
        </c:scaling>
        <c:delete val="1"/>
        <c:axPos val="b"/>
        <c:numFmt formatCode="yyyy&quot;年&quot;mm&quot;月&quot;" sourceLinked="1"/>
        <c:majorTickMark val="none"/>
        <c:minorTickMark val="none"/>
        <c:tickLblPos val="none"/>
        <c:crossAx val="104174336"/>
        <c:crosses val="autoZero"/>
        <c:auto val="1"/>
        <c:lblOffset val="100"/>
        <c:baseTimeUnit val="months"/>
      </c:dateAx>
      <c:valAx>
        <c:axId val="104174336"/>
        <c:scaling>
          <c:orientation val="minMax"/>
        </c:scaling>
        <c:delete val="0"/>
        <c:axPos val="l"/>
        <c:majorGridlines/>
        <c:title>
          <c:tx>
            <c:rich>
              <a:bodyPr rot="0" vert="horz"/>
              <a:lstStyle/>
              <a:p>
                <a:pPr>
                  <a:defRPr b="0"/>
                </a:pPr>
                <a:r>
                  <a:rPr lang="en-US" altLang="ja-JP" b="0"/>
                  <a:t>(</a:t>
                </a:r>
                <a:r>
                  <a:rPr lang="ja-JP" altLang="en-US" b="0"/>
                  <a:t>％</a:t>
                </a:r>
                <a:r>
                  <a:rPr lang="en-US" altLang="ja-JP" b="0"/>
                  <a:t>)</a:t>
                </a:r>
                <a:endParaRPr lang="ja-JP" altLang="en-US" b="0"/>
              </a:p>
            </c:rich>
          </c:tx>
          <c:layout>
            <c:manualLayout>
              <c:xMode val="edge"/>
              <c:yMode val="edge"/>
              <c:x val="8.1993970084594442E-2"/>
              <c:y val="5.019820798262286E-2"/>
            </c:manualLayout>
          </c:layout>
          <c:overlay val="0"/>
        </c:title>
        <c:numFmt formatCode="#,##0.0" sourceLinked="1"/>
        <c:majorTickMark val="none"/>
        <c:minorTickMark val="none"/>
        <c:tickLblPos val="nextTo"/>
        <c:crossAx val="104168448"/>
        <c:crosses val="autoZero"/>
        <c:crossBetween val="between"/>
      </c:valAx>
      <c:dTable>
        <c:showHorzBorder val="1"/>
        <c:showVertBorder val="1"/>
        <c:showOutline val="1"/>
        <c:showKeys val="1"/>
        <c:txPr>
          <a:bodyPr/>
          <a:lstStyle/>
          <a:p>
            <a:pPr rtl="0">
              <a:defRPr sz="900"/>
            </a:pPr>
            <a:endParaRPr lang="ja-JP"/>
          </a:p>
        </c:txPr>
      </c:dTable>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900" b="0" i="0" u="none" strike="noStrike" baseline="0">
                <a:solidFill>
                  <a:srgbClr val="000000"/>
                </a:solidFill>
                <a:latin typeface="ＭＳ Ｐゴシック"/>
                <a:ea typeface="ＭＳ Ｐゴシック"/>
                <a:cs typeface="ＭＳ Ｐゴシック"/>
              </a:defRPr>
            </a:pPr>
            <a:r>
              <a:rPr lang="ja-JP" altLang="en-US" sz="900" b="1" i="0" u="none" strike="noStrike" baseline="0">
                <a:solidFill>
                  <a:srgbClr val="000000"/>
                </a:solidFill>
                <a:latin typeface="ＭＳ Ｐゴシック"/>
                <a:ea typeface="ＭＳ Ｐゴシック"/>
              </a:rPr>
              <a:t>表</a:t>
            </a:r>
            <a:r>
              <a:rPr lang="en-US" altLang="ja-JP" sz="900" b="1" i="0" u="none" strike="noStrike" baseline="0">
                <a:solidFill>
                  <a:srgbClr val="000000"/>
                </a:solidFill>
                <a:latin typeface="ＭＳ Ｐゴシック"/>
                <a:ea typeface="ＭＳ Ｐゴシック"/>
              </a:rPr>
              <a:t>7</a:t>
            </a:r>
            <a:r>
              <a:rPr lang="ja-JP" altLang="en-US" sz="900" b="1" i="0" u="none" strike="noStrike" baseline="0">
                <a:solidFill>
                  <a:srgbClr val="000000"/>
                </a:solidFill>
                <a:latin typeface="ＭＳ Ｐゴシック"/>
                <a:ea typeface="ＭＳ Ｐゴシック"/>
              </a:rPr>
              <a:t>　財政収支</a:t>
            </a:r>
            <a:r>
              <a:rPr lang="en-US" altLang="ja-JP" sz="900" b="1" i="0" u="none" strike="noStrike" baseline="0">
                <a:solidFill>
                  <a:srgbClr val="000000"/>
                </a:solidFill>
                <a:latin typeface="ＭＳ Ｐゴシック"/>
                <a:ea typeface="ＭＳ Ｐゴシック"/>
              </a:rPr>
              <a:t>(</a:t>
            </a:r>
            <a:r>
              <a:rPr lang="ja-JP" altLang="en-US" sz="900" b="1" i="0" u="none" strike="noStrike" baseline="0">
                <a:solidFill>
                  <a:srgbClr val="000000"/>
                </a:solidFill>
                <a:latin typeface="ＭＳ Ｐゴシック"/>
                <a:ea typeface="ＭＳ Ｐゴシック"/>
              </a:rPr>
              <a:t>中央政府）</a:t>
            </a:r>
            <a:endParaRPr lang="en-US" altLang="ja-JP" sz="900" b="1" i="0" u="none" strike="noStrike" baseline="0">
              <a:solidFill>
                <a:srgbClr val="000000"/>
              </a:solidFill>
              <a:latin typeface="ＭＳ Ｐゴシック"/>
              <a:ea typeface="ＭＳ Ｐゴシック"/>
            </a:endParaRPr>
          </a:p>
          <a:p>
            <a:pPr algn="l">
              <a:defRPr sz="900" b="0" i="0" u="none" strike="noStrike" baseline="0">
                <a:solidFill>
                  <a:srgbClr val="000000"/>
                </a:solidFill>
                <a:latin typeface="ＭＳ Ｐゴシック"/>
                <a:ea typeface="ＭＳ Ｐゴシック"/>
                <a:cs typeface="ＭＳ Ｐゴシック"/>
              </a:defRPr>
            </a:pPr>
            <a:r>
              <a:rPr lang="ja-JP" altLang="en-US" sz="900" b="1" i="0" u="none" strike="noStrike" baseline="0">
                <a:solidFill>
                  <a:srgbClr val="000000"/>
                </a:solidFill>
                <a:latin typeface="ＭＳ Ｐゴシック"/>
                <a:ea typeface="ＭＳ Ｐゴシック"/>
              </a:rPr>
              <a:t>累計比較</a:t>
            </a:r>
          </a:p>
        </c:rich>
      </c:tx>
      <c:layout>
        <c:manualLayout>
          <c:xMode val="edge"/>
          <c:yMode val="edge"/>
          <c:x val="0.27570308689211009"/>
          <c:y val="1.2678534738156702E-2"/>
        </c:manualLayout>
      </c:layout>
      <c:overlay val="0"/>
      <c:spPr>
        <a:noFill/>
        <a:ln w="25400">
          <a:noFill/>
        </a:ln>
      </c:spPr>
    </c:title>
    <c:autoTitleDeleted val="0"/>
    <c:plotArea>
      <c:layout>
        <c:manualLayout>
          <c:layoutTarget val="inner"/>
          <c:xMode val="edge"/>
          <c:yMode val="edge"/>
          <c:x val="0.19134886692431866"/>
          <c:y val="0.13020090933195888"/>
          <c:w val="0.60514939185961669"/>
          <c:h val="0.58265451010056368"/>
        </c:manualLayout>
      </c:layout>
      <c:barChart>
        <c:barDir val="col"/>
        <c:grouping val="clustered"/>
        <c:varyColors val="0"/>
        <c:ser>
          <c:idx val="0"/>
          <c:order val="0"/>
          <c:tx>
            <c:strRef>
              <c:f>'2014主要経済指標'!$L$203</c:f>
              <c:strCache>
                <c:ptCount val="1"/>
                <c:pt idx="0">
                  <c:v>歳入</c:v>
                </c:pt>
              </c:strCache>
            </c:strRef>
          </c:tx>
          <c:spPr>
            <a:solidFill>
              <a:srgbClr val="99CCFF"/>
            </a:solidFill>
            <a:ln w="25400">
              <a:noFill/>
            </a:ln>
          </c:spPr>
          <c:invertIfNegative val="0"/>
          <c:cat>
            <c:numRef>
              <c:f>'2014主要経済指標'!$M$202:$N$202</c:f>
              <c:numCache>
                <c:formatCode>yyyy"年"m"月";@</c:formatCode>
                <c:ptCount val="2"/>
                <c:pt idx="0">
                  <c:v>41426</c:v>
                </c:pt>
                <c:pt idx="1">
                  <c:v>41791</c:v>
                </c:pt>
              </c:numCache>
            </c:numRef>
          </c:cat>
          <c:val>
            <c:numRef>
              <c:f>'2014主要経済指標'!$M$203:$N$203</c:f>
              <c:numCache>
                <c:formatCode>#,##0.0;[Red]\-#,##0.0</c:formatCode>
                <c:ptCount val="2"/>
                <c:pt idx="0">
                  <c:v>1667622.9959206502</c:v>
                </c:pt>
                <c:pt idx="1">
                  <c:v>1807336.3</c:v>
                </c:pt>
              </c:numCache>
            </c:numRef>
          </c:val>
        </c:ser>
        <c:ser>
          <c:idx val="1"/>
          <c:order val="1"/>
          <c:tx>
            <c:strRef>
              <c:f>'2014主要経済指標'!$L$204</c:f>
              <c:strCache>
                <c:ptCount val="1"/>
                <c:pt idx="0">
                  <c:v>歳出</c:v>
                </c:pt>
              </c:strCache>
            </c:strRef>
          </c:tx>
          <c:spPr>
            <a:solidFill>
              <a:srgbClr val="CC99FF"/>
            </a:solidFill>
            <a:ln w="25400">
              <a:noFill/>
            </a:ln>
          </c:spPr>
          <c:invertIfNegative val="0"/>
          <c:cat>
            <c:numRef>
              <c:f>'2014主要経済指標'!$M$202:$N$202</c:f>
              <c:numCache>
                <c:formatCode>yyyy"年"m"月";@</c:formatCode>
                <c:ptCount val="2"/>
                <c:pt idx="0">
                  <c:v>41426</c:v>
                </c:pt>
                <c:pt idx="1">
                  <c:v>41791</c:v>
                </c:pt>
              </c:numCache>
            </c:numRef>
          </c:cat>
          <c:val>
            <c:numRef>
              <c:f>'2014主要経済指標'!$M$204:$N$204</c:f>
              <c:numCache>
                <c:formatCode>#,##0.0;[Red]\-#,##0.0</c:formatCode>
                <c:ptCount val="2"/>
                <c:pt idx="0">
                  <c:v>2244668.6900562285</c:v>
                </c:pt>
                <c:pt idx="1">
                  <c:v>2506891.7999999998</c:v>
                </c:pt>
              </c:numCache>
            </c:numRef>
          </c:val>
        </c:ser>
        <c:ser>
          <c:idx val="2"/>
          <c:order val="2"/>
          <c:tx>
            <c:strRef>
              <c:f>'2014主要経済指標'!$L$205</c:f>
              <c:strCache>
                <c:ptCount val="1"/>
                <c:pt idx="0">
                  <c:v>財政収支</c:v>
                </c:pt>
              </c:strCache>
            </c:strRef>
          </c:tx>
          <c:spPr>
            <a:solidFill>
              <a:srgbClr val="800000"/>
            </a:solidFill>
            <a:ln w="25400">
              <a:noFill/>
            </a:ln>
          </c:spPr>
          <c:invertIfNegative val="0"/>
          <c:dLbls>
            <c:dLbl>
              <c:idx val="0"/>
              <c:layout>
                <c:manualLayout>
                  <c:x val="-1.0540184453227883E-2"/>
                  <c:y val="1.8140589569160915E-2"/>
                </c:manualLayout>
              </c:layout>
              <c:showLegendKey val="0"/>
              <c:showVal val="1"/>
              <c:showCatName val="0"/>
              <c:showSerName val="0"/>
              <c:showPercent val="0"/>
              <c:showBubbleSize val="0"/>
            </c:dLbl>
            <c:dLbl>
              <c:idx val="1"/>
              <c:layout>
                <c:manualLayout>
                  <c:x val="0"/>
                  <c:y val="1.8140589569160998E-2"/>
                </c:manualLayout>
              </c:layout>
              <c:showLegendKey val="0"/>
              <c:showVal val="1"/>
              <c:showCatName val="0"/>
              <c:showSerName val="0"/>
              <c:showPercent val="0"/>
              <c:showBubbleSize val="0"/>
            </c:dLbl>
            <c:numFmt formatCode="#,##0_ " sourceLinked="0"/>
            <c:txPr>
              <a:bodyPr/>
              <a:lstStyle/>
              <a:p>
                <a:pPr>
                  <a:defRPr sz="800" b="1"/>
                </a:pPr>
                <a:endParaRPr lang="ja-JP"/>
              </a:p>
            </c:txPr>
            <c:showLegendKey val="0"/>
            <c:showVal val="1"/>
            <c:showCatName val="0"/>
            <c:showSerName val="0"/>
            <c:showPercent val="0"/>
            <c:showBubbleSize val="0"/>
            <c:showLeaderLines val="0"/>
          </c:dLbls>
          <c:cat>
            <c:numRef>
              <c:f>'2014主要経済指標'!$M$202:$N$202</c:f>
              <c:numCache>
                <c:formatCode>yyyy"年"m"月";@</c:formatCode>
                <c:ptCount val="2"/>
                <c:pt idx="0">
                  <c:v>41426</c:v>
                </c:pt>
                <c:pt idx="1">
                  <c:v>41791</c:v>
                </c:pt>
              </c:numCache>
            </c:numRef>
          </c:cat>
          <c:val>
            <c:numRef>
              <c:f>'2014主要経済指標'!$M$205:$N$205</c:f>
              <c:numCache>
                <c:formatCode>#,##0.0;[Red]\-#,##0.0</c:formatCode>
                <c:ptCount val="2"/>
                <c:pt idx="0">
                  <c:v>-577045.69413557916</c:v>
                </c:pt>
                <c:pt idx="1">
                  <c:v>-699555.49999999919</c:v>
                </c:pt>
              </c:numCache>
            </c:numRef>
          </c:val>
        </c:ser>
        <c:dLbls>
          <c:showLegendKey val="0"/>
          <c:showVal val="0"/>
          <c:showCatName val="0"/>
          <c:showSerName val="0"/>
          <c:showPercent val="0"/>
          <c:showBubbleSize val="0"/>
        </c:dLbls>
        <c:gapWidth val="150"/>
        <c:axId val="104492032"/>
        <c:axId val="104506112"/>
      </c:barChart>
      <c:lineChart>
        <c:grouping val="standard"/>
        <c:varyColors val="0"/>
        <c:ser>
          <c:idx val="3"/>
          <c:order val="3"/>
          <c:tx>
            <c:strRef>
              <c:f>'2014主要経済指標'!$L$206</c:f>
              <c:strCache>
                <c:ptCount val="1"/>
                <c:pt idx="0">
                  <c:v>対GDP比</c:v>
                </c:pt>
              </c:strCache>
            </c:strRef>
          </c:tx>
          <c:spPr>
            <a:ln w="25400">
              <a:solidFill>
                <a:srgbClr val="333399"/>
              </a:solidFill>
              <a:prstDash val="solid"/>
            </a:ln>
          </c:spPr>
          <c:marker>
            <c:symbol val="circle"/>
            <c:size val="7"/>
            <c:spPr>
              <a:solidFill>
                <a:srgbClr val="333399"/>
              </a:solidFill>
              <a:ln>
                <a:solidFill>
                  <a:srgbClr val="333399"/>
                </a:solidFill>
                <a:prstDash val="solid"/>
              </a:ln>
            </c:spPr>
          </c:marker>
          <c:dLbls>
            <c:dLbl>
              <c:idx val="0"/>
              <c:layout>
                <c:manualLayout>
                  <c:x val="-6.2639695754205624E-2"/>
                  <c:y val="-5.8150642397918263E-2"/>
                </c:manualLayout>
              </c:layout>
              <c:dLblPos val="r"/>
              <c:showLegendKey val="0"/>
              <c:showVal val="1"/>
              <c:showCatName val="0"/>
              <c:showSerName val="0"/>
              <c:showPercent val="0"/>
              <c:showBubbleSize val="0"/>
            </c:dLbl>
            <c:dLbl>
              <c:idx val="1"/>
              <c:layout>
                <c:manualLayout>
                  <c:x val="-4.3024897330595391E-2"/>
                  <c:y val="-5.5395786677747333E-2"/>
                </c:manualLayout>
              </c:layout>
              <c:showLegendKey val="0"/>
              <c:showVal val="1"/>
              <c:showCatName val="0"/>
              <c:showSerName val="0"/>
              <c:showPercent val="0"/>
              <c:showBubbleSize val="0"/>
            </c:dLbl>
            <c:spPr>
              <a:noFill/>
              <a:ln w="25400">
                <a:noFill/>
              </a:ln>
            </c:spPr>
            <c:txPr>
              <a:bodyPr/>
              <a:lstStyle/>
              <a:p>
                <a:pPr>
                  <a:defRPr sz="1000" b="1" i="0" u="none" strike="noStrike" baseline="0">
                    <a:solidFill>
                      <a:srgbClr val="000000"/>
                    </a:solidFill>
                    <a:latin typeface="Calibri"/>
                    <a:ea typeface="Calibri"/>
                    <a:cs typeface="Calibri"/>
                  </a:defRPr>
                </a:pPr>
                <a:endParaRPr lang="ja-JP"/>
              </a:p>
            </c:txPr>
            <c:showLegendKey val="0"/>
            <c:showVal val="1"/>
            <c:showCatName val="0"/>
            <c:showSerName val="0"/>
            <c:showPercent val="0"/>
            <c:showBubbleSize val="0"/>
            <c:showLeaderLines val="0"/>
          </c:dLbls>
          <c:cat>
            <c:numRef>
              <c:f>'2014主要経済指標'!$M$202:$N$202</c:f>
              <c:numCache>
                <c:formatCode>yyyy"年"m"月";@</c:formatCode>
                <c:ptCount val="2"/>
                <c:pt idx="0">
                  <c:v>41426</c:v>
                </c:pt>
                <c:pt idx="1">
                  <c:v>41791</c:v>
                </c:pt>
              </c:numCache>
            </c:numRef>
          </c:cat>
          <c:val>
            <c:numRef>
              <c:f>'2014主要経済指標'!$M$206:$N$206</c:f>
              <c:numCache>
                <c:formatCode>0.0%</c:formatCode>
                <c:ptCount val="2"/>
                <c:pt idx="0">
                  <c:v>-2.3E-2</c:v>
                </c:pt>
                <c:pt idx="1">
                  <c:v>-2.5999999999999999E-2</c:v>
                </c:pt>
              </c:numCache>
            </c:numRef>
          </c:val>
          <c:smooth val="0"/>
        </c:ser>
        <c:dLbls>
          <c:showLegendKey val="0"/>
          <c:showVal val="0"/>
          <c:showCatName val="0"/>
          <c:showSerName val="0"/>
          <c:showPercent val="0"/>
          <c:showBubbleSize val="0"/>
        </c:dLbls>
        <c:marker val="1"/>
        <c:smooth val="0"/>
        <c:axId val="104508032"/>
        <c:axId val="104513920"/>
      </c:lineChart>
      <c:catAx>
        <c:axId val="104492032"/>
        <c:scaling>
          <c:orientation val="minMax"/>
        </c:scaling>
        <c:delete val="0"/>
        <c:axPos val="b"/>
        <c:numFmt formatCode="yyyy&quot;年&quot;m&quot;月&quot;;@" sourceLinked="1"/>
        <c:majorTickMark val="in"/>
        <c:minorTickMark val="none"/>
        <c:tickLblPos val="none"/>
        <c:spPr>
          <a:ln w="3175">
            <a:solidFill>
              <a:srgbClr val="000000"/>
            </a:solidFill>
            <a:prstDash val="solid"/>
          </a:ln>
        </c:spPr>
        <c:txPr>
          <a:bodyPr rot="0" vert="horz"/>
          <a:lstStyle/>
          <a:p>
            <a:pPr>
              <a:defRPr sz="900" b="1" i="0" u="none" strike="noStrike" baseline="0">
                <a:solidFill>
                  <a:srgbClr val="000000"/>
                </a:solidFill>
                <a:latin typeface="ＭＳ Ｐゴシック"/>
                <a:ea typeface="ＭＳ Ｐゴシック"/>
                <a:cs typeface="ＭＳ Ｐゴシック"/>
              </a:defRPr>
            </a:pPr>
            <a:endParaRPr lang="ja-JP"/>
          </a:p>
        </c:txPr>
        <c:crossAx val="104506112"/>
        <c:crosses val="autoZero"/>
        <c:auto val="0"/>
        <c:lblAlgn val="ctr"/>
        <c:lblOffset val="100"/>
        <c:tickMarkSkip val="1"/>
        <c:noMultiLvlLbl val="0"/>
      </c:catAx>
      <c:valAx>
        <c:axId val="104506112"/>
        <c:scaling>
          <c:orientation val="minMax"/>
          <c:min val="-1000000"/>
        </c:scaling>
        <c:delete val="0"/>
        <c:axPos val="l"/>
        <c:majorGridlines>
          <c:spPr>
            <a:ln w="3175">
              <a:solidFill>
                <a:srgbClr val="000000"/>
              </a:solidFill>
              <a:prstDash val="sysDash"/>
            </a:ln>
          </c:spPr>
        </c:majorGridlines>
        <c:title>
          <c:tx>
            <c:rich>
              <a:bodyPr rot="0" vert="horz"/>
              <a:lstStyle/>
              <a:p>
                <a:pPr algn="ctr">
                  <a:defRPr sz="800" b="0" i="0" u="none" strike="noStrike" baseline="0">
                    <a:solidFill>
                      <a:srgbClr val="000000"/>
                    </a:solidFill>
                    <a:latin typeface="ＭＳ Ｐゴシック"/>
                    <a:ea typeface="ＭＳ Ｐゴシック"/>
                    <a:cs typeface="ＭＳ Ｐゴシック"/>
                  </a:defRPr>
                </a:pPr>
                <a:r>
                  <a:rPr lang="en-US" altLang="ja-JP" sz="800" b="0" i="0" u="none" strike="noStrike" baseline="0">
                    <a:solidFill>
                      <a:srgbClr val="000000"/>
                    </a:solidFill>
                    <a:latin typeface="ＭＳ Ｐゴシック"/>
                    <a:ea typeface="ＭＳ Ｐゴシック"/>
                  </a:rPr>
                  <a:t>(</a:t>
                </a:r>
                <a:r>
                  <a:rPr lang="ja-JP" altLang="en-US" sz="800" b="0" i="0" u="none" strike="noStrike" baseline="0">
                    <a:solidFill>
                      <a:srgbClr val="000000"/>
                    </a:solidFill>
                    <a:latin typeface="ＭＳ Ｐゴシック"/>
                    <a:ea typeface="ＭＳ Ｐゴシック"/>
                  </a:rPr>
                  <a:t>百万コロン）</a:t>
                </a:r>
              </a:p>
            </c:rich>
          </c:tx>
          <c:layout>
            <c:manualLayout>
              <c:xMode val="edge"/>
              <c:yMode val="edge"/>
              <c:x val="3.8966737234231504E-2"/>
              <c:y val="1.84487526325159E-2"/>
            </c:manualLayout>
          </c:layout>
          <c:overlay val="0"/>
          <c:spPr>
            <a:noFill/>
            <a:ln w="25400">
              <a:noFill/>
            </a:ln>
          </c:spPr>
        </c:title>
        <c:numFmt formatCode="#,##0_ " sourceLinked="0"/>
        <c:majorTickMark val="in"/>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Calibri"/>
                <a:ea typeface="Calibri"/>
                <a:cs typeface="Calibri"/>
              </a:defRPr>
            </a:pPr>
            <a:endParaRPr lang="ja-JP"/>
          </a:p>
        </c:txPr>
        <c:crossAx val="104492032"/>
        <c:crosses val="autoZero"/>
        <c:crossBetween val="between"/>
        <c:majorUnit val="500000"/>
      </c:valAx>
      <c:dateAx>
        <c:axId val="104508032"/>
        <c:scaling>
          <c:orientation val="minMax"/>
        </c:scaling>
        <c:delete val="1"/>
        <c:axPos val="t"/>
        <c:numFmt formatCode="yyyy&quot;年&quot;m&quot;月&quot;;@" sourceLinked="1"/>
        <c:majorTickMark val="out"/>
        <c:minorTickMark val="none"/>
        <c:tickLblPos val="none"/>
        <c:crossAx val="104513920"/>
        <c:crosses val="autoZero"/>
        <c:auto val="1"/>
        <c:lblOffset val="100"/>
        <c:baseTimeUnit val="years"/>
      </c:dateAx>
      <c:valAx>
        <c:axId val="104513920"/>
        <c:scaling>
          <c:orientation val="maxMin"/>
          <c:max val="5.0000000000000114E-3"/>
          <c:min val="-0.05"/>
        </c:scaling>
        <c:delete val="0"/>
        <c:axPos val="r"/>
        <c:title>
          <c:tx>
            <c:rich>
              <a:bodyPr rot="0" vert="horz"/>
              <a:lstStyle/>
              <a:p>
                <a:pPr>
                  <a:defRPr sz="800"/>
                </a:pPr>
                <a:r>
                  <a:rPr lang="ja-JP" altLang="en-US" sz="800"/>
                  <a:t>対</a:t>
                </a:r>
                <a:r>
                  <a:rPr lang="en-US" altLang="ja-JP" sz="800"/>
                  <a:t>GDP</a:t>
                </a:r>
                <a:r>
                  <a:rPr lang="ja-JP" altLang="en-US" sz="800"/>
                  <a:t>比</a:t>
                </a:r>
              </a:p>
            </c:rich>
          </c:tx>
          <c:layout>
            <c:manualLayout>
              <c:xMode val="edge"/>
              <c:yMode val="edge"/>
              <c:x val="0.80583979328165378"/>
              <c:y val="5.0426752211529112E-2"/>
            </c:manualLayout>
          </c:layout>
          <c:overlay val="0"/>
        </c:title>
        <c:numFmt formatCode="0.0%" sourceLinked="1"/>
        <c:majorTickMark val="in"/>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Calibri"/>
                <a:ea typeface="Calibri"/>
                <a:cs typeface="Calibri"/>
              </a:defRPr>
            </a:pPr>
            <a:endParaRPr lang="ja-JP"/>
          </a:p>
        </c:txPr>
        <c:crossAx val="104508032"/>
        <c:crosses val="max"/>
        <c:crossBetween val="between"/>
        <c:majorUnit val="1.0000000000000005E-2"/>
      </c:valAx>
      <c:dTable>
        <c:showHorzBorder val="1"/>
        <c:showVertBorder val="1"/>
        <c:showOutline val="1"/>
        <c:showKeys val="1"/>
        <c:spPr>
          <a:ln w="3175">
            <a:solidFill>
              <a:srgbClr val="000000"/>
            </a:solidFill>
            <a:prstDash val="solid"/>
          </a:ln>
        </c:spPr>
        <c:txPr>
          <a:bodyPr/>
          <a:lstStyle/>
          <a:p>
            <a:pPr rtl="0">
              <a:defRPr sz="800" b="0" i="0" u="none" strike="noStrike" baseline="0">
                <a:solidFill>
                  <a:srgbClr val="000000"/>
                </a:solidFill>
                <a:latin typeface="Arial"/>
                <a:ea typeface="Arial"/>
                <a:cs typeface="Arial"/>
              </a:defRPr>
            </a:pPr>
            <a:endParaRPr lang="ja-JP"/>
          </a:p>
        </c:txPr>
      </c:dTable>
      <c:spPr>
        <a:no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ＭＳ Ｐゴシック"/>
          <a:ea typeface="ＭＳ Ｐゴシック"/>
          <a:cs typeface="ＭＳ Ｐゴシック"/>
        </a:defRPr>
      </a:pPr>
      <a:endParaRPr lang="ja-JP"/>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sz="900" b="0" i="0" u="none" strike="noStrike" baseline="0">
                <a:solidFill>
                  <a:srgbClr val="000000"/>
                </a:solidFill>
                <a:latin typeface="ＭＳ Ｐゴシック"/>
                <a:ea typeface="ＭＳ Ｐゴシック"/>
                <a:cs typeface="ＭＳ Ｐゴシック"/>
              </a:defRPr>
            </a:pPr>
            <a:r>
              <a:rPr lang="ja-JP" altLang="en-US" sz="900" b="1" i="0" u="none" strike="noStrike" baseline="0">
                <a:solidFill>
                  <a:srgbClr val="000000"/>
                </a:solidFill>
                <a:latin typeface="ＭＳ Ｐゴシック"/>
                <a:ea typeface="ＭＳ Ｐゴシック"/>
              </a:rPr>
              <a:t>表</a:t>
            </a:r>
            <a:r>
              <a:rPr lang="en-US" altLang="ja-JP" sz="900" b="1" i="0" u="none" strike="noStrike" baseline="0">
                <a:solidFill>
                  <a:srgbClr val="000000"/>
                </a:solidFill>
                <a:latin typeface="ＭＳ Ｐゴシック"/>
                <a:ea typeface="ＭＳ Ｐゴシック"/>
              </a:rPr>
              <a:t>6</a:t>
            </a:r>
            <a:r>
              <a:rPr lang="ja-JP" altLang="en-US" sz="900" b="1" i="0" u="none" strike="noStrike" baseline="0">
                <a:solidFill>
                  <a:srgbClr val="000000"/>
                </a:solidFill>
                <a:latin typeface="ＭＳ Ｐゴシック"/>
                <a:ea typeface="ＭＳ Ｐゴシック"/>
              </a:rPr>
              <a:t>　財政収支</a:t>
            </a:r>
            <a:r>
              <a:rPr lang="en-US" altLang="ja-JP" sz="900" b="1" i="0" u="none" strike="noStrike" baseline="0">
                <a:solidFill>
                  <a:srgbClr val="000000"/>
                </a:solidFill>
                <a:latin typeface="ＭＳ Ｐゴシック"/>
                <a:ea typeface="ＭＳ Ｐゴシック"/>
              </a:rPr>
              <a:t>(</a:t>
            </a:r>
            <a:r>
              <a:rPr lang="ja-JP" altLang="en-US" sz="900" b="1" i="0" u="none" strike="noStrike" baseline="0">
                <a:solidFill>
                  <a:srgbClr val="000000"/>
                </a:solidFill>
                <a:latin typeface="ＭＳ Ｐゴシック"/>
                <a:ea typeface="ＭＳ Ｐゴシック"/>
              </a:rPr>
              <a:t>中央政府）</a:t>
            </a:r>
            <a:endParaRPr lang="en-US" altLang="ja-JP" sz="900" b="1" i="0" u="none" strike="noStrike" baseline="0">
              <a:solidFill>
                <a:srgbClr val="000000"/>
              </a:solidFill>
              <a:latin typeface="ＭＳ Ｐゴシック"/>
              <a:ea typeface="ＭＳ Ｐゴシック"/>
            </a:endParaRPr>
          </a:p>
          <a:p>
            <a:pPr algn="l">
              <a:defRPr sz="900" b="0" i="0" u="none" strike="noStrike" baseline="0">
                <a:solidFill>
                  <a:srgbClr val="000000"/>
                </a:solidFill>
                <a:latin typeface="ＭＳ Ｐゴシック"/>
                <a:ea typeface="ＭＳ Ｐゴシック"/>
                <a:cs typeface="ＭＳ Ｐゴシック"/>
              </a:defRPr>
            </a:pPr>
            <a:r>
              <a:rPr lang="ja-JP" altLang="en-US" sz="900" b="1" i="0" u="none" strike="noStrike" baseline="0">
                <a:solidFill>
                  <a:srgbClr val="000000"/>
                </a:solidFill>
                <a:latin typeface="ＭＳ Ｐゴシック"/>
                <a:ea typeface="ＭＳ Ｐゴシック"/>
              </a:rPr>
              <a:t>累計比較</a:t>
            </a:r>
          </a:p>
        </c:rich>
      </c:tx>
      <c:layout>
        <c:manualLayout>
          <c:xMode val="edge"/>
          <c:yMode val="edge"/>
          <c:x val="0.27632794912493641"/>
          <c:y val="1.6793687826058779E-2"/>
        </c:manualLayout>
      </c:layout>
      <c:overlay val="0"/>
      <c:spPr>
        <a:noFill/>
        <a:ln w="25400">
          <a:noFill/>
        </a:ln>
      </c:spPr>
    </c:title>
    <c:autoTitleDeleted val="0"/>
    <c:plotArea>
      <c:layout>
        <c:manualLayout>
          <c:layoutTarget val="inner"/>
          <c:xMode val="edge"/>
          <c:yMode val="edge"/>
          <c:x val="0.19134886692431866"/>
          <c:y val="0.13020090933195888"/>
          <c:w val="0.67292202914869914"/>
          <c:h val="0.48644117407359366"/>
        </c:manualLayout>
      </c:layout>
      <c:barChart>
        <c:barDir val="col"/>
        <c:grouping val="clustered"/>
        <c:varyColors val="0"/>
        <c:ser>
          <c:idx val="0"/>
          <c:order val="0"/>
          <c:tx>
            <c:strRef>
              <c:f>'2014主要経済指標'!$L$203</c:f>
              <c:strCache>
                <c:ptCount val="1"/>
                <c:pt idx="0">
                  <c:v>歳入</c:v>
                </c:pt>
              </c:strCache>
            </c:strRef>
          </c:tx>
          <c:spPr>
            <a:solidFill>
              <a:srgbClr val="99CCFF"/>
            </a:solidFill>
            <a:ln w="25400">
              <a:noFill/>
            </a:ln>
          </c:spPr>
          <c:invertIfNegative val="0"/>
          <c:cat>
            <c:numRef>
              <c:f>'2014主要経済指標'!$M$202:$N$202</c:f>
              <c:numCache>
                <c:formatCode>yyyy"年"m"月";@</c:formatCode>
                <c:ptCount val="2"/>
                <c:pt idx="0">
                  <c:v>41395</c:v>
                </c:pt>
                <c:pt idx="1">
                  <c:v>41760</c:v>
                </c:pt>
              </c:numCache>
            </c:numRef>
          </c:cat>
          <c:val>
            <c:numRef>
              <c:f>'2014主要経済指標'!$M$203:$N$203</c:f>
              <c:numCache>
                <c:formatCode>#,##0.0;[Red]\-#,##0.0</c:formatCode>
                <c:ptCount val="2"/>
                <c:pt idx="0">
                  <c:v>1356508.9238464511</c:v>
                </c:pt>
                <c:pt idx="1">
                  <c:v>1461545.5</c:v>
                </c:pt>
              </c:numCache>
            </c:numRef>
          </c:val>
        </c:ser>
        <c:ser>
          <c:idx val="1"/>
          <c:order val="1"/>
          <c:tx>
            <c:strRef>
              <c:f>'2014主要経済指標'!$L$204</c:f>
              <c:strCache>
                <c:ptCount val="1"/>
                <c:pt idx="0">
                  <c:v>歳出</c:v>
                </c:pt>
              </c:strCache>
            </c:strRef>
          </c:tx>
          <c:spPr>
            <a:solidFill>
              <a:srgbClr val="CC99FF"/>
            </a:solidFill>
            <a:ln w="25400">
              <a:noFill/>
            </a:ln>
          </c:spPr>
          <c:invertIfNegative val="0"/>
          <c:cat>
            <c:numRef>
              <c:f>'2014主要経済指標'!$M$202:$N$202</c:f>
              <c:numCache>
                <c:formatCode>yyyy"年"m"月";@</c:formatCode>
                <c:ptCount val="2"/>
                <c:pt idx="0">
                  <c:v>41395</c:v>
                </c:pt>
                <c:pt idx="1">
                  <c:v>41760</c:v>
                </c:pt>
              </c:numCache>
            </c:numRef>
          </c:cat>
          <c:val>
            <c:numRef>
              <c:f>'2014主要経済指標'!$M$204:$N$204</c:f>
              <c:numCache>
                <c:formatCode>#,##0.0;[Red]\-#,##0.0</c:formatCode>
                <c:ptCount val="2"/>
                <c:pt idx="0">
                  <c:v>1878446.0326121398</c:v>
                </c:pt>
                <c:pt idx="1">
                  <c:v>2041583.5</c:v>
                </c:pt>
              </c:numCache>
            </c:numRef>
          </c:val>
        </c:ser>
        <c:ser>
          <c:idx val="2"/>
          <c:order val="2"/>
          <c:tx>
            <c:strRef>
              <c:f>'2014主要経済指標'!$L$205</c:f>
              <c:strCache>
                <c:ptCount val="1"/>
                <c:pt idx="0">
                  <c:v>財政収支</c:v>
                </c:pt>
              </c:strCache>
            </c:strRef>
          </c:tx>
          <c:spPr>
            <a:solidFill>
              <a:srgbClr val="800000"/>
            </a:solidFill>
            <a:ln w="25400">
              <a:noFill/>
            </a:ln>
          </c:spPr>
          <c:invertIfNegative val="0"/>
          <c:dLbls>
            <c:dLbl>
              <c:idx val="0"/>
              <c:layout>
                <c:manualLayout>
                  <c:x val="-2.1080368906455815E-2"/>
                  <c:y val="8.3143408378906071E-17"/>
                </c:manualLayout>
              </c:layout>
              <c:showLegendKey val="0"/>
              <c:showVal val="1"/>
              <c:showCatName val="0"/>
              <c:showSerName val="0"/>
              <c:showPercent val="0"/>
              <c:showBubbleSize val="0"/>
            </c:dLbl>
            <c:dLbl>
              <c:idx val="1"/>
              <c:layout>
                <c:manualLayout>
                  <c:x val="-2.1080368906455864E-2"/>
                  <c:y val="9.0702947845805824E-3"/>
                </c:manualLayout>
              </c:layout>
              <c:showLegendKey val="0"/>
              <c:showVal val="1"/>
              <c:showCatName val="0"/>
              <c:showSerName val="0"/>
              <c:showPercent val="0"/>
              <c:showBubbleSize val="0"/>
            </c:dLbl>
            <c:numFmt formatCode="#,##0_ " sourceLinked="0"/>
            <c:txPr>
              <a:bodyPr/>
              <a:lstStyle/>
              <a:p>
                <a:pPr>
                  <a:defRPr sz="800" b="1"/>
                </a:pPr>
                <a:endParaRPr lang="ja-JP"/>
              </a:p>
            </c:txPr>
            <c:showLegendKey val="0"/>
            <c:showVal val="1"/>
            <c:showCatName val="0"/>
            <c:showSerName val="0"/>
            <c:showPercent val="0"/>
            <c:showBubbleSize val="0"/>
            <c:showLeaderLines val="0"/>
          </c:dLbls>
          <c:cat>
            <c:numRef>
              <c:f>'2014主要経済指標'!$M$202:$N$202</c:f>
              <c:numCache>
                <c:formatCode>yyyy"年"m"月";@</c:formatCode>
                <c:ptCount val="2"/>
                <c:pt idx="0">
                  <c:v>41395</c:v>
                </c:pt>
                <c:pt idx="1">
                  <c:v>41760</c:v>
                </c:pt>
              </c:numCache>
            </c:numRef>
          </c:cat>
          <c:val>
            <c:numRef>
              <c:f>'2014主要経済指標'!$M$205:$N$205</c:f>
              <c:numCache>
                <c:formatCode>#,##0.0;[Red]\-#,##0.0</c:formatCode>
                <c:ptCount val="2"/>
                <c:pt idx="0">
                  <c:v>-521937.10876568907</c:v>
                </c:pt>
                <c:pt idx="1">
                  <c:v>-580038</c:v>
                </c:pt>
              </c:numCache>
            </c:numRef>
          </c:val>
        </c:ser>
        <c:dLbls>
          <c:showLegendKey val="0"/>
          <c:showVal val="0"/>
          <c:showCatName val="0"/>
          <c:showSerName val="0"/>
          <c:showPercent val="0"/>
          <c:showBubbleSize val="0"/>
        </c:dLbls>
        <c:gapWidth val="150"/>
        <c:axId val="104306944"/>
        <c:axId val="104308736"/>
      </c:barChart>
      <c:lineChart>
        <c:grouping val="standard"/>
        <c:varyColors val="0"/>
        <c:ser>
          <c:idx val="3"/>
          <c:order val="3"/>
          <c:tx>
            <c:strRef>
              <c:f>'2014主要経済指標'!$L$206</c:f>
              <c:strCache>
                <c:ptCount val="1"/>
                <c:pt idx="0">
                  <c:v>対GDP比</c:v>
                </c:pt>
              </c:strCache>
            </c:strRef>
          </c:tx>
          <c:spPr>
            <a:ln w="25400">
              <a:solidFill>
                <a:srgbClr val="333399"/>
              </a:solidFill>
              <a:prstDash val="solid"/>
            </a:ln>
          </c:spPr>
          <c:marker>
            <c:symbol val="circle"/>
            <c:size val="7"/>
            <c:spPr>
              <a:solidFill>
                <a:srgbClr val="333399"/>
              </a:solidFill>
              <a:ln>
                <a:solidFill>
                  <a:srgbClr val="333399"/>
                </a:solidFill>
                <a:prstDash val="solid"/>
              </a:ln>
            </c:spPr>
          </c:marker>
          <c:dLbls>
            <c:dLbl>
              <c:idx val="0"/>
              <c:layout>
                <c:manualLayout>
                  <c:x val="-6.2639695754205624E-2"/>
                  <c:y val="-5.8150642397918263E-2"/>
                </c:manualLayout>
              </c:layout>
              <c:dLblPos val="r"/>
              <c:showLegendKey val="0"/>
              <c:showVal val="1"/>
              <c:showCatName val="0"/>
              <c:showSerName val="0"/>
              <c:showPercent val="0"/>
              <c:showBubbleSize val="0"/>
            </c:dLbl>
            <c:dLbl>
              <c:idx val="1"/>
              <c:layout>
                <c:manualLayout>
                  <c:x val="-4.3024897330595391E-2"/>
                  <c:y val="-5.5395786677747333E-2"/>
                </c:manualLayout>
              </c:layout>
              <c:showLegendKey val="0"/>
              <c:showVal val="1"/>
              <c:showCatName val="0"/>
              <c:showSerName val="0"/>
              <c:showPercent val="0"/>
              <c:showBubbleSize val="0"/>
            </c:dLbl>
            <c:spPr>
              <a:noFill/>
              <a:ln w="25400">
                <a:noFill/>
              </a:ln>
            </c:spPr>
            <c:txPr>
              <a:bodyPr/>
              <a:lstStyle/>
              <a:p>
                <a:pPr>
                  <a:defRPr sz="1000" b="1" i="0" u="none" strike="noStrike" baseline="0">
                    <a:solidFill>
                      <a:srgbClr val="000000"/>
                    </a:solidFill>
                    <a:latin typeface="Calibri"/>
                    <a:ea typeface="Calibri"/>
                    <a:cs typeface="Calibri"/>
                  </a:defRPr>
                </a:pPr>
                <a:endParaRPr lang="ja-JP"/>
              </a:p>
            </c:txPr>
            <c:showLegendKey val="0"/>
            <c:showVal val="1"/>
            <c:showCatName val="0"/>
            <c:showSerName val="0"/>
            <c:showPercent val="0"/>
            <c:showBubbleSize val="0"/>
            <c:showLeaderLines val="0"/>
          </c:dLbls>
          <c:cat>
            <c:numRef>
              <c:f>'2014主要経済指標'!$M$202:$N$202</c:f>
              <c:numCache>
                <c:formatCode>yyyy"年"m"月";@</c:formatCode>
                <c:ptCount val="2"/>
                <c:pt idx="0">
                  <c:v>41395</c:v>
                </c:pt>
                <c:pt idx="1">
                  <c:v>41760</c:v>
                </c:pt>
              </c:numCache>
            </c:numRef>
          </c:cat>
          <c:val>
            <c:numRef>
              <c:f>'2014主要経済指標'!$M$206:$N$206</c:f>
              <c:numCache>
                <c:formatCode>0.0%</c:formatCode>
                <c:ptCount val="2"/>
                <c:pt idx="0">
                  <c:v>-2.1000000000000012E-2</c:v>
                </c:pt>
                <c:pt idx="1">
                  <c:v>-2.1500000000000002E-2</c:v>
                </c:pt>
              </c:numCache>
            </c:numRef>
          </c:val>
          <c:smooth val="0"/>
        </c:ser>
        <c:dLbls>
          <c:showLegendKey val="0"/>
          <c:showVal val="0"/>
          <c:showCatName val="0"/>
          <c:showSerName val="0"/>
          <c:showPercent val="0"/>
          <c:showBubbleSize val="0"/>
        </c:dLbls>
        <c:marker val="1"/>
        <c:smooth val="0"/>
        <c:axId val="104310656"/>
        <c:axId val="104312192"/>
      </c:lineChart>
      <c:catAx>
        <c:axId val="104306944"/>
        <c:scaling>
          <c:orientation val="minMax"/>
        </c:scaling>
        <c:delete val="0"/>
        <c:axPos val="b"/>
        <c:numFmt formatCode="yyyy&quot;年&quot;m&quot;月&quot;;@" sourceLinked="1"/>
        <c:majorTickMark val="in"/>
        <c:minorTickMark val="none"/>
        <c:tickLblPos val="none"/>
        <c:spPr>
          <a:ln w="3175">
            <a:solidFill>
              <a:srgbClr val="000000"/>
            </a:solidFill>
            <a:prstDash val="solid"/>
          </a:ln>
        </c:spPr>
        <c:txPr>
          <a:bodyPr rot="0" vert="horz"/>
          <a:lstStyle/>
          <a:p>
            <a:pPr>
              <a:defRPr sz="1200" b="1" i="0" u="none" strike="noStrike" baseline="0">
                <a:solidFill>
                  <a:srgbClr val="000000"/>
                </a:solidFill>
                <a:latin typeface="ＭＳ Ｐゴシック"/>
                <a:ea typeface="ＭＳ Ｐゴシック"/>
                <a:cs typeface="ＭＳ Ｐゴシック"/>
              </a:defRPr>
            </a:pPr>
            <a:endParaRPr lang="ja-JP"/>
          </a:p>
        </c:txPr>
        <c:crossAx val="104308736"/>
        <c:crosses val="autoZero"/>
        <c:auto val="0"/>
        <c:lblAlgn val="ctr"/>
        <c:lblOffset val="100"/>
        <c:tickMarkSkip val="1"/>
        <c:noMultiLvlLbl val="0"/>
      </c:catAx>
      <c:valAx>
        <c:axId val="104308736"/>
        <c:scaling>
          <c:orientation val="minMax"/>
          <c:min val="-1000000"/>
        </c:scaling>
        <c:delete val="0"/>
        <c:axPos val="l"/>
        <c:majorGridlines>
          <c:spPr>
            <a:ln w="3175">
              <a:solidFill>
                <a:srgbClr val="000000"/>
              </a:solidFill>
              <a:prstDash val="sysDash"/>
            </a:ln>
          </c:spPr>
        </c:majorGridlines>
        <c:title>
          <c:tx>
            <c:rich>
              <a:bodyPr rot="0" vert="horz"/>
              <a:lstStyle/>
              <a:p>
                <a:pPr algn="ctr">
                  <a:defRPr sz="800" b="0" i="0" u="none" strike="noStrike" baseline="0">
                    <a:solidFill>
                      <a:srgbClr val="000000"/>
                    </a:solidFill>
                    <a:latin typeface="ＭＳ Ｐゴシック"/>
                    <a:ea typeface="ＭＳ Ｐゴシック"/>
                    <a:cs typeface="ＭＳ Ｐゴシック"/>
                  </a:defRPr>
                </a:pPr>
                <a:r>
                  <a:rPr lang="en-US" altLang="ja-JP" sz="800" b="0" i="0" u="none" strike="noStrike" baseline="0">
                    <a:solidFill>
                      <a:srgbClr val="000000"/>
                    </a:solidFill>
                    <a:latin typeface="ＭＳ Ｐゴシック"/>
                    <a:ea typeface="ＭＳ Ｐゴシック"/>
                  </a:rPr>
                  <a:t>(</a:t>
                </a:r>
                <a:r>
                  <a:rPr lang="ja-JP" altLang="en-US" sz="800" b="0" i="0" u="none" strike="noStrike" baseline="0">
                    <a:solidFill>
                      <a:srgbClr val="000000"/>
                    </a:solidFill>
                    <a:latin typeface="ＭＳ Ｐゴシック"/>
                    <a:ea typeface="ＭＳ Ｐゴシック"/>
                  </a:rPr>
                  <a:t>百万コロン）</a:t>
                </a:r>
              </a:p>
            </c:rich>
          </c:tx>
          <c:layout>
            <c:manualLayout>
              <c:xMode val="edge"/>
              <c:yMode val="edge"/>
              <c:x val="4.0187219943514735E-2"/>
              <c:y val="3.4006571238948862E-3"/>
            </c:manualLayout>
          </c:layout>
          <c:overlay val="0"/>
          <c:spPr>
            <a:noFill/>
            <a:ln w="25400">
              <a:noFill/>
            </a:ln>
          </c:spPr>
        </c:title>
        <c:numFmt formatCode="#,##0_ " sourceLinked="0"/>
        <c:majorTickMark val="in"/>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Calibri"/>
                <a:ea typeface="Calibri"/>
                <a:cs typeface="Calibri"/>
              </a:defRPr>
            </a:pPr>
            <a:endParaRPr lang="ja-JP"/>
          </a:p>
        </c:txPr>
        <c:crossAx val="104306944"/>
        <c:crosses val="autoZero"/>
        <c:crossBetween val="between"/>
        <c:majorUnit val="500000"/>
      </c:valAx>
      <c:dateAx>
        <c:axId val="104310656"/>
        <c:scaling>
          <c:orientation val="minMax"/>
        </c:scaling>
        <c:delete val="1"/>
        <c:axPos val="t"/>
        <c:numFmt formatCode="yyyy&quot;年&quot;m&quot;月&quot;;@" sourceLinked="1"/>
        <c:majorTickMark val="out"/>
        <c:minorTickMark val="none"/>
        <c:tickLblPos val="none"/>
        <c:crossAx val="104312192"/>
        <c:crosses val="autoZero"/>
        <c:auto val="1"/>
        <c:lblOffset val="100"/>
        <c:baseTimeUnit val="years"/>
      </c:dateAx>
      <c:valAx>
        <c:axId val="104312192"/>
        <c:scaling>
          <c:orientation val="maxMin"/>
          <c:max val="5.0000000000000114E-3"/>
          <c:min val="-0.05"/>
        </c:scaling>
        <c:delete val="0"/>
        <c:axPos val="r"/>
        <c:title>
          <c:tx>
            <c:rich>
              <a:bodyPr rot="0" vert="horz"/>
              <a:lstStyle/>
              <a:p>
                <a:pPr>
                  <a:defRPr sz="800"/>
                </a:pPr>
                <a:r>
                  <a:rPr lang="ja-JP" altLang="en-US" sz="800"/>
                  <a:t>対</a:t>
                </a:r>
                <a:r>
                  <a:rPr lang="en-US" altLang="ja-JP" sz="800"/>
                  <a:t>GDP</a:t>
                </a:r>
                <a:r>
                  <a:rPr lang="ja-JP" altLang="en-US" sz="800"/>
                  <a:t>比</a:t>
                </a:r>
              </a:p>
            </c:rich>
          </c:tx>
          <c:layout>
            <c:manualLayout>
              <c:xMode val="edge"/>
              <c:yMode val="edge"/>
              <c:x val="0.80200263504611335"/>
              <c:y val="4.7483555296328701E-2"/>
            </c:manualLayout>
          </c:layout>
          <c:overlay val="0"/>
        </c:title>
        <c:numFmt formatCode="0.0%" sourceLinked="1"/>
        <c:majorTickMark val="in"/>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Calibri"/>
                <a:ea typeface="Calibri"/>
                <a:cs typeface="Calibri"/>
              </a:defRPr>
            </a:pPr>
            <a:endParaRPr lang="ja-JP"/>
          </a:p>
        </c:txPr>
        <c:crossAx val="104310656"/>
        <c:crosses val="max"/>
        <c:crossBetween val="between"/>
        <c:majorUnit val="1.0000000000000005E-2"/>
      </c:valAx>
      <c:dTable>
        <c:showHorzBorder val="1"/>
        <c:showVertBorder val="1"/>
        <c:showOutline val="1"/>
        <c:showKeys val="1"/>
        <c:spPr>
          <a:ln w="3175">
            <a:solidFill>
              <a:srgbClr val="000000"/>
            </a:solidFill>
            <a:prstDash val="solid"/>
          </a:ln>
        </c:spPr>
        <c:txPr>
          <a:bodyPr/>
          <a:lstStyle/>
          <a:p>
            <a:pPr rtl="0">
              <a:defRPr sz="800" b="0" i="0" u="none" strike="noStrike" baseline="0">
                <a:solidFill>
                  <a:srgbClr val="000000"/>
                </a:solidFill>
                <a:latin typeface="Arial"/>
                <a:ea typeface="Arial"/>
                <a:cs typeface="Arial"/>
              </a:defRPr>
            </a:pPr>
            <a:endParaRPr lang="ja-JP"/>
          </a:p>
        </c:txPr>
      </c:dTable>
      <c:spPr>
        <a:no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ja-JP" altLang="en-US" sz="1100"/>
              <a:t>表</a:t>
            </a:r>
            <a:r>
              <a:rPr lang="en-US" altLang="ja-JP" sz="1100"/>
              <a:t>8</a:t>
            </a:r>
            <a:r>
              <a:rPr lang="ja-JP" altLang="en-US" sz="1100"/>
              <a:t>　消費者物価指数</a:t>
            </a:r>
            <a:r>
              <a:rPr lang="en-US" altLang="ja-JP" sz="1100"/>
              <a:t>(</a:t>
            </a:r>
            <a:r>
              <a:rPr lang="ja-JP" altLang="en-US" sz="1100"/>
              <a:t>月間累計</a:t>
            </a:r>
            <a:r>
              <a:rPr lang="en-US" altLang="ja-JP" sz="1100"/>
              <a:t>)</a:t>
            </a:r>
            <a:endParaRPr lang="ja-JP" altLang="en-US" sz="1100"/>
          </a:p>
        </c:rich>
      </c:tx>
      <c:layout/>
      <c:overlay val="0"/>
    </c:title>
    <c:autoTitleDeleted val="0"/>
    <c:plotArea>
      <c:layout>
        <c:manualLayout>
          <c:layoutTarget val="inner"/>
          <c:xMode val="edge"/>
          <c:yMode val="edge"/>
          <c:x val="0.16224059492563431"/>
          <c:y val="0.15885425780110832"/>
          <c:w val="0.62598162729658891"/>
          <c:h val="0.66004994167395803"/>
        </c:manualLayout>
      </c:layout>
      <c:lineChart>
        <c:grouping val="standard"/>
        <c:varyColors val="0"/>
        <c:ser>
          <c:idx val="0"/>
          <c:order val="0"/>
          <c:tx>
            <c:strRef>
              <c:f>Hoja1!$J$18</c:f>
              <c:strCache>
                <c:ptCount val="1"/>
                <c:pt idx="0">
                  <c:v>2013</c:v>
                </c:pt>
              </c:strCache>
            </c:strRef>
          </c:tx>
          <c:dLbls>
            <c:dLbl>
              <c:idx val="0"/>
              <c:layout>
                <c:manualLayout>
                  <c:x val="-5.4644808743169397E-2"/>
                  <c:y val="-8.2519001085776325E-2"/>
                </c:manualLayout>
              </c:layout>
              <c:showLegendKey val="0"/>
              <c:showVal val="1"/>
              <c:showCatName val="0"/>
              <c:showSerName val="0"/>
              <c:showPercent val="0"/>
              <c:showBubbleSize val="0"/>
            </c:dLbl>
            <c:dLbl>
              <c:idx val="1"/>
              <c:layout>
                <c:manualLayout>
                  <c:x val="-7.1038251366120242E-2"/>
                  <c:y val="-6.5146579804560262E-2"/>
                </c:manualLayout>
              </c:layout>
              <c:showLegendKey val="0"/>
              <c:showVal val="1"/>
              <c:showCatName val="0"/>
              <c:showSerName val="0"/>
              <c:showPercent val="0"/>
              <c:showBubbleSize val="0"/>
            </c:dLbl>
            <c:dLbl>
              <c:idx val="2"/>
              <c:layout>
                <c:manualLayout>
                  <c:x val="-5.737704918032787E-2"/>
                  <c:y val="-6.9489685124864281E-2"/>
                </c:manualLayout>
              </c:layout>
              <c:showLegendKey val="0"/>
              <c:showVal val="1"/>
              <c:showCatName val="0"/>
              <c:showSerName val="0"/>
              <c:showPercent val="0"/>
              <c:showBubbleSize val="0"/>
            </c:dLbl>
            <c:dLbl>
              <c:idx val="3"/>
              <c:layout>
                <c:manualLayout>
                  <c:x val="-2.4590163934426229E-2"/>
                  <c:y val="8.2519001085776325E-2"/>
                </c:manualLayout>
              </c:layout>
              <c:showLegendKey val="0"/>
              <c:showVal val="1"/>
              <c:showCatName val="0"/>
              <c:showSerName val="0"/>
              <c:showPercent val="0"/>
              <c:showBubbleSize val="0"/>
            </c:dLbl>
            <c:dLbl>
              <c:idx val="4"/>
              <c:layout>
                <c:manualLayout>
                  <c:x val="-3.2786885245901592E-2"/>
                  <c:y val="4.7774158523344191E-2"/>
                </c:manualLayout>
              </c:layout>
              <c:showLegendKey val="0"/>
              <c:showVal val="1"/>
              <c:showCatName val="0"/>
              <c:showSerName val="0"/>
              <c:showPercent val="0"/>
              <c:showBubbleSize val="0"/>
            </c:dLbl>
            <c:dLbl>
              <c:idx val="5"/>
              <c:layout>
                <c:manualLayout>
                  <c:x val="-3.0054644808743168E-2"/>
                  <c:y val="3.4744842562432141E-2"/>
                </c:manualLayout>
              </c:layout>
              <c:showLegendKey val="0"/>
              <c:showVal val="1"/>
              <c:showCatName val="0"/>
              <c:showSerName val="0"/>
              <c:showPercent val="0"/>
              <c:showBubbleSize val="0"/>
            </c:dLbl>
            <c:dLbl>
              <c:idx val="6"/>
              <c:layout>
                <c:manualLayout>
                  <c:x val="-3.0054644808743168E-2"/>
                  <c:y val="5.6460369163952223E-2"/>
                </c:manualLayout>
              </c:layout>
              <c:showLegendKey val="0"/>
              <c:showVal val="1"/>
              <c:showCatName val="0"/>
              <c:showSerName val="0"/>
              <c:showPercent val="0"/>
              <c:showBubbleSize val="0"/>
            </c:dLbl>
            <c:dLbl>
              <c:idx val="7"/>
              <c:layout>
                <c:manualLayout>
                  <c:x val="-4.3715846994535519E-2"/>
                  <c:y val="-5.2117263843648211E-2"/>
                </c:manualLayout>
              </c:layout>
              <c:showLegendKey val="0"/>
              <c:showVal val="1"/>
              <c:showCatName val="0"/>
              <c:showSerName val="0"/>
              <c:showPercent val="0"/>
              <c:showBubbleSize val="0"/>
            </c:dLbl>
            <c:dLbl>
              <c:idx val="8"/>
              <c:layout>
                <c:manualLayout>
                  <c:x val="0"/>
                  <c:y val="-2.6058631921824105E-2"/>
                </c:manualLayout>
              </c:layout>
              <c:showLegendKey val="0"/>
              <c:showVal val="1"/>
              <c:showCatName val="0"/>
              <c:showSerName val="0"/>
              <c:showPercent val="0"/>
              <c:showBubbleSize val="0"/>
            </c:dLbl>
            <c:dLbl>
              <c:idx val="9"/>
              <c:layout>
                <c:manualLayout>
                  <c:x val="-4.3715846994535519E-2"/>
                  <c:y val="5.2117263843648211E-2"/>
                </c:manualLayout>
              </c:layout>
              <c:showLegendKey val="0"/>
              <c:showVal val="1"/>
              <c:showCatName val="0"/>
              <c:showSerName val="0"/>
              <c:showPercent val="0"/>
              <c:showBubbleSize val="0"/>
            </c:dLbl>
            <c:txPr>
              <a:bodyPr/>
              <a:lstStyle/>
              <a:p>
                <a:pPr>
                  <a:defRPr sz="800"/>
                </a:pPr>
                <a:endParaRPr lang="ja-JP"/>
              </a:p>
            </c:txPr>
            <c:showLegendKey val="0"/>
            <c:showVal val="1"/>
            <c:showCatName val="0"/>
            <c:showSerName val="0"/>
            <c:showPercent val="0"/>
            <c:showBubbleSize val="0"/>
            <c:showLeaderLines val="0"/>
          </c:dLbls>
          <c:cat>
            <c:strRef>
              <c:f>Hoja1!$I$19:$I$30</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Hoja1!$J$19:$J$30</c:f>
              <c:numCache>
                <c:formatCode>General</c:formatCode>
                <c:ptCount val="12"/>
                <c:pt idx="0">
                  <c:v>1.31</c:v>
                </c:pt>
                <c:pt idx="1">
                  <c:v>2.34</c:v>
                </c:pt>
                <c:pt idx="2">
                  <c:v>2.46</c:v>
                </c:pt>
                <c:pt idx="3">
                  <c:v>3.2</c:v>
                </c:pt>
                <c:pt idx="4">
                  <c:v>3.22</c:v>
                </c:pt>
                <c:pt idx="5">
                  <c:v>3.24</c:v>
                </c:pt>
                <c:pt idx="6">
                  <c:v>3.59</c:v>
                </c:pt>
                <c:pt idx="7">
                  <c:v>3.64</c:v>
                </c:pt>
                <c:pt idx="8">
                  <c:v>3.77</c:v>
                </c:pt>
                <c:pt idx="9">
                  <c:v>2.98</c:v>
                </c:pt>
                <c:pt idx="10">
                  <c:v>3.16</c:v>
                </c:pt>
                <c:pt idx="11">
                  <c:v>3.68</c:v>
                </c:pt>
              </c:numCache>
            </c:numRef>
          </c:val>
          <c:smooth val="0"/>
        </c:ser>
        <c:ser>
          <c:idx val="1"/>
          <c:order val="1"/>
          <c:tx>
            <c:strRef>
              <c:f>Hoja1!$K$18</c:f>
              <c:strCache>
                <c:ptCount val="1"/>
                <c:pt idx="0">
                  <c:v>2014</c:v>
                </c:pt>
              </c:strCache>
            </c:strRef>
          </c:tx>
          <c:dLbls>
            <c:dLbl>
              <c:idx val="3"/>
              <c:layout>
                <c:manualLayout>
                  <c:x val="-6.8306010928961755E-2"/>
                  <c:y val="-7.38327904451683E-2"/>
                </c:manualLayout>
              </c:layout>
              <c:showLegendKey val="0"/>
              <c:showVal val="1"/>
              <c:showCatName val="0"/>
              <c:showSerName val="0"/>
              <c:showPercent val="0"/>
              <c:showBubbleSize val="0"/>
            </c:dLbl>
            <c:dLbl>
              <c:idx val="4"/>
              <c:layout>
                <c:manualLayout>
                  <c:x val="-6.0109289617486288E-2"/>
                  <c:y val="-6.5146579804560262E-2"/>
                </c:manualLayout>
              </c:layout>
              <c:showLegendKey val="0"/>
              <c:showVal val="1"/>
              <c:showCatName val="0"/>
              <c:showSerName val="0"/>
              <c:showPercent val="0"/>
              <c:showBubbleSize val="0"/>
            </c:dLbl>
            <c:dLbl>
              <c:idx val="5"/>
              <c:layout>
                <c:manualLayout>
                  <c:x val="0"/>
                  <c:y val="-1.737242128121607E-2"/>
                </c:manualLayout>
              </c:layout>
              <c:showLegendKey val="0"/>
              <c:showVal val="1"/>
              <c:showCatName val="0"/>
              <c:showSerName val="0"/>
              <c:showPercent val="0"/>
              <c:showBubbleSize val="0"/>
            </c:dLbl>
            <c:txPr>
              <a:bodyPr/>
              <a:lstStyle/>
              <a:p>
                <a:pPr>
                  <a:defRPr sz="800" b="1" i="1"/>
                </a:pPr>
                <a:endParaRPr lang="ja-JP"/>
              </a:p>
            </c:txPr>
            <c:showLegendKey val="0"/>
            <c:showVal val="1"/>
            <c:showCatName val="0"/>
            <c:showSerName val="0"/>
            <c:showPercent val="0"/>
            <c:showBubbleSize val="0"/>
            <c:showLeaderLines val="0"/>
          </c:dLbls>
          <c:cat>
            <c:strRef>
              <c:f>Hoja1!$I$19:$I$30</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Hoja1!$K$19:$K$30</c:f>
              <c:numCache>
                <c:formatCode>General</c:formatCode>
                <c:ptCount val="12"/>
                <c:pt idx="0">
                  <c:v>0.75000000000000044</c:v>
                </c:pt>
                <c:pt idx="1">
                  <c:v>1.42</c:v>
                </c:pt>
                <c:pt idx="2" formatCode="#,##0.00">
                  <c:v>2.04</c:v>
                </c:pt>
                <c:pt idx="3" formatCode="#,##0.00">
                  <c:v>3.2</c:v>
                </c:pt>
                <c:pt idx="4" formatCode="#,##0.00">
                  <c:v>3.75</c:v>
                </c:pt>
                <c:pt idx="5" formatCode="#,##0.00">
                  <c:v>4.1399999999999997</c:v>
                </c:pt>
              </c:numCache>
            </c:numRef>
          </c:val>
          <c:smooth val="0"/>
        </c:ser>
        <c:dLbls>
          <c:showLegendKey val="0"/>
          <c:showVal val="0"/>
          <c:showCatName val="0"/>
          <c:showSerName val="0"/>
          <c:showPercent val="0"/>
          <c:showBubbleSize val="0"/>
        </c:dLbls>
        <c:hiLowLines/>
        <c:marker val="1"/>
        <c:smooth val="0"/>
        <c:axId val="105597952"/>
        <c:axId val="105607936"/>
      </c:lineChart>
      <c:catAx>
        <c:axId val="105597952"/>
        <c:scaling>
          <c:orientation val="minMax"/>
        </c:scaling>
        <c:delete val="0"/>
        <c:axPos val="b"/>
        <c:majorTickMark val="none"/>
        <c:minorTickMark val="none"/>
        <c:tickLblPos val="nextTo"/>
        <c:txPr>
          <a:bodyPr/>
          <a:lstStyle/>
          <a:p>
            <a:pPr>
              <a:defRPr sz="900"/>
            </a:pPr>
            <a:endParaRPr lang="ja-JP"/>
          </a:p>
        </c:txPr>
        <c:crossAx val="105607936"/>
        <c:crosses val="autoZero"/>
        <c:auto val="1"/>
        <c:lblAlgn val="ctr"/>
        <c:lblOffset val="100"/>
        <c:noMultiLvlLbl val="0"/>
      </c:catAx>
      <c:valAx>
        <c:axId val="105607936"/>
        <c:scaling>
          <c:orientation val="minMax"/>
        </c:scaling>
        <c:delete val="0"/>
        <c:axPos val="l"/>
        <c:majorGridlines/>
        <c:title>
          <c:tx>
            <c:rich>
              <a:bodyPr rot="0" vert="horz"/>
              <a:lstStyle/>
              <a:p>
                <a:pPr>
                  <a:defRPr b="0"/>
                </a:pPr>
                <a:r>
                  <a:rPr lang="en-US" altLang="ja-JP" b="0"/>
                  <a:t>(</a:t>
                </a:r>
                <a:r>
                  <a:rPr lang="ja-JP" altLang="en-US" b="0"/>
                  <a:t>％</a:t>
                </a:r>
                <a:r>
                  <a:rPr lang="en-US" altLang="ja-JP" b="0"/>
                  <a:t>)</a:t>
                </a:r>
                <a:endParaRPr lang="ja-JP" altLang="en-US" b="0"/>
              </a:p>
            </c:rich>
          </c:tx>
          <c:layout>
            <c:manualLayout>
              <c:xMode val="edge"/>
              <c:yMode val="edge"/>
              <c:x val="9.1666666666667049E-2"/>
              <c:y val="4.9125838436862065E-2"/>
            </c:manualLayout>
          </c:layout>
          <c:overlay val="0"/>
        </c:title>
        <c:numFmt formatCode="General" sourceLinked="1"/>
        <c:majorTickMark val="out"/>
        <c:minorTickMark val="none"/>
        <c:tickLblPos val="nextTo"/>
        <c:crossAx val="105597952"/>
        <c:crosses val="autoZero"/>
        <c:crossBetween val="between"/>
      </c:valAx>
    </c:plotArea>
    <c:legend>
      <c:legendPos val="r"/>
      <c:legendEntry>
        <c:idx val="1"/>
        <c:txPr>
          <a:bodyPr/>
          <a:lstStyle/>
          <a:p>
            <a:pPr>
              <a:defRPr b="1" i="1"/>
            </a:pPr>
            <a:endParaRPr lang="ja-JP"/>
          </a:p>
        </c:txPr>
      </c:legendEntry>
      <c:layout/>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b="1"/>
            </a:pPr>
            <a:r>
              <a:rPr lang="ja-JP" altLang="en-US" sz="1100" b="1"/>
              <a:t>表</a:t>
            </a:r>
            <a:r>
              <a:rPr lang="en-US" altLang="ja-JP" sz="1100" b="1"/>
              <a:t>9</a:t>
            </a:r>
            <a:r>
              <a:rPr lang="ja-JP" altLang="en-US" sz="1100" b="1"/>
              <a:t>　消費者物価指数</a:t>
            </a:r>
            <a:r>
              <a:rPr lang="en-US" altLang="ja-JP" sz="1100" b="1"/>
              <a:t>(</a:t>
            </a:r>
            <a:r>
              <a:rPr lang="ja-JP" altLang="en-US" sz="1100" b="1"/>
              <a:t>年率換算</a:t>
            </a:r>
            <a:r>
              <a:rPr lang="en-US" altLang="ja-JP" sz="1100" b="1"/>
              <a:t>)</a:t>
            </a:r>
            <a:endParaRPr lang="ja-JP" altLang="en-US" sz="1100" b="1"/>
          </a:p>
        </c:rich>
      </c:tx>
      <c:layout/>
      <c:overlay val="0"/>
    </c:title>
    <c:autoTitleDeleted val="0"/>
    <c:plotArea>
      <c:layout/>
      <c:lineChart>
        <c:grouping val="standard"/>
        <c:varyColors val="0"/>
        <c:ser>
          <c:idx val="0"/>
          <c:order val="0"/>
          <c:tx>
            <c:strRef>
              <c:f>Hoja1!$G$5</c:f>
              <c:strCache>
                <c:ptCount val="1"/>
                <c:pt idx="0">
                  <c:v>2013年</c:v>
                </c:pt>
              </c:strCache>
            </c:strRef>
          </c:tx>
          <c:dLbls>
            <c:dLbl>
              <c:idx val="0"/>
              <c:layout>
                <c:manualLayout>
                  <c:x val="-5.2916828019448539E-2"/>
                  <c:y val="-4.9886621315192968E-2"/>
                </c:manualLayout>
              </c:layout>
              <c:dLblPos val="r"/>
              <c:showLegendKey val="0"/>
              <c:showVal val="1"/>
              <c:showCatName val="0"/>
              <c:showSerName val="0"/>
              <c:showPercent val="0"/>
              <c:showBubbleSize val="0"/>
            </c:dLbl>
            <c:dLbl>
              <c:idx val="1"/>
              <c:layout>
                <c:manualLayout>
                  <c:x val="-5.0184587582289886E-2"/>
                  <c:y val="-4.081632653061238E-2"/>
                </c:manualLayout>
              </c:layout>
              <c:dLblPos val="r"/>
              <c:showLegendKey val="0"/>
              <c:showVal val="1"/>
              <c:showCatName val="0"/>
              <c:showSerName val="0"/>
              <c:showPercent val="0"/>
              <c:showBubbleSize val="0"/>
            </c:dLbl>
            <c:dLbl>
              <c:idx val="2"/>
              <c:layout>
                <c:manualLayout>
                  <c:x val="-4.1987866270814446E-2"/>
                  <c:y val="-3.1746031746031744E-2"/>
                </c:manualLayout>
              </c:layout>
              <c:dLblPos val="r"/>
              <c:showLegendKey val="0"/>
              <c:showVal val="1"/>
              <c:showCatName val="0"/>
              <c:showSerName val="0"/>
              <c:showPercent val="0"/>
              <c:showBubbleSize val="0"/>
            </c:dLbl>
            <c:dLbl>
              <c:idx val="3"/>
              <c:layout>
                <c:manualLayout>
                  <c:x val="-4.1987866270814446E-2"/>
                  <c:y val="-2.7210884353741478E-2"/>
                </c:manualLayout>
              </c:layout>
              <c:dLblPos val="r"/>
              <c:showLegendKey val="0"/>
              <c:showVal val="1"/>
              <c:showCatName val="0"/>
              <c:showSerName val="0"/>
              <c:showPercent val="0"/>
              <c:showBubbleSize val="0"/>
            </c:dLbl>
            <c:dLbl>
              <c:idx val="4"/>
              <c:layout>
                <c:manualLayout>
                  <c:x val="-5.2916828019448539E-2"/>
                  <c:y val="3.6281179138322052E-2"/>
                </c:manualLayout>
              </c:layout>
              <c:dLblPos val="r"/>
              <c:showLegendKey val="0"/>
              <c:showVal val="1"/>
              <c:showCatName val="0"/>
              <c:showSerName val="0"/>
              <c:showPercent val="0"/>
              <c:showBubbleSize val="0"/>
            </c:dLbl>
            <c:dLbl>
              <c:idx val="5"/>
              <c:layout>
                <c:manualLayout>
                  <c:x val="-4.74523471451316E-2"/>
                  <c:y val="-4.5351473922902577E-2"/>
                </c:manualLayout>
              </c:layout>
              <c:dLblPos val="r"/>
              <c:showLegendKey val="0"/>
              <c:showVal val="1"/>
              <c:showCatName val="0"/>
              <c:showSerName val="0"/>
              <c:showPercent val="0"/>
              <c:showBubbleSize val="0"/>
            </c:dLbl>
            <c:dLbl>
              <c:idx val="6"/>
              <c:layout>
                <c:manualLayout>
                  <c:x val="-5.0184587582289886E-2"/>
                  <c:y val="-4.081632653061238E-2"/>
                </c:manualLayout>
              </c:layout>
              <c:dLblPos val="r"/>
              <c:showLegendKey val="0"/>
              <c:showVal val="1"/>
              <c:showCatName val="0"/>
              <c:showSerName val="0"/>
              <c:showPercent val="0"/>
              <c:showBubbleSize val="0"/>
            </c:dLbl>
            <c:dLbl>
              <c:idx val="7"/>
              <c:layout>
                <c:manualLayout>
                  <c:x val="-5.0184587582289886E-2"/>
                  <c:y val="-4.081632653061238E-2"/>
                </c:manualLayout>
              </c:layout>
              <c:dLblPos val="r"/>
              <c:showLegendKey val="0"/>
              <c:showVal val="1"/>
              <c:showCatName val="0"/>
              <c:showSerName val="0"/>
              <c:showPercent val="0"/>
              <c:showBubbleSize val="0"/>
            </c:dLbl>
            <c:dLbl>
              <c:idx val="8"/>
              <c:layout>
                <c:manualLayout>
                  <c:x val="-5.5649068456606859E-2"/>
                  <c:y val="4.9886621315192968E-2"/>
                </c:manualLayout>
              </c:layout>
              <c:dLblPos val="r"/>
              <c:showLegendKey val="0"/>
              <c:showVal val="1"/>
              <c:showCatName val="0"/>
              <c:showSerName val="0"/>
              <c:showPercent val="0"/>
              <c:showBubbleSize val="0"/>
            </c:dLbl>
            <c:dLbl>
              <c:idx val="9"/>
              <c:layout>
                <c:manualLayout>
                  <c:x val="-4.1987866270814446E-2"/>
                  <c:y val="-4.9886621315192968E-2"/>
                </c:manualLayout>
              </c:layout>
              <c:dLblPos val="r"/>
              <c:showLegendKey val="0"/>
              <c:showVal val="1"/>
              <c:showCatName val="0"/>
              <c:showSerName val="0"/>
              <c:showPercent val="0"/>
              <c:showBubbleSize val="0"/>
            </c:dLbl>
            <c:dLbl>
              <c:idx val="10"/>
              <c:layout>
                <c:manualLayout>
                  <c:x val="-5.0184587582289886E-2"/>
                  <c:y val="2.7210884353741478E-2"/>
                </c:manualLayout>
              </c:layout>
              <c:dLblPos val="r"/>
              <c:showLegendKey val="0"/>
              <c:showVal val="1"/>
              <c:showCatName val="0"/>
              <c:showSerName val="0"/>
              <c:showPercent val="0"/>
              <c:showBubbleSize val="0"/>
            </c:dLbl>
            <c:dLbl>
              <c:idx val="11"/>
              <c:layout>
                <c:manualLayout>
                  <c:x val="-5.0184587582289886E-2"/>
                  <c:y val="-4.9886621315192968E-2"/>
                </c:manualLayout>
              </c:layout>
              <c:dLblPos val="r"/>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Hoja1!$F$6:$F$17</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Hoja1!$G$6:$G$17</c:f>
              <c:numCache>
                <c:formatCode>#,##0.00</c:formatCode>
                <c:ptCount val="12"/>
                <c:pt idx="0">
                  <c:v>5.7367026399999999</c:v>
                </c:pt>
                <c:pt idx="1">
                  <c:v>6.5157852999999948</c:v>
                </c:pt>
                <c:pt idx="2">
                  <c:v>6.205877519999996</c:v>
                </c:pt>
                <c:pt idx="3">
                  <c:v>6.3072692300000002</c:v>
                </c:pt>
                <c:pt idx="4">
                  <c:v>5.2840368699999933</c:v>
                </c:pt>
                <c:pt idx="5">
                  <c:v>5.1379035799999926</c:v>
                </c:pt>
                <c:pt idx="6">
                  <c:v>5.8141562899999926</c:v>
                </c:pt>
                <c:pt idx="7">
                  <c:v>5.3070005399999927</c:v>
                </c:pt>
                <c:pt idx="8">
                  <c:v>5.3718385399999962</c:v>
                </c:pt>
                <c:pt idx="9">
                  <c:v>4.1061599199999961</c:v>
                </c:pt>
                <c:pt idx="10">
                  <c:v>3.4431410600000012</c:v>
                </c:pt>
                <c:pt idx="11">
                  <c:v>3.6795406699999997</c:v>
                </c:pt>
              </c:numCache>
            </c:numRef>
          </c:val>
          <c:smooth val="0"/>
        </c:ser>
        <c:ser>
          <c:idx val="1"/>
          <c:order val="1"/>
          <c:tx>
            <c:strRef>
              <c:f>Hoja1!$H$5</c:f>
              <c:strCache>
                <c:ptCount val="1"/>
                <c:pt idx="0">
                  <c:v>2014年</c:v>
                </c:pt>
              </c:strCache>
            </c:strRef>
          </c:tx>
          <c:dLbls>
            <c:dLbl>
              <c:idx val="0"/>
              <c:layout>
                <c:manualLayout>
                  <c:x val="-5.0184587582289886E-2"/>
                  <c:y val="4.081632653061238E-2"/>
                </c:manualLayout>
              </c:layout>
              <c:dLblPos val="r"/>
              <c:showLegendKey val="0"/>
              <c:showVal val="1"/>
              <c:showCatName val="0"/>
              <c:showSerName val="0"/>
              <c:showPercent val="0"/>
              <c:showBubbleSize val="0"/>
            </c:dLbl>
            <c:dLbl>
              <c:idx val="1"/>
              <c:layout>
                <c:manualLayout>
                  <c:x val="-5.0184587582289886E-2"/>
                  <c:y val="5.4421768707482956E-2"/>
                </c:manualLayout>
              </c:layout>
              <c:dLblPos val="r"/>
              <c:showLegendKey val="0"/>
              <c:showVal val="1"/>
              <c:showCatName val="0"/>
              <c:showSerName val="0"/>
              <c:showPercent val="0"/>
              <c:showBubbleSize val="0"/>
            </c:dLbl>
            <c:dLbl>
              <c:idx val="2"/>
              <c:layout>
                <c:manualLayout>
                  <c:x val="-2.5396282431909126E-2"/>
                  <c:y val="7.2562358276643993E-2"/>
                </c:manualLayout>
              </c:layout>
              <c:dLblPos val="r"/>
              <c:showLegendKey val="0"/>
              <c:showVal val="1"/>
              <c:showCatName val="0"/>
              <c:showSerName val="0"/>
              <c:showPercent val="0"/>
              <c:showBubbleSize val="0"/>
            </c:dLbl>
            <c:dLbl>
              <c:idx val="3"/>
              <c:layout>
                <c:manualLayout>
                  <c:x val="-2.5396282431909126E-2"/>
                  <c:y val="4.5351473922902494E-2"/>
                </c:manualLayout>
              </c:layout>
              <c:dLblPos val="r"/>
              <c:showLegendKey val="0"/>
              <c:showVal val="1"/>
              <c:showCatName val="0"/>
              <c:showSerName val="0"/>
              <c:showPercent val="0"/>
              <c:showBubbleSize val="0"/>
            </c:dLbl>
            <c:dLbl>
              <c:idx val="4"/>
              <c:layout>
                <c:manualLayout>
                  <c:x val="-2.8128522869067647E-2"/>
                  <c:y val="3.6281179138321996E-2"/>
                </c:manualLayout>
              </c:layout>
              <c:dLblPos val="r"/>
              <c:showLegendKey val="0"/>
              <c:showVal val="1"/>
              <c:showCatName val="0"/>
              <c:showSerName val="0"/>
              <c:showPercent val="0"/>
              <c:showBubbleSize val="0"/>
            </c:dLbl>
            <c:dLbl>
              <c:idx val="5"/>
              <c:layout>
                <c:manualLayout>
                  <c:x val="1.9261219396755733E-3"/>
                  <c:y val="2.2675736961451247E-2"/>
                </c:manualLayout>
              </c:layout>
              <c:dLblPos val="r"/>
              <c:showLegendKey val="0"/>
              <c:showVal val="1"/>
              <c:showCatName val="0"/>
              <c:showSerName val="0"/>
              <c:showPercent val="0"/>
              <c:showBubbleSize val="0"/>
            </c:dLbl>
            <c:txPr>
              <a:bodyPr/>
              <a:lstStyle/>
              <a:p>
                <a:pPr>
                  <a:defRPr sz="800" b="1" i="1"/>
                </a:pPr>
                <a:endParaRPr lang="ja-JP"/>
              </a:p>
            </c:txPr>
            <c:dLblPos val="ctr"/>
            <c:showLegendKey val="0"/>
            <c:showVal val="1"/>
            <c:showCatName val="0"/>
            <c:showSerName val="0"/>
            <c:showPercent val="0"/>
            <c:showBubbleSize val="0"/>
            <c:showLeaderLines val="0"/>
          </c:dLbls>
          <c:cat>
            <c:strRef>
              <c:f>Hoja1!$F$6:$F$17</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Hoja1!$H$6:$H$17</c:f>
              <c:numCache>
                <c:formatCode>#,##0.00</c:formatCode>
                <c:ptCount val="12"/>
                <c:pt idx="0">
                  <c:v>3.1040330900000002</c:v>
                </c:pt>
                <c:pt idx="1">
                  <c:v>2.7396626699999982</c:v>
                </c:pt>
                <c:pt idx="2">
                  <c:v>3.2591887800000001</c:v>
                </c:pt>
                <c:pt idx="3">
                  <c:v>3.6792927999999998</c:v>
                </c:pt>
                <c:pt idx="4">
                  <c:v>4.2102988400000001</c:v>
                </c:pt>
                <c:pt idx="5">
                  <c:v>4.5891347699999958</c:v>
                </c:pt>
              </c:numCache>
            </c:numRef>
          </c:val>
          <c:smooth val="0"/>
        </c:ser>
        <c:dLbls>
          <c:showLegendKey val="0"/>
          <c:showVal val="0"/>
          <c:showCatName val="0"/>
          <c:showSerName val="0"/>
          <c:showPercent val="0"/>
          <c:showBubbleSize val="0"/>
        </c:dLbls>
        <c:hiLowLines/>
        <c:marker val="1"/>
        <c:smooth val="0"/>
        <c:axId val="105680256"/>
        <c:axId val="105694336"/>
      </c:lineChart>
      <c:catAx>
        <c:axId val="105680256"/>
        <c:scaling>
          <c:orientation val="minMax"/>
        </c:scaling>
        <c:delete val="0"/>
        <c:axPos val="b"/>
        <c:majorTickMark val="none"/>
        <c:minorTickMark val="none"/>
        <c:tickLblPos val="nextTo"/>
        <c:crossAx val="105694336"/>
        <c:crosses val="autoZero"/>
        <c:auto val="1"/>
        <c:lblAlgn val="ctr"/>
        <c:lblOffset val="100"/>
        <c:noMultiLvlLbl val="0"/>
      </c:catAx>
      <c:valAx>
        <c:axId val="105694336"/>
        <c:scaling>
          <c:orientation val="minMax"/>
        </c:scaling>
        <c:delete val="0"/>
        <c:axPos val="l"/>
        <c:majorGridlines/>
        <c:title>
          <c:tx>
            <c:rich>
              <a:bodyPr rot="0" vert="horz"/>
              <a:lstStyle/>
              <a:p>
                <a:pPr>
                  <a:defRPr b="0"/>
                </a:pPr>
                <a:r>
                  <a:rPr lang="en-US" altLang="ja-JP" b="0"/>
                  <a:t>(</a:t>
                </a:r>
                <a:r>
                  <a:rPr lang="ja-JP" altLang="en-US" b="0"/>
                  <a:t>％</a:t>
                </a:r>
                <a:r>
                  <a:rPr lang="en-US" altLang="ja-JP" b="0"/>
                  <a:t>)</a:t>
                </a:r>
                <a:endParaRPr lang="ja-JP" altLang="en-US" b="0"/>
              </a:p>
            </c:rich>
          </c:tx>
          <c:layout>
            <c:manualLayout>
              <c:xMode val="edge"/>
              <c:yMode val="edge"/>
              <c:x val="9.5628415300546735E-2"/>
              <c:y val="5.5833020872390934E-2"/>
            </c:manualLayout>
          </c:layout>
          <c:overlay val="0"/>
        </c:title>
        <c:numFmt formatCode="#,##0.00" sourceLinked="1"/>
        <c:majorTickMark val="out"/>
        <c:minorTickMark val="none"/>
        <c:tickLblPos val="nextTo"/>
        <c:crossAx val="105680256"/>
        <c:crosses val="autoZero"/>
        <c:crossBetween val="between"/>
      </c:valAx>
    </c:plotArea>
    <c:legend>
      <c:legendPos val="r"/>
      <c:legendEntry>
        <c:idx val="1"/>
        <c:txPr>
          <a:bodyPr/>
          <a:lstStyle/>
          <a:p>
            <a:pPr>
              <a:defRPr b="1" i="1"/>
            </a:pPr>
            <a:endParaRPr lang="ja-JP"/>
          </a:p>
        </c:txPr>
      </c:legendEntry>
      <c:layout/>
      <c:overlay val="0"/>
    </c:legend>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0.16346</cdr:x>
      <cdr:y>0.4</cdr:y>
    </cdr:from>
    <cdr:to>
      <cdr:x>0.34808</cdr:x>
      <cdr:y>0.63704</cdr:y>
    </cdr:to>
    <cdr:sp macro="" textlink="">
      <cdr:nvSpPr>
        <cdr:cNvPr id="2" name="テキスト ボックス 1"/>
        <cdr:cNvSpPr txBox="1"/>
      </cdr:nvSpPr>
      <cdr:spPr>
        <a:xfrm xmlns:a="http://schemas.openxmlformats.org/drawingml/2006/main">
          <a:off x="809625" y="154305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0.15</cdr:x>
      <cdr:y>0.24691</cdr:y>
    </cdr:from>
    <cdr:to>
      <cdr:x>0.29038</cdr:x>
      <cdr:y>0.30123</cdr:y>
    </cdr:to>
    <cdr:sp macro="" textlink="">
      <cdr:nvSpPr>
        <cdr:cNvPr id="3" name="テキスト ボックス 2"/>
        <cdr:cNvSpPr txBox="1"/>
      </cdr:nvSpPr>
      <cdr:spPr>
        <a:xfrm xmlns:a="http://schemas.openxmlformats.org/drawingml/2006/main">
          <a:off x="742950" y="952500"/>
          <a:ext cx="695325" cy="2095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ja-JP" altLang="en-US" sz="800" b="1"/>
            <a:t>コロン建て</a:t>
          </a:r>
        </a:p>
      </cdr:txBody>
    </cdr:sp>
  </cdr:relSizeAnchor>
  <cdr:relSizeAnchor xmlns:cdr="http://schemas.openxmlformats.org/drawingml/2006/chartDrawing">
    <cdr:from>
      <cdr:x>0.05769</cdr:x>
      <cdr:y>0.00988</cdr:y>
    </cdr:from>
    <cdr:to>
      <cdr:x>0.24231</cdr:x>
      <cdr:y>0.24691</cdr:y>
    </cdr:to>
    <cdr:sp macro="" textlink="">
      <cdr:nvSpPr>
        <cdr:cNvPr id="4" name="テキスト ボックス 3"/>
        <cdr:cNvSpPr txBox="1"/>
      </cdr:nvSpPr>
      <cdr:spPr>
        <a:xfrm xmlns:a="http://schemas.openxmlformats.org/drawingml/2006/main">
          <a:off x="285750" y="381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0.13462</cdr:x>
      <cdr:y>0.38519</cdr:y>
    </cdr:from>
    <cdr:to>
      <cdr:x>0.24808</cdr:x>
      <cdr:y>0.44938</cdr:y>
    </cdr:to>
    <cdr:sp macro="" textlink="">
      <cdr:nvSpPr>
        <cdr:cNvPr id="5" name="テキスト ボックス 4"/>
        <cdr:cNvSpPr txBox="1"/>
      </cdr:nvSpPr>
      <cdr:spPr>
        <a:xfrm xmlns:a="http://schemas.openxmlformats.org/drawingml/2006/main">
          <a:off x="666750" y="1485900"/>
          <a:ext cx="561975" cy="2476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ja-JP" altLang="en-US" sz="800" b="1"/>
            <a:t>ドル建て</a:t>
          </a:r>
        </a:p>
      </cdr:txBody>
    </cdr:sp>
  </cdr:relSizeAnchor>
  <cdr:relSizeAnchor xmlns:cdr="http://schemas.openxmlformats.org/drawingml/2006/chartDrawing">
    <cdr:from>
      <cdr:x>0.225</cdr:x>
      <cdr:y>0.2963</cdr:y>
    </cdr:from>
    <cdr:to>
      <cdr:x>0.23654</cdr:x>
      <cdr:y>0.32346</cdr:y>
    </cdr:to>
    <cdr:sp macro="" textlink="">
      <cdr:nvSpPr>
        <cdr:cNvPr id="6" name="下矢印 5"/>
        <cdr:cNvSpPr/>
      </cdr:nvSpPr>
      <cdr:spPr>
        <a:xfrm xmlns:a="http://schemas.openxmlformats.org/drawingml/2006/main">
          <a:off x="1114425" y="1143000"/>
          <a:ext cx="57150" cy="104775"/>
        </a:xfrm>
        <a:prstGeom xmlns:a="http://schemas.openxmlformats.org/drawingml/2006/main" prst="downArrow">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0.17692</cdr:x>
      <cdr:y>0.43951</cdr:y>
    </cdr:from>
    <cdr:to>
      <cdr:x>0.19038</cdr:x>
      <cdr:y>0.47407</cdr:y>
    </cdr:to>
    <cdr:sp macro="" textlink="">
      <cdr:nvSpPr>
        <cdr:cNvPr id="7" name="下矢印 6"/>
        <cdr:cNvSpPr/>
      </cdr:nvSpPr>
      <cdr:spPr>
        <a:xfrm xmlns:a="http://schemas.openxmlformats.org/drawingml/2006/main">
          <a:off x="876300" y="1695450"/>
          <a:ext cx="66675" cy="133350"/>
        </a:xfrm>
        <a:prstGeom xmlns:a="http://schemas.openxmlformats.org/drawingml/2006/main" prst="downArrow">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81A192-63DA-44EC-A93D-6A037547DC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945</Words>
  <Characters>5389</Characters>
  <Application>Microsoft Office Word</Application>
  <DocSecurity>0</DocSecurity>
  <Lines>44</Lines>
  <Paragraphs>12</Paragraphs>
  <ScaleCrop>false</ScaleCrop>
  <HeadingPairs>
    <vt:vector size="2" baseType="variant">
      <vt:variant>
        <vt:lpstr>タイトル</vt:lpstr>
      </vt:variant>
      <vt:variant>
        <vt:i4>1</vt:i4>
      </vt:variant>
    </vt:vector>
  </HeadingPairs>
  <TitlesOfParts>
    <vt:vector size="1" baseType="lpstr">
      <vt:lpstr/>
    </vt:vector>
  </TitlesOfParts>
  <Company>外務省</Company>
  <LinksUpToDate>false</LinksUpToDate>
  <CharactersWithSpaces>6322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情報通信課</dc:creator>
  <cp:lastModifiedBy>情報通信課</cp:lastModifiedBy>
  <cp:revision>2</cp:revision>
  <cp:lastPrinted>2014-08-12T16:52:00Z</cp:lastPrinted>
  <dcterms:created xsi:type="dcterms:W3CDTF">2014-08-19T09:03:00Z</dcterms:created>
  <dcterms:modified xsi:type="dcterms:W3CDTF">2014-08-19T09:03:00Z</dcterms:modified>
</cp:coreProperties>
</file>